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7F3BF" w14:textId="77777777" w:rsidR="003F379C" w:rsidRDefault="003F379C" w:rsidP="003F379C">
      <w:pPr>
        <w:tabs>
          <w:tab w:val="right" w:pos="6328"/>
        </w:tabs>
        <w:spacing w:line="480" w:lineRule="auto"/>
        <w:ind w:left="1985" w:right="1985"/>
        <w:rPr>
          <w:rtl/>
        </w:rPr>
      </w:pPr>
      <w:r>
        <w:rPr>
          <w:noProof/>
        </w:rPr>
        <w:drawing>
          <wp:inline distT="0" distB="0" distL="0" distR="0" wp14:anchorId="7C5EC7B7" wp14:editId="5B20B5E2">
            <wp:extent cx="866775" cy="790575"/>
            <wp:effectExtent l="0" t="0" r="9525" b="9525"/>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tab/>
      </w:r>
      <w:r>
        <w:rPr>
          <w:noProof/>
        </w:rPr>
        <w:drawing>
          <wp:inline distT="0" distB="0" distL="0" distR="0" wp14:anchorId="10EE896E" wp14:editId="2A1AEAC6">
            <wp:extent cx="581025" cy="790575"/>
            <wp:effectExtent l="0" t="0" r="9525" b="9525"/>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90575"/>
                    </a:xfrm>
                    <a:prstGeom prst="rect">
                      <a:avLst/>
                    </a:prstGeom>
                    <a:noFill/>
                    <a:ln>
                      <a:noFill/>
                    </a:ln>
                  </pic:spPr>
                </pic:pic>
              </a:graphicData>
            </a:graphic>
          </wp:inline>
        </w:drawing>
      </w:r>
    </w:p>
    <w:p w14:paraId="180FBBFE" w14:textId="0F311C2E" w:rsidR="003F379C" w:rsidRPr="00B73264" w:rsidRDefault="00331E26" w:rsidP="003F379C">
      <w:pPr>
        <w:bidi w:val="0"/>
        <w:spacing w:after="0" w:line="480" w:lineRule="auto"/>
        <w:jc w:val="center"/>
        <w:rPr>
          <w:rFonts w:ascii="Times New Roman" w:eastAsia="Times New Roman" w:hAnsi="Times New Roman"/>
          <w:b/>
          <w:bCs/>
          <w:u w:val="single"/>
          <w:rtl/>
        </w:rPr>
      </w:pPr>
      <w:r w:rsidRPr="00B73264">
        <w:rPr>
          <w:rFonts w:ascii="Times New Roman" w:eastAsia="Times New Roman" w:hAnsi="Times New Roman"/>
          <w:b/>
          <w:bCs/>
          <w:u w:val="single"/>
          <w:rtl/>
        </w:rPr>
        <w:t>בבית הדין הצבאי לערעורים</w:t>
      </w:r>
    </w:p>
    <w:p w14:paraId="036BD5DB" w14:textId="77777777" w:rsidR="00331E26" w:rsidRPr="00B73264" w:rsidRDefault="00331E26" w:rsidP="00331E26">
      <w:pPr>
        <w:spacing w:after="0" w:line="480" w:lineRule="auto"/>
        <w:jc w:val="both"/>
        <w:rPr>
          <w:rFonts w:ascii="Times New Roman" w:eastAsia="Times New Roman" w:hAnsi="Times New Roman"/>
          <w:rtl/>
        </w:rPr>
      </w:pPr>
      <w:r w:rsidRPr="00B73264">
        <w:rPr>
          <w:rFonts w:ascii="Times New Roman" w:eastAsia="Times New Roman" w:hAnsi="Times New Roman" w:hint="cs"/>
          <w:rtl/>
        </w:rPr>
        <w:t>ב</w:t>
      </w:r>
      <w:r w:rsidRPr="00B73264">
        <w:rPr>
          <w:rFonts w:ascii="Times New Roman" w:eastAsia="Times New Roman" w:hAnsi="Times New Roman"/>
          <w:rtl/>
        </w:rPr>
        <w:t>פני:</w:t>
      </w:r>
    </w:p>
    <w:tbl>
      <w:tblPr>
        <w:bidiVisual/>
        <w:tblW w:w="0" w:type="auto"/>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355"/>
        <w:gridCol w:w="782"/>
        <w:gridCol w:w="2013"/>
      </w:tblGrid>
      <w:tr w:rsidR="00331E26" w:rsidRPr="00B73264" w14:paraId="35A4E807" w14:textId="77777777" w:rsidTr="00BF1226">
        <w:trPr>
          <w:trHeight w:val="656"/>
          <w:jc w:val="center"/>
        </w:trPr>
        <w:tc>
          <w:tcPr>
            <w:tcW w:w="2355" w:type="dxa"/>
          </w:tcPr>
          <w:p w14:paraId="5AF7EE33" w14:textId="1EDECAEC" w:rsidR="00331E26" w:rsidRPr="00B73264" w:rsidRDefault="007E7CBE" w:rsidP="00331E26">
            <w:pPr>
              <w:tabs>
                <w:tab w:val="right" w:pos="1897"/>
              </w:tabs>
              <w:spacing w:after="0" w:line="360" w:lineRule="auto"/>
              <w:jc w:val="both"/>
              <w:rPr>
                <w:rFonts w:ascii="Times New Roman" w:eastAsia="Times New Roman" w:hAnsi="Times New Roman"/>
                <w:b/>
                <w:bCs/>
                <w:rtl/>
              </w:rPr>
            </w:pPr>
            <w:r>
              <w:rPr>
                <w:rFonts w:ascii="Times New Roman" w:eastAsia="Times New Roman" w:hAnsi="Times New Roman" w:hint="cs"/>
                <w:b/>
                <w:bCs/>
                <w:rtl/>
              </w:rPr>
              <w:t xml:space="preserve">תא"ל  </w:t>
            </w:r>
            <w:r w:rsidR="00331E26" w:rsidRPr="00B73264">
              <w:rPr>
                <w:rFonts w:ascii="Times New Roman" w:eastAsia="Times New Roman" w:hAnsi="Times New Roman" w:hint="cs"/>
                <w:b/>
                <w:bCs/>
                <w:rtl/>
              </w:rPr>
              <w:t xml:space="preserve">אורלי </w:t>
            </w:r>
            <w:r w:rsidR="00331E26">
              <w:rPr>
                <w:rFonts w:ascii="Times New Roman" w:eastAsia="Times New Roman" w:hAnsi="Times New Roman" w:hint="cs"/>
                <w:b/>
                <w:bCs/>
                <w:rtl/>
              </w:rPr>
              <w:t xml:space="preserve">  </w:t>
            </w:r>
            <w:r w:rsidR="00331E26" w:rsidRPr="00B73264">
              <w:rPr>
                <w:rFonts w:ascii="Times New Roman" w:eastAsia="Times New Roman" w:hAnsi="Times New Roman" w:hint="cs"/>
                <w:b/>
                <w:bCs/>
                <w:rtl/>
              </w:rPr>
              <w:t>מרקמן</w:t>
            </w:r>
          </w:p>
        </w:tc>
        <w:tc>
          <w:tcPr>
            <w:tcW w:w="782" w:type="dxa"/>
          </w:tcPr>
          <w:p w14:paraId="747A0AD8" w14:textId="56FA0749" w:rsidR="00331E26" w:rsidRPr="00B73264" w:rsidRDefault="00331E26" w:rsidP="00331E26">
            <w:pPr>
              <w:spacing w:after="0" w:line="360" w:lineRule="auto"/>
              <w:rPr>
                <w:rFonts w:ascii="Times New Roman" w:eastAsia="Times New Roman" w:hAnsi="Times New Roman"/>
                <w:b/>
                <w:bCs/>
                <w:rtl/>
              </w:rPr>
            </w:pPr>
            <w:r>
              <w:rPr>
                <w:rFonts w:ascii="Times New Roman" w:eastAsia="Times New Roman" w:hAnsi="Times New Roman" w:hint="cs"/>
                <w:b/>
                <w:bCs/>
                <w:rtl/>
              </w:rPr>
              <w:t xml:space="preserve">  </w:t>
            </w:r>
            <w:r w:rsidRPr="00B73264">
              <w:rPr>
                <w:rFonts w:ascii="Times New Roman" w:eastAsia="Times New Roman" w:hAnsi="Times New Roman" w:hint="cs"/>
                <w:b/>
                <w:bCs/>
                <w:rtl/>
              </w:rPr>
              <w:t>-</w:t>
            </w:r>
          </w:p>
        </w:tc>
        <w:tc>
          <w:tcPr>
            <w:tcW w:w="2013" w:type="dxa"/>
          </w:tcPr>
          <w:p w14:paraId="08FEE507" w14:textId="770BC6AA" w:rsidR="00331E26" w:rsidRPr="00B73264" w:rsidRDefault="00BF1226" w:rsidP="008312EC">
            <w:pPr>
              <w:tabs>
                <w:tab w:val="right" w:pos="1789"/>
              </w:tabs>
              <w:spacing w:after="0" w:line="360" w:lineRule="auto"/>
              <w:jc w:val="both"/>
              <w:rPr>
                <w:rFonts w:ascii="Times New Roman" w:eastAsia="Times New Roman" w:hAnsi="Times New Roman"/>
                <w:rtl/>
              </w:rPr>
            </w:pPr>
            <w:r>
              <w:rPr>
                <w:rFonts w:ascii="Times New Roman" w:eastAsia="Times New Roman" w:hAnsi="Times New Roman" w:hint="cs"/>
                <w:rtl/>
              </w:rPr>
              <w:t>המשנה לנשיא</w:t>
            </w:r>
            <w:r w:rsidR="00331E26" w:rsidRPr="00B73264">
              <w:rPr>
                <w:rFonts w:ascii="Times New Roman" w:eastAsia="Times New Roman" w:hAnsi="Times New Roman"/>
                <w:rtl/>
              </w:rPr>
              <w:tab/>
            </w:r>
          </w:p>
        </w:tc>
      </w:tr>
      <w:tr w:rsidR="00331E26" w:rsidRPr="00B73264" w14:paraId="46FF6F0B" w14:textId="77777777" w:rsidTr="00BF1226">
        <w:trPr>
          <w:trHeight w:val="1366"/>
          <w:jc w:val="center"/>
        </w:trPr>
        <w:tc>
          <w:tcPr>
            <w:tcW w:w="2355" w:type="dxa"/>
          </w:tcPr>
          <w:p w14:paraId="12662E03" w14:textId="4E75F903" w:rsidR="00331E26" w:rsidRPr="00B73264" w:rsidRDefault="007E7CBE" w:rsidP="008312EC">
            <w:pPr>
              <w:tabs>
                <w:tab w:val="right" w:pos="1897"/>
              </w:tabs>
              <w:spacing w:after="0" w:line="480" w:lineRule="auto"/>
              <w:jc w:val="both"/>
              <w:rPr>
                <w:rFonts w:ascii="Times New Roman" w:eastAsia="Times New Roman" w:hAnsi="Times New Roman"/>
                <w:b/>
                <w:bCs/>
                <w:rtl/>
              </w:rPr>
            </w:pPr>
            <w:r>
              <w:rPr>
                <w:rFonts w:ascii="Times New Roman" w:eastAsia="Times New Roman" w:hAnsi="Times New Roman" w:hint="cs"/>
                <w:b/>
                <w:bCs/>
                <w:rtl/>
              </w:rPr>
              <w:t>אל"ם</w:t>
            </w:r>
            <w:r w:rsidR="00331E26">
              <w:rPr>
                <w:rFonts w:ascii="Times New Roman" w:eastAsia="Times New Roman" w:hAnsi="Times New Roman" w:hint="cs"/>
                <w:b/>
                <w:bCs/>
                <w:rtl/>
              </w:rPr>
              <w:t xml:space="preserve"> </w:t>
            </w:r>
            <w:r>
              <w:rPr>
                <w:rFonts w:ascii="Times New Roman" w:eastAsia="Times New Roman" w:hAnsi="Times New Roman" w:hint="cs"/>
                <w:b/>
                <w:bCs/>
                <w:rtl/>
              </w:rPr>
              <w:t xml:space="preserve"> </w:t>
            </w:r>
            <w:r w:rsidR="00331E26" w:rsidRPr="00B73264">
              <w:rPr>
                <w:rFonts w:ascii="Times New Roman" w:eastAsia="Times New Roman" w:hAnsi="Times New Roman" w:hint="cs"/>
                <w:b/>
                <w:bCs/>
                <w:rtl/>
              </w:rPr>
              <w:t xml:space="preserve">נועה  </w:t>
            </w:r>
            <w:r w:rsidR="00331E26">
              <w:rPr>
                <w:rFonts w:ascii="Times New Roman" w:eastAsia="Times New Roman" w:hAnsi="Times New Roman" w:hint="cs"/>
                <w:b/>
                <w:bCs/>
                <w:rtl/>
              </w:rPr>
              <w:t xml:space="preserve">       </w:t>
            </w:r>
            <w:r w:rsidR="00331E26" w:rsidRPr="00B73264">
              <w:rPr>
                <w:rFonts w:ascii="Times New Roman" w:eastAsia="Times New Roman" w:hAnsi="Times New Roman" w:hint="cs"/>
                <w:b/>
                <w:bCs/>
                <w:rtl/>
              </w:rPr>
              <w:t>זומר</w:t>
            </w:r>
          </w:p>
          <w:p w14:paraId="74FFD7EB" w14:textId="5B7E8095" w:rsidR="00331E26" w:rsidRPr="00B73264" w:rsidRDefault="00331E26" w:rsidP="008312EC">
            <w:pPr>
              <w:spacing w:after="0" w:line="480" w:lineRule="auto"/>
              <w:jc w:val="both"/>
              <w:rPr>
                <w:rFonts w:ascii="Times New Roman" w:eastAsia="Times New Roman" w:hAnsi="Times New Roman"/>
                <w:b/>
                <w:bCs/>
                <w:rtl/>
              </w:rPr>
            </w:pPr>
            <w:r w:rsidRPr="00B73264">
              <w:rPr>
                <w:rFonts w:ascii="Times New Roman" w:eastAsia="Times New Roman" w:hAnsi="Times New Roman" w:hint="cs"/>
                <w:b/>
                <w:bCs/>
                <w:rtl/>
              </w:rPr>
              <w:t>אל"ם</w:t>
            </w:r>
            <w:r>
              <w:rPr>
                <w:rFonts w:ascii="Times New Roman" w:eastAsia="Times New Roman" w:hAnsi="Times New Roman" w:hint="cs"/>
                <w:b/>
                <w:bCs/>
                <w:rtl/>
              </w:rPr>
              <w:t xml:space="preserve"> </w:t>
            </w:r>
            <w:r w:rsidR="007E7CBE">
              <w:rPr>
                <w:rFonts w:ascii="Times New Roman" w:eastAsia="Times New Roman" w:hAnsi="Times New Roman" w:hint="cs"/>
                <w:b/>
                <w:bCs/>
                <w:rtl/>
              </w:rPr>
              <w:t xml:space="preserve">  </w:t>
            </w:r>
            <w:r>
              <w:rPr>
                <w:rFonts w:ascii="Times New Roman" w:eastAsia="Times New Roman" w:hAnsi="Times New Roman" w:hint="cs"/>
                <w:b/>
                <w:bCs/>
                <w:rtl/>
              </w:rPr>
              <w:t>רמי    בן     עמי</w:t>
            </w:r>
          </w:p>
        </w:tc>
        <w:tc>
          <w:tcPr>
            <w:tcW w:w="782" w:type="dxa"/>
          </w:tcPr>
          <w:p w14:paraId="160B405E" w14:textId="2CF1EF50" w:rsidR="00331E26" w:rsidRPr="00B73264" w:rsidRDefault="00331E26" w:rsidP="00331E26">
            <w:pPr>
              <w:spacing w:after="0" w:line="480" w:lineRule="auto"/>
              <w:rPr>
                <w:rFonts w:ascii="Times New Roman" w:eastAsia="Times New Roman" w:hAnsi="Times New Roman"/>
                <w:b/>
                <w:bCs/>
                <w:rtl/>
              </w:rPr>
            </w:pPr>
            <w:r>
              <w:rPr>
                <w:rFonts w:ascii="Times New Roman" w:eastAsia="Times New Roman" w:hAnsi="Times New Roman" w:hint="cs"/>
                <w:b/>
                <w:bCs/>
                <w:rtl/>
              </w:rPr>
              <w:t xml:space="preserve">  </w:t>
            </w:r>
            <w:r w:rsidRPr="00B73264">
              <w:rPr>
                <w:rFonts w:ascii="Times New Roman" w:eastAsia="Times New Roman" w:hAnsi="Times New Roman" w:hint="cs"/>
                <w:b/>
                <w:bCs/>
                <w:rtl/>
              </w:rPr>
              <w:t>-</w:t>
            </w:r>
          </w:p>
          <w:p w14:paraId="48B12280" w14:textId="49A72CA4" w:rsidR="00331E26" w:rsidRPr="00B73264" w:rsidRDefault="00331E26" w:rsidP="008312EC">
            <w:pPr>
              <w:spacing w:after="0" w:line="480" w:lineRule="auto"/>
              <w:jc w:val="both"/>
              <w:rPr>
                <w:rFonts w:ascii="Times New Roman" w:eastAsia="Times New Roman" w:hAnsi="Times New Roman"/>
                <w:b/>
                <w:bCs/>
                <w:rtl/>
              </w:rPr>
            </w:pPr>
            <w:r w:rsidRPr="00B73264">
              <w:rPr>
                <w:rFonts w:ascii="Times New Roman" w:eastAsia="Times New Roman" w:hAnsi="Times New Roman" w:hint="cs"/>
                <w:rtl/>
              </w:rPr>
              <w:t xml:space="preserve">  </w:t>
            </w:r>
            <w:r w:rsidRPr="00B73264">
              <w:rPr>
                <w:rFonts w:ascii="Times New Roman" w:eastAsia="Times New Roman" w:hAnsi="Times New Roman" w:hint="cs"/>
                <w:b/>
                <w:bCs/>
                <w:rtl/>
              </w:rPr>
              <w:t xml:space="preserve">-   </w:t>
            </w:r>
          </w:p>
        </w:tc>
        <w:tc>
          <w:tcPr>
            <w:tcW w:w="2013" w:type="dxa"/>
          </w:tcPr>
          <w:p w14:paraId="4E8565DC" w14:textId="420527D7" w:rsidR="00331E26" w:rsidRPr="00B73264" w:rsidRDefault="00BF1226" w:rsidP="008312EC">
            <w:pPr>
              <w:spacing w:after="0" w:line="480" w:lineRule="auto"/>
              <w:jc w:val="both"/>
              <w:rPr>
                <w:rFonts w:ascii="Times New Roman" w:eastAsia="Times New Roman" w:hAnsi="Times New Roman"/>
                <w:rtl/>
              </w:rPr>
            </w:pPr>
            <w:r>
              <w:rPr>
                <w:rFonts w:ascii="Times New Roman" w:eastAsia="Times New Roman" w:hAnsi="Times New Roman" w:hint="cs"/>
                <w:rtl/>
              </w:rPr>
              <w:t xml:space="preserve">           שופטת</w:t>
            </w:r>
          </w:p>
          <w:p w14:paraId="6EA18F32" w14:textId="672F2A1F" w:rsidR="00331E26" w:rsidRPr="00B73264" w:rsidRDefault="00F02E7E" w:rsidP="008312EC">
            <w:pPr>
              <w:spacing w:after="0" w:line="480" w:lineRule="auto"/>
              <w:jc w:val="both"/>
              <w:rPr>
                <w:rFonts w:ascii="Times New Roman" w:eastAsia="Times New Roman" w:hAnsi="Times New Roman"/>
                <w:rtl/>
              </w:rPr>
            </w:pPr>
            <w:r>
              <w:rPr>
                <w:rFonts w:ascii="Times New Roman" w:eastAsia="Times New Roman" w:hAnsi="Times New Roman" w:hint="cs"/>
                <w:rtl/>
              </w:rPr>
              <w:t xml:space="preserve">          </w:t>
            </w:r>
            <w:r w:rsidR="00BF1226">
              <w:rPr>
                <w:rFonts w:ascii="Times New Roman" w:eastAsia="Times New Roman" w:hAnsi="Times New Roman" w:hint="cs"/>
                <w:rtl/>
              </w:rPr>
              <w:t xml:space="preserve">   </w:t>
            </w:r>
            <w:r w:rsidR="00331E26" w:rsidRPr="00B73264">
              <w:rPr>
                <w:rFonts w:ascii="Times New Roman" w:eastAsia="Times New Roman" w:hAnsi="Times New Roman" w:hint="cs"/>
                <w:rtl/>
              </w:rPr>
              <w:t>שופט</w:t>
            </w:r>
          </w:p>
        </w:tc>
      </w:tr>
    </w:tbl>
    <w:p w14:paraId="5053D8D4" w14:textId="77777777" w:rsidR="00331E26" w:rsidRPr="00B73264" w:rsidRDefault="00331E26" w:rsidP="00331E26">
      <w:pPr>
        <w:jc w:val="both"/>
        <w:rPr>
          <w:rFonts w:ascii="Tahoma" w:eastAsia="Times New Roman" w:hAnsi="Tahoma"/>
          <w:rtl/>
        </w:rPr>
      </w:pPr>
      <w:r w:rsidRPr="00B73264">
        <w:rPr>
          <w:rFonts w:ascii="Times New Roman" w:eastAsia="Times New Roman" w:hAnsi="Times New Roman" w:hint="cs"/>
          <w:rtl/>
        </w:rPr>
        <w:t>בעניין:</w:t>
      </w:r>
    </w:p>
    <w:p w14:paraId="3BB22312" w14:textId="478CF025" w:rsidR="00331E26" w:rsidRPr="00B73264" w:rsidRDefault="00F02E7E" w:rsidP="00331E26">
      <w:pPr>
        <w:spacing w:after="360"/>
        <w:jc w:val="center"/>
        <w:rPr>
          <w:rFonts w:ascii="Tahoma" w:eastAsia="Times New Roman" w:hAnsi="Tahoma"/>
          <w:rtl/>
        </w:rPr>
      </w:pPr>
      <w:r>
        <w:rPr>
          <w:rFonts w:ascii="Times New Roman" w:eastAsia="Times New Roman" w:hAnsi="Times New Roman" w:hint="cs"/>
          <w:b/>
          <w:bCs/>
          <w:rtl/>
        </w:rPr>
        <w:t>ב</w:t>
      </w:r>
      <w:r w:rsidR="00331E26" w:rsidRPr="00331E26">
        <w:rPr>
          <w:rFonts w:ascii="Times New Roman" w:eastAsia="Times New Roman" w:hAnsi="Times New Roman" w:hint="cs"/>
          <w:b/>
          <w:bCs/>
          <w:rtl/>
        </w:rPr>
        <w:t>/</w:t>
      </w:r>
      <w:r w:rsidR="00F902FD">
        <w:rPr>
          <w:rFonts w:ascii="Times New Roman" w:eastAsia="Times New Roman" w:hAnsi="Times New Roman" w:hint="cs"/>
          <w:b/>
          <w:bCs/>
          <w:rtl/>
        </w:rPr>
        <w:t>*******</w:t>
      </w:r>
      <w:r w:rsidR="00331E26" w:rsidRPr="00331E26">
        <w:rPr>
          <w:rFonts w:ascii="Times New Roman" w:eastAsia="Times New Roman" w:hAnsi="Times New Roman" w:hint="cs"/>
          <w:b/>
          <w:bCs/>
          <w:rtl/>
        </w:rPr>
        <w:t xml:space="preserve"> טוראי </w:t>
      </w:r>
      <w:r w:rsidR="00F902FD">
        <w:rPr>
          <w:rFonts w:ascii="Times New Roman" w:eastAsia="Times New Roman" w:hAnsi="Times New Roman" w:hint="cs"/>
          <w:b/>
          <w:bCs/>
          <w:rtl/>
        </w:rPr>
        <w:t>ח' א'</w:t>
      </w:r>
      <w:r w:rsidR="00331E26" w:rsidRPr="00331E26">
        <w:rPr>
          <w:rFonts w:ascii="Times New Roman" w:eastAsia="Times New Roman" w:hAnsi="Times New Roman" w:hint="cs"/>
          <w:b/>
          <w:bCs/>
          <w:rtl/>
        </w:rPr>
        <w:t xml:space="preserve"> </w:t>
      </w:r>
      <w:r w:rsidR="00331E26" w:rsidRPr="00B73264">
        <w:rPr>
          <w:rFonts w:ascii="Times New Roman" w:eastAsia="Times New Roman" w:hAnsi="Times New Roman"/>
          <w:b/>
          <w:bCs/>
          <w:rtl/>
        </w:rPr>
        <w:t>–</w:t>
      </w:r>
      <w:r w:rsidR="00331E26" w:rsidRPr="00B73264">
        <w:rPr>
          <w:rFonts w:ascii="Times New Roman" w:eastAsia="Times New Roman" w:hAnsi="Times New Roman"/>
          <w:rtl/>
        </w:rPr>
        <w:t xml:space="preserve"> </w:t>
      </w:r>
      <w:r w:rsidR="00331E26" w:rsidRPr="00B73264">
        <w:rPr>
          <w:rFonts w:ascii="Times New Roman" w:eastAsia="Times New Roman" w:hAnsi="Times New Roman" w:hint="cs"/>
          <w:rtl/>
        </w:rPr>
        <w:t>המערער</w:t>
      </w:r>
      <w:r w:rsidR="00331E26">
        <w:rPr>
          <w:rFonts w:ascii="Times New Roman" w:eastAsia="Times New Roman" w:hAnsi="Times New Roman" w:hint="cs"/>
          <w:rtl/>
        </w:rPr>
        <w:t>ת</w:t>
      </w:r>
      <w:r w:rsidR="00331E26" w:rsidRPr="00B73264">
        <w:rPr>
          <w:rFonts w:ascii="Times New Roman" w:eastAsia="Times New Roman" w:hAnsi="Times New Roman"/>
          <w:rtl/>
        </w:rPr>
        <w:t xml:space="preserve"> (ע"י ב"כ,</w:t>
      </w:r>
      <w:r w:rsidR="00331E26" w:rsidRPr="00B73264">
        <w:rPr>
          <w:rFonts w:ascii="Times New Roman" w:eastAsia="Times New Roman" w:hAnsi="Times New Roman" w:hint="cs"/>
          <w:rtl/>
        </w:rPr>
        <w:t xml:space="preserve"> </w:t>
      </w:r>
      <w:r w:rsidR="00331E26">
        <w:rPr>
          <w:rFonts w:ascii="Times New Roman" w:eastAsia="Times New Roman" w:hAnsi="Times New Roman" w:hint="cs"/>
          <w:rtl/>
        </w:rPr>
        <w:t>עו"ד גיל בנדל</w:t>
      </w:r>
      <w:r w:rsidR="00331E26" w:rsidRPr="00B73264">
        <w:rPr>
          <w:rFonts w:ascii="Times New Roman" w:eastAsia="Times New Roman" w:hAnsi="Times New Roman"/>
          <w:rtl/>
        </w:rPr>
        <w:t>)</w:t>
      </w:r>
    </w:p>
    <w:p w14:paraId="3BF82C27" w14:textId="77777777" w:rsidR="00331E26" w:rsidRPr="00B73264" w:rsidRDefault="00331E26" w:rsidP="00331E26">
      <w:pPr>
        <w:spacing w:after="360"/>
        <w:jc w:val="center"/>
        <w:rPr>
          <w:rFonts w:ascii="Tahoma" w:eastAsia="Times New Roman" w:hAnsi="Tahoma"/>
          <w:rtl/>
        </w:rPr>
      </w:pPr>
      <w:r w:rsidRPr="00B73264">
        <w:rPr>
          <w:rFonts w:ascii="Times New Roman" w:eastAsia="Times New Roman" w:hAnsi="Times New Roman"/>
          <w:b/>
          <w:bCs/>
          <w:rtl/>
        </w:rPr>
        <w:t>נ ג ד</w:t>
      </w:r>
    </w:p>
    <w:p w14:paraId="3AC29A00" w14:textId="730B6C31" w:rsidR="00331E26" w:rsidRPr="00B73264" w:rsidRDefault="00331E26" w:rsidP="00331E26">
      <w:pPr>
        <w:jc w:val="center"/>
        <w:rPr>
          <w:rFonts w:ascii="Times New Roman" w:eastAsia="Times New Roman" w:hAnsi="Times New Roman"/>
          <w:rtl/>
        </w:rPr>
      </w:pPr>
      <w:r w:rsidRPr="00B73264">
        <w:rPr>
          <w:rFonts w:ascii="David" w:eastAsia="Times New Roman" w:hAnsi="David" w:hint="cs"/>
          <w:b/>
          <w:bCs/>
          <w:rtl/>
        </w:rPr>
        <w:t>התובע הצבאי הראשי</w:t>
      </w:r>
      <w:r w:rsidRPr="00B73264">
        <w:rPr>
          <w:rFonts w:ascii="Times New Roman" w:eastAsia="Times New Roman" w:hAnsi="Times New Roman"/>
          <w:b/>
          <w:bCs/>
          <w:rtl/>
        </w:rPr>
        <w:t xml:space="preserve"> –</w:t>
      </w:r>
      <w:r w:rsidRPr="00B73264">
        <w:rPr>
          <w:rFonts w:ascii="Times New Roman" w:eastAsia="Times New Roman" w:hAnsi="Times New Roman"/>
          <w:rtl/>
        </w:rPr>
        <w:t xml:space="preserve"> המ</w:t>
      </w:r>
      <w:r w:rsidRPr="00B73264">
        <w:rPr>
          <w:rFonts w:ascii="Times New Roman" w:eastAsia="Times New Roman" w:hAnsi="Times New Roman" w:hint="cs"/>
          <w:rtl/>
        </w:rPr>
        <w:t>שיב</w:t>
      </w:r>
      <w:r w:rsidRPr="00B73264">
        <w:rPr>
          <w:rFonts w:ascii="Times New Roman" w:eastAsia="Times New Roman" w:hAnsi="Times New Roman"/>
          <w:rtl/>
        </w:rPr>
        <w:t xml:space="preserve"> (ע"י ב"כ</w:t>
      </w:r>
      <w:r w:rsidRPr="00B73264">
        <w:rPr>
          <w:rFonts w:ascii="Times New Roman" w:eastAsia="Times New Roman" w:hAnsi="Times New Roman" w:hint="cs"/>
          <w:rtl/>
        </w:rPr>
        <w:t xml:space="preserve">, </w:t>
      </w:r>
      <w:r w:rsidR="00F02E7E">
        <w:rPr>
          <w:rFonts w:ascii="Times New Roman" w:eastAsia="Times New Roman" w:hAnsi="Times New Roman" w:hint="cs"/>
          <w:rtl/>
        </w:rPr>
        <w:t>סרן עינב אוראל כהן</w:t>
      </w:r>
      <w:r>
        <w:rPr>
          <w:rFonts w:ascii="Times New Roman" w:eastAsia="Times New Roman" w:hAnsi="Times New Roman" w:hint="cs"/>
          <w:rtl/>
        </w:rPr>
        <w:t>;</w:t>
      </w:r>
      <w:r w:rsidR="00F02E7E" w:rsidRPr="00F02E7E">
        <w:rPr>
          <w:rFonts w:ascii="Times New Roman" w:eastAsia="Times New Roman" w:hAnsi="Times New Roman" w:hint="cs"/>
          <w:rtl/>
        </w:rPr>
        <w:t xml:space="preserve"> </w:t>
      </w:r>
      <w:r w:rsidR="00F02E7E">
        <w:rPr>
          <w:rFonts w:ascii="Times New Roman" w:eastAsia="Times New Roman" w:hAnsi="Times New Roman" w:hint="cs"/>
          <w:rtl/>
        </w:rPr>
        <w:t>סגן עמית בן שלום)</w:t>
      </w:r>
    </w:p>
    <w:p w14:paraId="569AD6ED" w14:textId="01CF6CBF" w:rsidR="00331E26" w:rsidRDefault="00331E26" w:rsidP="00331E26">
      <w:pPr>
        <w:spacing w:before="600" w:after="480" w:line="360" w:lineRule="auto"/>
        <w:jc w:val="both"/>
        <w:rPr>
          <w:rFonts w:ascii="Times New Roman" w:eastAsia="Times New Roman" w:hAnsi="Times New Roman"/>
          <w:rtl/>
        </w:rPr>
      </w:pPr>
      <w:r w:rsidRPr="00B73264">
        <w:rPr>
          <w:rFonts w:ascii="Times New Roman" w:eastAsia="Times New Roman" w:hAnsi="Times New Roman"/>
          <w:rtl/>
        </w:rPr>
        <w:t>ערעור על פסק</w:t>
      </w:r>
      <w:r w:rsidRPr="00B73264">
        <w:rPr>
          <w:rFonts w:ascii="Times New Roman" w:eastAsia="Times New Roman" w:hAnsi="Times New Roman" w:hint="cs"/>
          <w:rtl/>
        </w:rPr>
        <w:t xml:space="preserve"> </w:t>
      </w:r>
      <w:r w:rsidRPr="00B73264">
        <w:rPr>
          <w:rFonts w:ascii="Times New Roman" w:eastAsia="Times New Roman" w:hAnsi="Times New Roman"/>
          <w:rtl/>
        </w:rPr>
        <w:t>דין של בית הדין הצבאי המחוזי במחוז שיפוט</w:t>
      </w:r>
      <w:r w:rsidRPr="00B73264">
        <w:rPr>
          <w:rFonts w:ascii="Times New Roman" w:eastAsia="Times New Roman" w:hAnsi="Times New Roman" w:hint="cs"/>
          <w:rtl/>
        </w:rPr>
        <w:t>י</w:t>
      </w:r>
      <w:r w:rsidRPr="00B73264">
        <w:rPr>
          <w:rFonts w:ascii="Times New Roman" w:eastAsia="Times New Roman" w:hAnsi="Times New Roman"/>
          <w:rtl/>
        </w:rPr>
        <w:t xml:space="preserve"> </w:t>
      </w:r>
      <w:r>
        <w:rPr>
          <w:rFonts w:ascii="Times New Roman" w:eastAsia="Times New Roman" w:hAnsi="Times New Roman" w:hint="cs"/>
          <w:rtl/>
        </w:rPr>
        <w:t xml:space="preserve">המטכ"ל </w:t>
      </w:r>
      <w:r w:rsidRPr="00B73264">
        <w:rPr>
          <w:rFonts w:ascii="Times New Roman" w:eastAsia="Times New Roman" w:hAnsi="Times New Roman"/>
          <w:rtl/>
        </w:rPr>
        <w:t>שניתן בתיק</w:t>
      </w:r>
      <w:r w:rsidRPr="00B73264">
        <w:rPr>
          <w:rFonts w:ascii="Times New Roman" w:eastAsia="Times New Roman" w:hAnsi="Times New Roman" w:hint="cs"/>
          <w:rtl/>
        </w:rPr>
        <w:t xml:space="preserve"> </w:t>
      </w:r>
      <w:r>
        <w:rPr>
          <w:rFonts w:ascii="Times New Roman" w:eastAsia="Times New Roman" w:hAnsi="Times New Roman" w:hint="cs"/>
          <w:rtl/>
        </w:rPr>
        <w:t>מטכ"ל</w:t>
      </w:r>
      <w:r w:rsidRPr="00B73264">
        <w:rPr>
          <w:rFonts w:ascii="Times New Roman" w:eastAsia="Times New Roman" w:hAnsi="Times New Roman" w:hint="cs"/>
          <w:rtl/>
        </w:rPr>
        <w:t xml:space="preserve"> (מחוזי) </w:t>
      </w:r>
      <w:r>
        <w:rPr>
          <w:rFonts w:ascii="Times New Roman" w:eastAsia="Times New Roman" w:hAnsi="Times New Roman" w:hint="cs"/>
          <w:rtl/>
        </w:rPr>
        <w:t>324/21</w:t>
      </w:r>
      <w:r w:rsidRPr="00B73264">
        <w:rPr>
          <w:rFonts w:ascii="Times New Roman" w:eastAsia="Times New Roman" w:hAnsi="Times New Roman" w:hint="cs"/>
          <w:rtl/>
        </w:rPr>
        <w:t xml:space="preserve"> </w:t>
      </w:r>
      <w:r w:rsidRPr="00B73264">
        <w:rPr>
          <w:rFonts w:ascii="Times New Roman" w:eastAsia="Times New Roman" w:hAnsi="Times New Roman"/>
          <w:rtl/>
        </w:rPr>
        <w:t>(</w:t>
      </w:r>
      <w:r>
        <w:rPr>
          <w:rFonts w:ascii="Times New Roman" w:eastAsia="Times New Roman" w:hAnsi="Times New Roman" w:hint="cs"/>
          <w:rtl/>
        </w:rPr>
        <w:t>סא"ל ענת שחר ויינברג</w:t>
      </w:r>
      <w:r w:rsidRPr="00B73264">
        <w:rPr>
          <w:rFonts w:ascii="Times New Roman" w:eastAsia="Times New Roman" w:hAnsi="Times New Roman" w:hint="cs"/>
          <w:rtl/>
        </w:rPr>
        <w:t xml:space="preserve"> </w:t>
      </w:r>
      <w:r w:rsidRPr="00B73264">
        <w:rPr>
          <w:rFonts w:ascii="Times New Roman" w:eastAsia="Times New Roman" w:hAnsi="Times New Roman"/>
          <w:rtl/>
        </w:rPr>
        <w:t>–</w:t>
      </w:r>
      <w:r w:rsidRPr="00B73264">
        <w:rPr>
          <w:rFonts w:ascii="Times New Roman" w:eastAsia="Times New Roman" w:hAnsi="Times New Roman" w:hint="cs"/>
          <w:rtl/>
        </w:rPr>
        <w:t xml:space="preserve"> </w:t>
      </w:r>
      <w:r w:rsidR="00F02E7E">
        <w:rPr>
          <w:rFonts w:ascii="Times New Roman" w:eastAsia="Times New Roman" w:hAnsi="Times New Roman" w:hint="cs"/>
          <w:rtl/>
        </w:rPr>
        <w:t>שופטת</w:t>
      </w:r>
      <w:r w:rsidRPr="00B73264">
        <w:rPr>
          <w:rFonts w:ascii="Times New Roman" w:eastAsia="Times New Roman" w:hAnsi="Times New Roman"/>
          <w:rtl/>
        </w:rPr>
        <w:t>) ב</w:t>
      </w:r>
      <w:r w:rsidRPr="00B73264">
        <w:rPr>
          <w:rFonts w:ascii="Times New Roman" w:eastAsia="Times New Roman" w:hAnsi="Times New Roman" w:hint="cs"/>
          <w:rtl/>
        </w:rPr>
        <w:t xml:space="preserve">יום </w:t>
      </w:r>
      <w:r>
        <w:rPr>
          <w:rFonts w:ascii="Times New Roman" w:eastAsia="Times New Roman" w:hAnsi="Times New Roman" w:hint="cs"/>
          <w:rtl/>
        </w:rPr>
        <w:t>22.11.2021</w:t>
      </w:r>
      <w:r w:rsidRPr="00B73264">
        <w:rPr>
          <w:rFonts w:ascii="Times New Roman" w:eastAsia="Times New Roman" w:hAnsi="Times New Roman"/>
          <w:rtl/>
        </w:rPr>
        <w:t xml:space="preserve">. </w:t>
      </w:r>
      <w:r w:rsidRPr="00B73264">
        <w:rPr>
          <w:rFonts w:ascii="Times New Roman" w:eastAsia="Times New Roman" w:hAnsi="Times New Roman" w:hint="cs"/>
          <w:rtl/>
        </w:rPr>
        <w:t>הערעור (</w:t>
      </w:r>
      <w:r>
        <w:rPr>
          <w:rFonts w:ascii="Times New Roman" w:eastAsia="Times New Roman" w:hAnsi="Times New Roman" w:hint="cs"/>
          <w:rtl/>
        </w:rPr>
        <w:t xml:space="preserve">חומרת </w:t>
      </w:r>
      <w:r w:rsidRPr="00B73264">
        <w:rPr>
          <w:rFonts w:ascii="Times New Roman" w:eastAsia="Times New Roman" w:hAnsi="Times New Roman" w:hint="cs"/>
          <w:rtl/>
        </w:rPr>
        <w:t>העונש</w:t>
      </w:r>
      <w:r w:rsidRPr="00B73264">
        <w:rPr>
          <w:rFonts w:ascii="Times New Roman" w:eastAsia="Times New Roman" w:hAnsi="Times New Roman"/>
          <w:rtl/>
        </w:rPr>
        <w:t>)</w:t>
      </w:r>
      <w:r w:rsidRPr="00B73264">
        <w:rPr>
          <w:rFonts w:ascii="Times New Roman" w:eastAsia="Times New Roman" w:hAnsi="Times New Roman" w:hint="cs"/>
          <w:rtl/>
        </w:rPr>
        <w:t xml:space="preserve"> </w:t>
      </w:r>
      <w:r>
        <w:rPr>
          <w:rFonts w:ascii="Times New Roman" w:eastAsia="Times New Roman" w:hAnsi="Times New Roman" w:hint="cs"/>
          <w:rtl/>
        </w:rPr>
        <w:t>נדחה</w:t>
      </w:r>
      <w:r w:rsidRPr="00B73264">
        <w:rPr>
          <w:rFonts w:ascii="Times New Roman" w:eastAsia="Times New Roman" w:hAnsi="Times New Roman" w:hint="cs"/>
          <w:rtl/>
        </w:rPr>
        <w:t>.</w:t>
      </w:r>
    </w:p>
    <w:p w14:paraId="6728F10B" w14:textId="77777777" w:rsidR="00331E26" w:rsidRPr="00331E26" w:rsidRDefault="00331E26" w:rsidP="00331E26">
      <w:pPr>
        <w:spacing w:before="600" w:after="480" w:line="360" w:lineRule="auto"/>
        <w:jc w:val="both"/>
        <w:rPr>
          <w:rFonts w:ascii="Times New Roman" w:eastAsia="Times New Roman" w:hAnsi="Times New Roman"/>
          <w:sz w:val="16"/>
          <w:szCs w:val="16"/>
          <w:rtl/>
        </w:rPr>
      </w:pPr>
    </w:p>
    <w:p w14:paraId="528342A6" w14:textId="77777777" w:rsidR="00730604" w:rsidRPr="000761A9" w:rsidRDefault="00730604" w:rsidP="00730604">
      <w:pPr>
        <w:spacing w:after="0" w:line="360" w:lineRule="auto"/>
        <w:contextualSpacing/>
        <w:jc w:val="center"/>
        <w:outlineLvl w:val="0"/>
        <w:rPr>
          <w:b/>
          <w:bCs/>
          <w:u w:val="single"/>
          <w:rtl/>
        </w:rPr>
      </w:pPr>
      <w:r w:rsidRPr="000761A9">
        <w:rPr>
          <w:rFonts w:hint="cs"/>
          <w:b/>
          <w:bCs/>
          <w:u w:val="single"/>
          <w:rtl/>
        </w:rPr>
        <w:t>פ</w:t>
      </w:r>
      <w:r>
        <w:rPr>
          <w:rFonts w:hint="cs"/>
          <w:b/>
          <w:bCs/>
          <w:u w:val="single"/>
          <w:rtl/>
        </w:rPr>
        <w:t xml:space="preserve"> </w:t>
      </w:r>
      <w:r w:rsidRPr="000761A9">
        <w:rPr>
          <w:rFonts w:hint="cs"/>
          <w:b/>
          <w:bCs/>
          <w:u w:val="single"/>
          <w:rtl/>
        </w:rPr>
        <w:t>ס</w:t>
      </w:r>
      <w:r>
        <w:rPr>
          <w:rFonts w:hint="cs"/>
          <w:b/>
          <w:bCs/>
          <w:u w:val="single"/>
          <w:rtl/>
        </w:rPr>
        <w:t xml:space="preserve"> </w:t>
      </w:r>
      <w:r w:rsidRPr="000761A9">
        <w:rPr>
          <w:rFonts w:hint="cs"/>
          <w:b/>
          <w:bCs/>
          <w:u w:val="single"/>
          <w:rtl/>
        </w:rPr>
        <w:t>ק</w:t>
      </w:r>
      <w:r>
        <w:rPr>
          <w:rFonts w:hint="cs"/>
          <w:b/>
          <w:bCs/>
          <w:u w:val="single"/>
          <w:rtl/>
        </w:rPr>
        <w:t xml:space="preserve"> </w:t>
      </w:r>
      <w:r w:rsidRPr="000761A9">
        <w:rPr>
          <w:rFonts w:hint="cs"/>
          <w:b/>
          <w:bCs/>
          <w:u w:val="single"/>
          <w:rtl/>
        </w:rPr>
        <w:t>-</w:t>
      </w:r>
      <w:r>
        <w:rPr>
          <w:rFonts w:hint="cs"/>
          <w:b/>
          <w:bCs/>
          <w:u w:val="single"/>
          <w:rtl/>
        </w:rPr>
        <w:t xml:space="preserve"> </w:t>
      </w:r>
      <w:r w:rsidRPr="000761A9">
        <w:rPr>
          <w:rFonts w:hint="cs"/>
          <w:b/>
          <w:bCs/>
          <w:u w:val="single"/>
          <w:rtl/>
        </w:rPr>
        <w:t>ד</w:t>
      </w:r>
      <w:r>
        <w:rPr>
          <w:rFonts w:hint="cs"/>
          <w:b/>
          <w:bCs/>
          <w:u w:val="single"/>
          <w:rtl/>
        </w:rPr>
        <w:t xml:space="preserve"> </w:t>
      </w:r>
      <w:r w:rsidRPr="000761A9">
        <w:rPr>
          <w:rFonts w:hint="cs"/>
          <w:b/>
          <w:bCs/>
          <w:u w:val="single"/>
          <w:rtl/>
        </w:rPr>
        <w:t>י</w:t>
      </w:r>
      <w:r>
        <w:rPr>
          <w:rFonts w:hint="cs"/>
          <w:b/>
          <w:bCs/>
          <w:u w:val="single"/>
          <w:rtl/>
        </w:rPr>
        <w:t xml:space="preserve"> </w:t>
      </w:r>
      <w:r w:rsidRPr="000761A9">
        <w:rPr>
          <w:rFonts w:hint="cs"/>
          <w:b/>
          <w:bCs/>
          <w:u w:val="single"/>
          <w:rtl/>
        </w:rPr>
        <w:t>ן</w:t>
      </w:r>
    </w:p>
    <w:p w14:paraId="10A0B293" w14:textId="77777777" w:rsidR="00730604" w:rsidRPr="000761A9" w:rsidRDefault="00730604" w:rsidP="00730604">
      <w:pPr>
        <w:pStyle w:val="1"/>
        <w:tabs>
          <w:tab w:val="left" w:pos="283"/>
        </w:tabs>
        <w:spacing w:line="360" w:lineRule="auto"/>
        <w:ind w:left="0"/>
        <w:jc w:val="both"/>
        <w:outlineLvl w:val="0"/>
        <w:rPr>
          <w:rFonts w:cs="David"/>
          <w:b/>
          <w:bCs/>
          <w:sz w:val="28"/>
          <w:szCs w:val="28"/>
          <w:u w:val="single"/>
          <w:rtl/>
        </w:rPr>
      </w:pPr>
      <w:r w:rsidRPr="000761A9">
        <w:rPr>
          <w:rFonts w:cs="David" w:hint="cs"/>
          <w:b/>
          <w:bCs/>
          <w:sz w:val="28"/>
          <w:szCs w:val="28"/>
          <w:u w:val="single"/>
          <w:rtl/>
        </w:rPr>
        <w:t>רקע</w:t>
      </w:r>
    </w:p>
    <w:p w14:paraId="7FEF63D3" w14:textId="4C600BEB" w:rsidR="00730604" w:rsidRPr="000761A9" w:rsidRDefault="00730604" w:rsidP="00E57DB0">
      <w:pPr>
        <w:numPr>
          <w:ilvl w:val="0"/>
          <w:numId w:val="1"/>
        </w:numPr>
        <w:tabs>
          <w:tab w:val="left" w:pos="226"/>
        </w:tabs>
        <w:spacing w:after="0" w:line="360" w:lineRule="auto"/>
        <w:ind w:left="-58" w:firstLine="0"/>
        <w:jc w:val="both"/>
      </w:pPr>
      <w:r w:rsidRPr="000761A9">
        <w:rPr>
          <w:rFonts w:hint="cs"/>
          <w:rtl/>
        </w:rPr>
        <w:t xml:space="preserve">טור' </w:t>
      </w:r>
      <w:r w:rsidR="00F902FD">
        <w:rPr>
          <w:rFonts w:hint="cs"/>
          <w:rtl/>
        </w:rPr>
        <w:t xml:space="preserve">ח' א' </w:t>
      </w:r>
      <w:r w:rsidRPr="000761A9">
        <w:rPr>
          <w:rFonts w:hint="cs"/>
          <w:rtl/>
        </w:rPr>
        <w:t xml:space="preserve">, </w:t>
      </w:r>
      <w:r w:rsidRPr="00E57DB0">
        <w:rPr>
          <w:rFonts w:hint="cs"/>
          <w:b/>
          <w:bCs/>
          <w:rtl/>
        </w:rPr>
        <w:t>המערערת</w:t>
      </w:r>
      <w:r w:rsidRPr="000761A9">
        <w:rPr>
          <w:rFonts w:hint="cs"/>
          <w:rtl/>
        </w:rPr>
        <w:t>, הורשע</w:t>
      </w:r>
      <w:r>
        <w:rPr>
          <w:rFonts w:hint="cs"/>
          <w:rtl/>
        </w:rPr>
        <w:t>ה</w:t>
      </w:r>
      <w:r w:rsidRPr="000761A9">
        <w:rPr>
          <w:rFonts w:hint="cs"/>
          <w:rtl/>
        </w:rPr>
        <w:t xml:space="preserve"> לפי הודאת</w:t>
      </w:r>
      <w:r>
        <w:rPr>
          <w:rFonts w:hint="cs"/>
          <w:rtl/>
        </w:rPr>
        <w:t>ה</w:t>
      </w:r>
      <w:r w:rsidRPr="000761A9">
        <w:rPr>
          <w:rFonts w:hint="cs"/>
          <w:rtl/>
        </w:rPr>
        <w:t xml:space="preserve"> בעבירה של היעדר מן השירות שלא ברשות, לפי סעיף 94 לחוק השיפוט הצבאי, התשט"ו-195</w:t>
      </w:r>
      <w:r>
        <w:rPr>
          <w:rFonts w:hint="cs"/>
          <w:rtl/>
        </w:rPr>
        <w:t>5</w:t>
      </w:r>
      <w:r w:rsidR="00D55E35">
        <w:rPr>
          <w:rFonts w:hint="cs"/>
          <w:rtl/>
        </w:rPr>
        <w:t>,</w:t>
      </w:r>
      <w:r>
        <w:rPr>
          <w:rFonts w:hint="cs"/>
          <w:rtl/>
        </w:rPr>
        <w:t xml:space="preserve"> </w:t>
      </w:r>
      <w:r w:rsidRPr="000761A9">
        <w:rPr>
          <w:rFonts w:hint="cs"/>
          <w:rtl/>
        </w:rPr>
        <w:t xml:space="preserve">בגין </w:t>
      </w:r>
      <w:r>
        <w:rPr>
          <w:rFonts w:hint="cs"/>
          <w:rtl/>
        </w:rPr>
        <w:t>ה</w:t>
      </w:r>
      <w:r w:rsidR="00D55E35">
        <w:rPr>
          <w:rFonts w:hint="cs"/>
          <w:rtl/>
        </w:rPr>
        <w:t>יעדרותה משירות צבאי (השתמטות)</w:t>
      </w:r>
      <w:r>
        <w:rPr>
          <w:rFonts w:hint="cs"/>
          <w:rtl/>
        </w:rPr>
        <w:t>, החל מיום</w:t>
      </w:r>
      <w:r w:rsidRPr="000761A9">
        <w:rPr>
          <w:rFonts w:hint="cs"/>
          <w:rtl/>
        </w:rPr>
        <w:t xml:space="preserve"> </w:t>
      </w:r>
      <w:r w:rsidR="00E57DB0">
        <w:rPr>
          <w:rFonts w:hint="cs"/>
          <w:rtl/>
        </w:rPr>
        <w:t xml:space="preserve">16.7.2018 ועד ליום 17.10.2021, במשך 1190 </w:t>
      </w:r>
      <w:r w:rsidR="00E57DB0" w:rsidRPr="00EA5CBF">
        <w:rPr>
          <w:rFonts w:hint="cs"/>
          <w:rtl/>
        </w:rPr>
        <w:t>ימים</w:t>
      </w:r>
      <w:r w:rsidR="00E57DB0">
        <w:rPr>
          <w:rFonts w:hint="cs"/>
          <w:rtl/>
        </w:rPr>
        <w:t xml:space="preserve">. היעדרותה הסתיימה בהתייצבותה. </w:t>
      </w:r>
    </w:p>
    <w:p w14:paraId="1DD59F39" w14:textId="77777777" w:rsidR="00730604" w:rsidRPr="000761A9" w:rsidRDefault="00730604" w:rsidP="00E57DB0">
      <w:pPr>
        <w:numPr>
          <w:ilvl w:val="0"/>
          <w:numId w:val="1"/>
        </w:numPr>
        <w:tabs>
          <w:tab w:val="left" w:pos="226"/>
        </w:tabs>
        <w:spacing w:after="0" w:line="360" w:lineRule="auto"/>
        <w:ind w:left="-58" w:firstLine="0"/>
        <w:jc w:val="both"/>
      </w:pPr>
      <w:r w:rsidRPr="000761A9">
        <w:rPr>
          <w:rFonts w:hint="cs"/>
          <w:rtl/>
        </w:rPr>
        <w:lastRenderedPageBreak/>
        <w:t>בית הדין קמא הנכבד השית על המערער</w:t>
      </w:r>
      <w:r w:rsidR="00E57DB0">
        <w:rPr>
          <w:rFonts w:hint="cs"/>
          <w:rtl/>
        </w:rPr>
        <w:t>ת</w:t>
      </w:r>
      <w:r w:rsidRPr="000761A9">
        <w:rPr>
          <w:rFonts w:hint="cs"/>
          <w:rtl/>
        </w:rPr>
        <w:t xml:space="preserve"> </w:t>
      </w:r>
      <w:r w:rsidR="00E57DB0">
        <w:rPr>
          <w:rFonts w:hint="cs"/>
          <w:rtl/>
        </w:rPr>
        <w:t>80</w:t>
      </w:r>
      <w:r w:rsidRPr="000761A9">
        <w:rPr>
          <w:rFonts w:hint="cs"/>
          <w:rtl/>
        </w:rPr>
        <w:t xml:space="preserve"> ימי מאסר בפועל, בכליאה ממשית,</w:t>
      </w:r>
      <w:r w:rsidR="00E57DB0">
        <w:rPr>
          <w:rFonts w:hint="cs"/>
          <w:rtl/>
        </w:rPr>
        <w:t xml:space="preserve"> לצד מאסר מותנה בן עשרה ימים</w:t>
      </w:r>
      <w:r w:rsidR="00A05C07">
        <w:rPr>
          <w:rFonts w:hint="cs"/>
          <w:rtl/>
        </w:rPr>
        <w:t xml:space="preserve"> למשך חצי שנה</w:t>
      </w:r>
      <w:r w:rsidR="00E57DB0">
        <w:rPr>
          <w:rFonts w:hint="cs"/>
          <w:rtl/>
        </w:rPr>
        <w:t>, לבל תעבור את העבירה שבה הורשעה</w:t>
      </w:r>
      <w:r w:rsidRPr="000761A9">
        <w:rPr>
          <w:rFonts w:hint="cs"/>
          <w:rtl/>
        </w:rPr>
        <w:t>.</w:t>
      </w:r>
    </w:p>
    <w:p w14:paraId="274A1411" w14:textId="77777777" w:rsidR="00730604" w:rsidRPr="000761A9" w:rsidRDefault="00730604" w:rsidP="00992BE3">
      <w:pPr>
        <w:numPr>
          <w:ilvl w:val="0"/>
          <w:numId w:val="1"/>
        </w:numPr>
        <w:tabs>
          <w:tab w:val="left" w:pos="282"/>
        </w:tabs>
        <w:spacing w:after="0" w:line="360" w:lineRule="auto"/>
        <w:ind w:left="-57" w:firstLine="0"/>
        <w:jc w:val="both"/>
      </w:pPr>
      <w:r w:rsidRPr="000761A9">
        <w:rPr>
          <w:rFonts w:hint="cs"/>
          <w:rtl/>
        </w:rPr>
        <w:t>ההגנה לא השלימה עם חומרתו של עונש המאסר בפועל שהושת על המערער</w:t>
      </w:r>
      <w:r w:rsidR="00E57DB0">
        <w:rPr>
          <w:rFonts w:hint="cs"/>
          <w:rtl/>
        </w:rPr>
        <w:t>ת</w:t>
      </w:r>
      <w:r w:rsidRPr="000761A9">
        <w:rPr>
          <w:rFonts w:hint="cs"/>
          <w:rtl/>
        </w:rPr>
        <w:t>,</w:t>
      </w:r>
      <w:r>
        <w:rPr>
          <w:rFonts w:hint="cs"/>
          <w:rtl/>
        </w:rPr>
        <w:t xml:space="preserve"> </w:t>
      </w:r>
      <w:r w:rsidRPr="000761A9">
        <w:rPr>
          <w:rFonts w:hint="cs"/>
          <w:rtl/>
        </w:rPr>
        <w:t>ומכאן הערעור שלפנינו.</w:t>
      </w:r>
    </w:p>
    <w:p w14:paraId="2C306A3A" w14:textId="77777777" w:rsidR="00580090" w:rsidRDefault="00580090" w:rsidP="00580090">
      <w:pPr>
        <w:ind w:left="-58"/>
        <w:rPr>
          <w:b/>
          <w:bCs/>
          <w:u w:val="single"/>
          <w:rtl/>
        </w:rPr>
      </w:pPr>
      <w:r>
        <w:rPr>
          <w:rFonts w:hint="cs"/>
          <w:b/>
          <w:bCs/>
          <w:u w:val="single"/>
          <w:rtl/>
        </w:rPr>
        <w:t>המס</w:t>
      </w:r>
      <w:r w:rsidR="00CB2FD3">
        <w:rPr>
          <w:rFonts w:hint="cs"/>
          <w:b/>
          <w:bCs/>
          <w:u w:val="single"/>
          <w:rtl/>
        </w:rPr>
        <w:t>גרת העובדתית</w:t>
      </w:r>
    </w:p>
    <w:p w14:paraId="5867EC9D" w14:textId="77777777" w:rsidR="00FA1DB3" w:rsidRDefault="00CB2FD3" w:rsidP="00CB2FD3">
      <w:pPr>
        <w:numPr>
          <w:ilvl w:val="0"/>
          <w:numId w:val="1"/>
        </w:numPr>
        <w:tabs>
          <w:tab w:val="left" w:pos="282"/>
        </w:tabs>
        <w:spacing w:after="0" w:line="360" w:lineRule="auto"/>
        <w:ind w:left="-1" w:firstLine="0"/>
        <w:jc w:val="both"/>
      </w:pPr>
      <w:r>
        <w:rPr>
          <w:rFonts w:hint="cs"/>
          <w:rtl/>
        </w:rPr>
        <w:t>מן ה</w:t>
      </w:r>
      <w:r w:rsidR="00570D56">
        <w:rPr>
          <w:rFonts w:hint="cs"/>
          <w:rtl/>
        </w:rPr>
        <w:t xml:space="preserve">מסמכים </w:t>
      </w:r>
      <w:r>
        <w:rPr>
          <w:rFonts w:hint="cs"/>
          <w:rtl/>
        </w:rPr>
        <w:t>שהוצגו לבית הדין בשלב ה</w:t>
      </w:r>
      <w:r w:rsidR="00570D56">
        <w:rPr>
          <w:rFonts w:hint="cs"/>
          <w:rtl/>
        </w:rPr>
        <w:t xml:space="preserve">ראיות </w:t>
      </w:r>
      <w:r>
        <w:rPr>
          <w:rFonts w:hint="cs"/>
          <w:rtl/>
        </w:rPr>
        <w:t xml:space="preserve">לעונש, עלה כי </w:t>
      </w:r>
      <w:r w:rsidR="00580090">
        <w:rPr>
          <w:rFonts w:hint="cs"/>
          <w:rtl/>
        </w:rPr>
        <w:t>המערערת</w:t>
      </w:r>
      <w:r>
        <w:rPr>
          <w:rFonts w:hint="cs"/>
          <w:rtl/>
        </w:rPr>
        <w:t>, ילידת אתיופיה, עלתה ארצה בהיותה כבת שנתיים. עוד עלה, כי</w:t>
      </w:r>
      <w:r w:rsidR="00FA1DB3">
        <w:rPr>
          <w:rFonts w:hint="cs"/>
          <w:rtl/>
        </w:rPr>
        <w:t>:</w:t>
      </w:r>
    </w:p>
    <w:p w14:paraId="25ED300F" w14:textId="77777777" w:rsidR="00FA1DB3" w:rsidRDefault="00FA1DB3" w:rsidP="00FA1DB3">
      <w:pPr>
        <w:tabs>
          <w:tab w:val="left" w:pos="226"/>
        </w:tabs>
        <w:spacing w:before="100" w:beforeAutospacing="1" w:after="100" w:afterAutospacing="1" w:line="240" w:lineRule="auto"/>
        <w:ind w:left="851" w:right="851"/>
        <w:jc w:val="both"/>
      </w:pPr>
      <w:r>
        <w:rPr>
          <w:rFonts w:hint="cs"/>
          <w:rtl/>
        </w:rPr>
        <w:t xml:space="preserve"> "... </w:t>
      </w:r>
      <w:r w:rsidR="00CB2FD3">
        <w:rPr>
          <w:rFonts w:hint="cs"/>
          <w:rtl/>
        </w:rPr>
        <w:t>[המערערת]</w:t>
      </w:r>
      <w:r>
        <w:rPr>
          <w:rFonts w:hint="cs"/>
          <w:rtl/>
        </w:rPr>
        <w:t xml:space="preserve"> לא שיתפה פעולה עם רשויות הגיוס ולא התייצבה לזימונים הראשונים שנקבעו לה. בשלב מסוים לפני גיוסה התייצבה </w:t>
      </w:r>
      <w:r w:rsidR="00CB2FD3">
        <w:rPr>
          <w:rFonts w:hint="cs"/>
          <w:rtl/>
        </w:rPr>
        <w:t xml:space="preserve">... </w:t>
      </w:r>
      <w:r>
        <w:rPr>
          <w:rFonts w:hint="cs"/>
          <w:rtl/>
        </w:rPr>
        <w:t>בלשכת הגיוס, עברה חלק מהמבחנים הנדרשים והותאמו לה נתוני איכות נמוכים ביותר</w:t>
      </w:r>
      <w:r w:rsidR="00CB2FD3">
        <w:rPr>
          <w:rFonts w:hint="cs"/>
          <w:rtl/>
        </w:rPr>
        <w:t xml:space="preserve"> </w:t>
      </w:r>
      <w:r>
        <w:rPr>
          <w:rFonts w:hint="cs"/>
          <w:rtl/>
        </w:rPr>
        <w:t>... לאחר שלא התייצבה להמשך הזימונים נקבע לה תאריך גיוס ליום 16.7.2018 בהתאם לסמכות לשכת הגיוס לפי סעיף 12 לחוק שירות בטחון [נוסח משולב], תשמ"ו -1986.</w:t>
      </w:r>
      <w:r w:rsidR="00CB2FD3">
        <w:rPr>
          <w:rFonts w:hint="cs"/>
          <w:rtl/>
        </w:rPr>
        <w:t>..</w:t>
      </w:r>
      <w:r>
        <w:rPr>
          <w:rFonts w:hint="cs"/>
          <w:rtl/>
        </w:rPr>
        <w:t xml:space="preserve"> </w:t>
      </w:r>
      <w:r w:rsidR="00CB2FD3">
        <w:rPr>
          <w:rFonts w:hint="cs"/>
          <w:rtl/>
        </w:rPr>
        <w:t xml:space="preserve">[המערערת] </w:t>
      </w:r>
      <w:r>
        <w:rPr>
          <w:rFonts w:hint="cs"/>
          <w:rtl/>
        </w:rPr>
        <w:t>לא התייצבה במועד גיוסה.</w:t>
      </w:r>
      <w:r w:rsidR="00CB2FD3">
        <w:rPr>
          <w:rFonts w:hint="cs"/>
          <w:rtl/>
        </w:rPr>
        <w:t xml:space="preserve">.. </w:t>
      </w:r>
      <w:r>
        <w:rPr>
          <w:rFonts w:hint="cs"/>
          <w:rtl/>
        </w:rPr>
        <w:t xml:space="preserve">עולה כי נוצר קשר עם </w:t>
      </w:r>
      <w:r w:rsidR="00CB2FD3">
        <w:rPr>
          <w:rFonts w:hint="cs"/>
          <w:rtl/>
        </w:rPr>
        <w:t xml:space="preserve">[המערערת] ... </w:t>
      </w:r>
      <w:r>
        <w:rPr>
          <w:rFonts w:hint="cs"/>
          <w:rtl/>
        </w:rPr>
        <w:t>לפני</w:t>
      </w:r>
      <w:r w:rsidR="00CB2FD3">
        <w:rPr>
          <w:rFonts w:hint="cs"/>
          <w:rtl/>
        </w:rPr>
        <w:t xml:space="preserve"> </w:t>
      </w:r>
      <w:r>
        <w:rPr>
          <w:rFonts w:hint="cs"/>
          <w:rtl/>
        </w:rPr>
        <w:t xml:space="preserve"> ההכרזה על גיוסה, </w:t>
      </w:r>
      <w:r w:rsidR="00A05C07">
        <w:rPr>
          <w:rFonts w:hint="cs"/>
          <w:rtl/>
        </w:rPr>
        <w:t xml:space="preserve">הוסבר </w:t>
      </w:r>
      <w:r>
        <w:rPr>
          <w:rFonts w:hint="cs"/>
          <w:rtl/>
        </w:rPr>
        <w:t>לה מעמדה, שוחחו גם עם אמה.</w:t>
      </w:r>
      <w:r w:rsidR="00CB2FD3">
        <w:rPr>
          <w:rFonts w:hint="cs"/>
          <w:rtl/>
        </w:rPr>
        <w:t>..</w:t>
      </w:r>
      <w:r>
        <w:rPr>
          <w:rFonts w:hint="cs"/>
          <w:rtl/>
        </w:rPr>
        <w:t xml:space="preserve"> בעקבות האמור צוין בהחלטת ההשתמטות כי מדובר במי שיש לה מודעות מלאה לגיוס לרבות שיח לפני הגיוס ועל כן אושרה ההשתמטות".</w:t>
      </w:r>
    </w:p>
    <w:p w14:paraId="17596DF1" w14:textId="77777777" w:rsidR="00580090" w:rsidRDefault="00580090" w:rsidP="00CB2FD3">
      <w:pPr>
        <w:numPr>
          <w:ilvl w:val="0"/>
          <w:numId w:val="1"/>
        </w:numPr>
        <w:tabs>
          <w:tab w:val="left" w:pos="282"/>
        </w:tabs>
        <w:spacing w:after="0" w:line="360" w:lineRule="auto"/>
        <w:ind w:left="-1" w:firstLine="0"/>
        <w:jc w:val="both"/>
      </w:pPr>
      <w:r>
        <w:rPr>
          <w:rFonts w:hint="cs"/>
          <w:rtl/>
        </w:rPr>
        <w:t xml:space="preserve">באמרתה מיום </w:t>
      </w:r>
      <w:r w:rsidR="00FA1DB3">
        <w:rPr>
          <w:rFonts w:hint="cs"/>
          <w:rtl/>
        </w:rPr>
        <w:t>18.10.2021</w:t>
      </w:r>
      <w:r>
        <w:rPr>
          <w:rFonts w:hint="cs"/>
          <w:rtl/>
        </w:rPr>
        <w:t xml:space="preserve">, מסרה </w:t>
      </w:r>
      <w:r w:rsidR="00FA1DB3">
        <w:rPr>
          <w:rFonts w:hint="cs"/>
          <w:rtl/>
        </w:rPr>
        <w:t xml:space="preserve">המערערת כי לא התייצבה </w:t>
      </w:r>
      <w:r w:rsidR="00B46B7A">
        <w:rPr>
          <w:rFonts w:hint="cs"/>
          <w:rtl/>
        </w:rPr>
        <w:t xml:space="preserve">במועד </w:t>
      </w:r>
      <w:r w:rsidR="00FA1DB3">
        <w:rPr>
          <w:rFonts w:hint="cs"/>
          <w:rtl/>
        </w:rPr>
        <w:t>לשירות הצבאי</w:t>
      </w:r>
      <w:r>
        <w:rPr>
          <w:rFonts w:hint="cs"/>
          <w:rtl/>
        </w:rPr>
        <w:t xml:space="preserve"> </w:t>
      </w:r>
      <w:r w:rsidR="00FA1DB3">
        <w:rPr>
          <w:rFonts w:hint="cs"/>
          <w:rtl/>
        </w:rPr>
        <w:t>משום ש"הייתה לי בעיה משפחתית</w:t>
      </w:r>
      <w:r>
        <w:rPr>
          <w:rFonts w:hint="cs"/>
          <w:rtl/>
        </w:rPr>
        <w:t xml:space="preserve">". במענה לשאלה </w:t>
      </w:r>
      <w:r w:rsidR="00FA1DB3">
        <w:rPr>
          <w:rFonts w:hint="cs"/>
          <w:rtl/>
        </w:rPr>
        <w:t>מדוע</w:t>
      </w:r>
      <w:r w:rsidR="00F92BA8">
        <w:rPr>
          <w:rFonts w:hint="cs"/>
          <w:rtl/>
        </w:rPr>
        <w:t>,</w:t>
      </w:r>
      <w:r w:rsidR="00FA1DB3">
        <w:rPr>
          <w:rFonts w:hint="cs"/>
          <w:rtl/>
        </w:rPr>
        <w:t xml:space="preserve"> </w:t>
      </w:r>
      <w:r w:rsidR="00F92BA8">
        <w:rPr>
          <w:rFonts w:hint="cs"/>
          <w:rtl/>
        </w:rPr>
        <w:t xml:space="preserve">אפוא, </w:t>
      </w:r>
      <w:r w:rsidR="00FA1DB3">
        <w:rPr>
          <w:rFonts w:hint="cs"/>
          <w:rtl/>
        </w:rPr>
        <w:t xml:space="preserve">התייצבה </w:t>
      </w:r>
      <w:r w:rsidR="00F92BA8">
        <w:rPr>
          <w:rFonts w:hint="cs"/>
          <w:rtl/>
        </w:rPr>
        <w:t>כעת, עובר למעצרה,</w:t>
      </w:r>
      <w:r>
        <w:rPr>
          <w:rFonts w:hint="cs"/>
          <w:rtl/>
        </w:rPr>
        <w:t xml:space="preserve"> השיבה</w:t>
      </w:r>
      <w:r w:rsidR="00B46B7A">
        <w:rPr>
          <w:rFonts w:hint="cs"/>
          <w:rtl/>
        </w:rPr>
        <w:t xml:space="preserve"> - </w:t>
      </w:r>
      <w:r>
        <w:rPr>
          <w:rFonts w:hint="cs"/>
          <w:rtl/>
        </w:rPr>
        <w:t>"</w:t>
      </w:r>
      <w:r w:rsidR="00C52E10">
        <w:rPr>
          <w:rFonts w:hint="cs"/>
          <w:rtl/>
        </w:rPr>
        <w:t>זה עוצר אותי מכל דבר אפשרי, רישיון, שקט נפשי</w:t>
      </w:r>
      <w:r>
        <w:rPr>
          <w:rFonts w:hint="cs"/>
          <w:rtl/>
        </w:rPr>
        <w:t>".</w:t>
      </w:r>
    </w:p>
    <w:p w14:paraId="5CDB7CC2" w14:textId="77777777" w:rsidR="00F92BA8" w:rsidRDefault="00F92BA8" w:rsidP="00F92BA8">
      <w:pPr>
        <w:numPr>
          <w:ilvl w:val="0"/>
          <w:numId w:val="1"/>
        </w:numPr>
        <w:tabs>
          <w:tab w:val="left" w:pos="282"/>
        </w:tabs>
        <w:spacing w:after="0" w:line="360" w:lineRule="auto"/>
        <w:ind w:left="-1" w:firstLine="0"/>
        <w:jc w:val="both"/>
      </w:pPr>
      <w:r>
        <w:rPr>
          <w:rFonts w:hint="cs"/>
          <w:rtl/>
        </w:rPr>
        <w:t xml:space="preserve">עלה עוד, כי </w:t>
      </w:r>
      <w:r w:rsidR="00075EA1">
        <w:rPr>
          <w:rFonts w:hint="cs"/>
          <w:rtl/>
        </w:rPr>
        <w:t>המערערת התייצבה בבסיס הכליאה כשברשותה חוות דעת פסיכיאטרית מ</w:t>
      </w:r>
      <w:r>
        <w:rPr>
          <w:rFonts w:hint="cs"/>
          <w:rtl/>
        </w:rPr>
        <w:t xml:space="preserve">יום </w:t>
      </w:r>
      <w:r w:rsidR="00075EA1">
        <w:rPr>
          <w:rFonts w:hint="cs"/>
          <w:rtl/>
        </w:rPr>
        <w:t>7.10.2021</w:t>
      </w:r>
      <w:r w:rsidR="00412D24">
        <w:rPr>
          <w:rFonts w:hint="cs"/>
          <w:rtl/>
        </w:rPr>
        <w:t xml:space="preserve">. בחוות הדעת צוין, כי המערערת הופנתה </w:t>
      </w:r>
      <w:r w:rsidR="00B46B7A">
        <w:rPr>
          <w:rFonts w:hint="cs"/>
          <w:rtl/>
        </w:rPr>
        <w:t xml:space="preserve">על ידי בא כוחה </w:t>
      </w:r>
      <w:r w:rsidR="00412D24">
        <w:rPr>
          <w:rFonts w:hint="cs"/>
          <w:rtl/>
        </w:rPr>
        <w:t>ל</w:t>
      </w:r>
      <w:r>
        <w:rPr>
          <w:rFonts w:hint="cs"/>
          <w:rtl/>
        </w:rPr>
        <w:t>בדיקה</w:t>
      </w:r>
      <w:r w:rsidR="00412D24">
        <w:rPr>
          <w:rFonts w:hint="cs"/>
          <w:rtl/>
        </w:rPr>
        <w:t>, לצורך הערכת מצבה הנפשי ומידת התאמתה למערכת הצבאית.</w:t>
      </w:r>
      <w:r w:rsidR="00075EA1">
        <w:rPr>
          <w:rFonts w:hint="cs"/>
          <w:rtl/>
        </w:rPr>
        <w:t xml:space="preserve"> </w:t>
      </w:r>
    </w:p>
    <w:p w14:paraId="6B4DFFE2" w14:textId="77777777" w:rsidR="00075EA1" w:rsidRDefault="00F92BA8" w:rsidP="00F92BA8">
      <w:pPr>
        <w:numPr>
          <w:ilvl w:val="0"/>
          <w:numId w:val="1"/>
        </w:numPr>
        <w:tabs>
          <w:tab w:val="left" w:pos="282"/>
        </w:tabs>
        <w:spacing w:after="0" w:line="360" w:lineRule="auto"/>
        <w:ind w:left="-1" w:firstLine="0"/>
        <w:jc w:val="both"/>
      </w:pPr>
      <w:r>
        <w:rPr>
          <w:rFonts w:hint="cs"/>
          <w:rtl/>
        </w:rPr>
        <w:t xml:space="preserve">כעולה </w:t>
      </w:r>
      <w:r w:rsidR="00B46B7A">
        <w:rPr>
          <w:rFonts w:hint="cs"/>
          <w:rtl/>
        </w:rPr>
        <w:t>מ</w:t>
      </w:r>
      <w:r>
        <w:rPr>
          <w:rFonts w:hint="cs"/>
          <w:rtl/>
        </w:rPr>
        <w:t xml:space="preserve">חוות הדעת, המערערת מסרה לפסיכיאטר שחוותה בילדות ובבגרות אירועים של </w:t>
      </w:r>
      <w:r w:rsidR="00A12A60">
        <w:rPr>
          <w:rFonts w:hint="cs"/>
          <w:rtl/>
        </w:rPr>
        <w:t>דחייה חברתית</w:t>
      </w:r>
      <w:r>
        <w:rPr>
          <w:rFonts w:hint="cs"/>
          <w:rtl/>
        </w:rPr>
        <w:t>, ו</w:t>
      </w:r>
      <w:r w:rsidR="00A12A60">
        <w:rPr>
          <w:rFonts w:hint="cs"/>
          <w:rtl/>
        </w:rPr>
        <w:t>כי משפחתה עברה משבר לאחר שאביה עזב את הבית</w:t>
      </w:r>
      <w:r>
        <w:rPr>
          <w:rFonts w:hint="cs"/>
          <w:rtl/>
        </w:rPr>
        <w:t xml:space="preserve">. </w:t>
      </w:r>
      <w:r w:rsidR="00412D24">
        <w:rPr>
          <w:rFonts w:hint="cs"/>
          <w:rtl/>
        </w:rPr>
        <w:t>המערערת ציינ</w:t>
      </w:r>
      <w:r>
        <w:rPr>
          <w:rFonts w:hint="cs"/>
          <w:rtl/>
        </w:rPr>
        <w:t xml:space="preserve">ה לפני הפסיכיאטר כי היא מרבה לבכות </w:t>
      </w:r>
      <w:r w:rsidR="00412D24">
        <w:rPr>
          <w:rFonts w:hint="cs"/>
          <w:rtl/>
        </w:rPr>
        <w:t>ומתקשה לישון בלילות,</w:t>
      </w:r>
      <w:r w:rsidR="00A12A60">
        <w:rPr>
          <w:rFonts w:hint="cs"/>
          <w:rtl/>
        </w:rPr>
        <w:t xml:space="preserve"> </w:t>
      </w:r>
      <w:r w:rsidR="00412D24">
        <w:rPr>
          <w:rFonts w:hint="cs"/>
          <w:rtl/>
        </w:rPr>
        <w:t>א</w:t>
      </w:r>
      <w:r w:rsidR="00B46B7A">
        <w:rPr>
          <w:rFonts w:hint="cs"/>
          <w:rtl/>
        </w:rPr>
        <w:t>ך</w:t>
      </w:r>
      <w:r w:rsidR="00412D24">
        <w:rPr>
          <w:rFonts w:hint="cs"/>
          <w:rtl/>
        </w:rPr>
        <w:t xml:space="preserve"> </w:t>
      </w:r>
      <w:r>
        <w:rPr>
          <w:rFonts w:hint="cs"/>
          <w:rtl/>
        </w:rPr>
        <w:t xml:space="preserve">הבהירה, כי </w:t>
      </w:r>
      <w:r w:rsidR="00412D24">
        <w:rPr>
          <w:rFonts w:hint="cs"/>
          <w:rtl/>
        </w:rPr>
        <w:t>לא פנתה לטיפול נפשי בעבר.</w:t>
      </w:r>
      <w:r w:rsidR="00A84E99">
        <w:rPr>
          <w:rFonts w:hint="cs"/>
          <w:rtl/>
        </w:rPr>
        <w:t xml:space="preserve"> בסיכום חוות הדעת כתב</w:t>
      </w:r>
      <w:r>
        <w:rPr>
          <w:rFonts w:hint="cs"/>
          <w:rtl/>
        </w:rPr>
        <w:t xml:space="preserve"> הפסיכיאטר</w:t>
      </w:r>
      <w:r w:rsidR="00A84E99">
        <w:rPr>
          <w:rFonts w:hint="cs"/>
          <w:rtl/>
        </w:rPr>
        <w:t>, כי התרשם "שמדובר בנערה בעלת קווי אישיות גבוליים, כאשר הסבירות שתצליח להסתגל למערכת הצבאית, אף בתנאים מוגנים, נמוכה</w:t>
      </w:r>
      <w:r w:rsidR="00B46B7A">
        <w:rPr>
          <w:rFonts w:hint="cs"/>
          <w:rtl/>
        </w:rPr>
        <w:t>"</w:t>
      </w:r>
      <w:r w:rsidR="00A84E99">
        <w:rPr>
          <w:rFonts w:hint="cs"/>
          <w:rtl/>
        </w:rPr>
        <w:t xml:space="preserve">. עוד הוסיף כי מדובר </w:t>
      </w:r>
      <w:r w:rsidR="00B46B7A">
        <w:rPr>
          <w:rFonts w:hint="cs"/>
          <w:rtl/>
        </w:rPr>
        <w:t>"ב</w:t>
      </w:r>
      <w:r w:rsidR="00A84E99">
        <w:rPr>
          <w:rFonts w:hint="cs"/>
          <w:rtl/>
        </w:rPr>
        <w:t>מי שנמצאת בקבוצת סיכון גבוהה להתפתחות משברים נפשיים בחשיפה למצבי דחק</w:t>
      </w:r>
      <w:r>
        <w:rPr>
          <w:rFonts w:hint="cs"/>
          <w:rtl/>
        </w:rPr>
        <w:t>"</w:t>
      </w:r>
      <w:r w:rsidR="00A84E99">
        <w:rPr>
          <w:rFonts w:hint="cs"/>
          <w:rtl/>
        </w:rPr>
        <w:t xml:space="preserve">. </w:t>
      </w:r>
      <w:r>
        <w:rPr>
          <w:rFonts w:hint="cs"/>
          <w:rtl/>
        </w:rPr>
        <w:t xml:space="preserve">הפסיכיאטר התרשם, כי למערערת: </w:t>
      </w:r>
      <w:r w:rsidR="00A84E99">
        <w:t>"emotionally unstable personality disorder borderline type"</w:t>
      </w:r>
      <w:r w:rsidR="00A84E99">
        <w:rPr>
          <w:rFonts w:hint="cs"/>
          <w:rtl/>
        </w:rPr>
        <w:t>.</w:t>
      </w:r>
    </w:p>
    <w:p w14:paraId="2A5E600A" w14:textId="77777777" w:rsidR="00C52E10" w:rsidRDefault="008A5EB9" w:rsidP="00CB2FD3">
      <w:pPr>
        <w:numPr>
          <w:ilvl w:val="0"/>
          <w:numId w:val="1"/>
        </w:numPr>
        <w:tabs>
          <w:tab w:val="left" w:pos="282"/>
        </w:tabs>
        <w:spacing w:after="0" w:line="360" w:lineRule="auto"/>
        <w:ind w:left="-1" w:firstLine="0"/>
        <w:jc w:val="both"/>
      </w:pPr>
      <w:r>
        <w:rPr>
          <w:rFonts w:hint="cs"/>
          <w:rtl/>
        </w:rPr>
        <w:lastRenderedPageBreak/>
        <w:t>בעקבות חוות הדעת הפסיכיאטרית ולבקשת</w:t>
      </w:r>
      <w:r w:rsidR="00B46B7A">
        <w:rPr>
          <w:rFonts w:hint="cs"/>
          <w:rtl/>
        </w:rPr>
        <w:t xml:space="preserve"> בא כוחה</w:t>
      </w:r>
      <w:r>
        <w:rPr>
          <w:rFonts w:hint="cs"/>
          <w:rtl/>
        </w:rPr>
        <w:t xml:space="preserve">, נבדקה המערערת גם על ידי גורמי בריאות הנפש בכלא הצבאי. </w:t>
      </w:r>
      <w:r w:rsidR="00580090">
        <w:rPr>
          <w:rFonts w:hint="cs"/>
          <w:rtl/>
        </w:rPr>
        <w:t>מחוות</w:t>
      </w:r>
      <w:r w:rsidR="00A84E99">
        <w:rPr>
          <w:rFonts w:hint="cs"/>
          <w:rtl/>
        </w:rPr>
        <w:t xml:space="preserve"> </w:t>
      </w:r>
      <w:r>
        <w:rPr>
          <w:rFonts w:hint="cs"/>
          <w:rtl/>
        </w:rPr>
        <w:t>ה</w:t>
      </w:r>
      <w:r w:rsidR="00A84E99">
        <w:rPr>
          <w:rFonts w:hint="cs"/>
          <w:rtl/>
        </w:rPr>
        <w:t>דעת</w:t>
      </w:r>
      <w:r w:rsidR="00580090">
        <w:rPr>
          <w:rFonts w:hint="cs"/>
          <w:rtl/>
        </w:rPr>
        <w:t xml:space="preserve"> </w:t>
      </w:r>
      <w:r>
        <w:rPr>
          <w:rFonts w:hint="cs"/>
          <w:rtl/>
        </w:rPr>
        <w:t>ה</w:t>
      </w:r>
      <w:r w:rsidR="00C52E10">
        <w:rPr>
          <w:rFonts w:hint="cs"/>
          <w:rtl/>
        </w:rPr>
        <w:t>פסיכיאטרית</w:t>
      </w:r>
      <w:r w:rsidR="00B46B7A">
        <w:rPr>
          <w:rFonts w:hint="cs"/>
          <w:rtl/>
        </w:rPr>
        <w:t xml:space="preserve"> של הגורמים בכלא</w:t>
      </w:r>
      <w:r w:rsidR="00580090">
        <w:rPr>
          <w:rFonts w:hint="cs"/>
          <w:rtl/>
        </w:rPr>
        <w:t xml:space="preserve">, </w:t>
      </w:r>
      <w:r w:rsidR="00A05C07">
        <w:rPr>
          <w:rFonts w:hint="cs"/>
          <w:rtl/>
        </w:rPr>
        <w:t xml:space="preserve">מיום 17.11.2021, </w:t>
      </w:r>
      <w:r w:rsidR="00580090">
        <w:rPr>
          <w:rFonts w:hint="cs"/>
          <w:rtl/>
        </w:rPr>
        <w:t xml:space="preserve">עלה כי </w:t>
      </w:r>
      <w:r>
        <w:rPr>
          <w:rFonts w:hint="cs"/>
          <w:rtl/>
        </w:rPr>
        <w:t xml:space="preserve">למערערת אין רצון לשרת בצבא. </w:t>
      </w:r>
      <w:r w:rsidR="00570D56">
        <w:rPr>
          <w:rFonts w:hint="cs"/>
          <w:rtl/>
        </w:rPr>
        <w:t xml:space="preserve">לצד זאת, נמסר כי המערערת דיווחה על </w:t>
      </w:r>
      <w:r w:rsidR="00C52E10">
        <w:rPr>
          <w:rFonts w:hint="cs"/>
          <w:rtl/>
        </w:rPr>
        <w:t xml:space="preserve">דיכאון </w:t>
      </w:r>
      <w:r w:rsidR="00570D56">
        <w:rPr>
          <w:rFonts w:hint="cs"/>
          <w:rtl/>
        </w:rPr>
        <w:t>ש</w:t>
      </w:r>
      <w:r w:rsidR="00C52E10">
        <w:rPr>
          <w:rFonts w:hint="cs"/>
          <w:rtl/>
        </w:rPr>
        <w:t xml:space="preserve">ממנו </w:t>
      </w:r>
      <w:r w:rsidR="00570D56">
        <w:rPr>
          <w:rFonts w:hint="cs"/>
          <w:rtl/>
        </w:rPr>
        <w:t xml:space="preserve">סבלה ונקבע, כי "ככל הנראה, הנבדקת סובלת ממצב דכאוני, כעת ברמיסיה חלקית". בעקבות זאת, הותאם למערערת </w:t>
      </w:r>
      <w:r w:rsidR="00E24DB9">
        <w:rPr>
          <w:rFonts w:hint="cs"/>
          <w:rtl/>
        </w:rPr>
        <w:t xml:space="preserve">פרופיל </w:t>
      </w:r>
      <w:r w:rsidR="00570D56">
        <w:rPr>
          <w:rFonts w:hint="cs"/>
          <w:rtl/>
        </w:rPr>
        <w:t xml:space="preserve">רפואי </w:t>
      </w:r>
      <w:r w:rsidR="00E24DB9">
        <w:rPr>
          <w:rFonts w:hint="cs"/>
          <w:rtl/>
        </w:rPr>
        <w:t>פוטר משירות</w:t>
      </w:r>
      <w:r w:rsidR="00B46B7A">
        <w:rPr>
          <w:rFonts w:hint="cs"/>
          <w:rtl/>
        </w:rPr>
        <w:t xml:space="preserve"> צבאי</w:t>
      </w:r>
      <w:r w:rsidR="00E24DB9">
        <w:rPr>
          <w:rFonts w:hint="cs"/>
          <w:rtl/>
        </w:rPr>
        <w:t>.</w:t>
      </w:r>
      <w:r w:rsidR="00A84E99">
        <w:rPr>
          <w:rFonts w:hint="cs"/>
          <w:rtl/>
        </w:rPr>
        <w:t xml:space="preserve"> </w:t>
      </w:r>
    </w:p>
    <w:p w14:paraId="01971882" w14:textId="77777777" w:rsidR="00580090" w:rsidRDefault="00570D56" w:rsidP="00CB2FD3">
      <w:pPr>
        <w:numPr>
          <w:ilvl w:val="0"/>
          <w:numId w:val="1"/>
        </w:numPr>
        <w:tabs>
          <w:tab w:val="left" w:pos="282"/>
        </w:tabs>
        <w:spacing w:after="0" w:line="360" w:lineRule="auto"/>
        <w:ind w:left="-1" w:firstLine="0"/>
        <w:jc w:val="both"/>
      </w:pPr>
      <w:r>
        <w:rPr>
          <w:rFonts w:hint="cs"/>
          <w:rtl/>
        </w:rPr>
        <w:t xml:space="preserve">להשלמת התמונה, נציין כי </w:t>
      </w:r>
      <w:r w:rsidR="00A84E99">
        <w:rPr>
          <w:rFonts w:hint="cs"/>
          <w:rtl/>
        </w:rPr>
        <w:t>המערערת לא העידה ב</w:t>
      </w:r>
      <w:r>
        <w:rPr>
          <w:rFonts w:hint="cs"/>
          <w:rtl/>
        </w:rPr>
        <w:t xml:space="preserve">שלב הראיות לעונש, </w:t>
      </w:r>
      <w:r w:rsidR="00A84E99">
        <w:rPr>
          <w:rFonts w:hint="cs"/>
          <w:rtl/>
        </w:rPr>
        <w:t>ו</w:t>
      </w:r>
      <w:r>
        <w:rPr>
          <w:rFonts w:hint="cs"/>
          <w:rtl/>
        </w:rPr>
        <w:t xml:space="preserve">אף </w:t>
      </w:r>
      <w:r w:rsidR="00A84E99">
        <w:rPr>
          <w:rFonts w:hint="cs"/>
          <w:rtl/>
        </w:rPr>
        <w:t>בחרה שלא לומר דבר</w:t>
      </w:r>
      <w:r>
        <w:rPr>
          <w:rFonts w:hint="cs"/>
          <w:rtl/>
        </w:rPr>
        <w:t xml:space="preserve">, לאחר סיכומי הצדדים לעונש. </w:t>
      </w:r>
    </w:p>
    <w:p w14:paraId="1C93E189" w14:textId="77777777" w:rsidR="00580090" w:rsidRDefault="00580090" w:rsidP="00730604">
      <w:pPr>
        <w:tabs>
          <w:tab w:val="left" w:pos="283"/>
        </w:tabs>
        <w:spacing w:after="0" w:line="360" w:lineRule="auto"/>
        <w:contextualSpacing/>
        <w:jc w:val="both"/>
        <w:rPr>
          <w:b/>
          <w:bCs/>
          <w:u w:val="single"/>
          <w:rtl/>
        </w:rPr>
      </w:pPr>
    </w:p>
    <w:p w14:paraId="704001FC" w14:textId="77777777" w:rsidR="00730604" w:rsidRPr="000761A9" w:rsidRDefault="00730604" w:rsidP="00730604">
      <w:pPr>
        <w:tabs>
          <w:tab w:val="left" w:pos="283"/>
        </w:tabs>
        <w:spacing w:after="0" w:line="360" w:lineRule="auto"/>
        <w:contextualSpacing/>
        <w:jc w:val="both"/>
        <w:rPr>
          <w:b/>
          <w:bCs/>
          <w:u w:val="single"/>
          <w:rtl/>
        </w:rPr>
      </w:pPr>
      <w:r w:rsidRPr="000761A9">
        <w:rPr>
          <w:rFonts w:hint="cs"/>
          <w:b/>
          <w:bCs/>
          <w:u w:val="single"/>
          <w:rtl/>
        </w:rPr>
        <w:t>עיקרי גזר הדין</w:t>
      </w:r>
    </w:p>
    <w:p w14:paraId="6299153F" w14:textId="77777777" w:rsidR="00BF6DDF" w:rsidRDefault="00A84E99" w:rsidP="00B46B7A">
      <w:pPr>
        <w:numPr>
          <w:ilvl w:val="0"/>
          <w:numId w:val="1"/>
        </w:numPr>
        <w:tabs>
          <w:tab w:val="left" w:pos="282"/>
        </w:tabs>
        <w:spacing w:after="0" w:line="360" w:lineRule="auto"/>
        <w:ind w:left="-1" w:firstLine="0"/>
        <w:jc w:val="both"/>
      </w:pPr>
      <w:r>
        <w:rPr>
          <w:rFonts w:hint="cs"/>
          <w:rtl/>
        </w:rPr>
        <w:t xml:space="preserve">בית הדין קמא הנכבד </w:t>
      </w:r>
      <w:r w:rsidR="00475E3E">
        <w:rPr>
          <w:rFonts w:hint="cs"/>
          <w:rtl/>
        </w:rPr>
        <w:t xml:space="preserve">עמד </w:t>
      </w:r>
      <w:r>
        <w:rPr>
          <w:rFonts w:hint="cs"/>
          <w:rtl/>
        </w:rPr>
        <w:t xml:space="preserve">על </w:t>
      </w:r>
      <w:r w:rsidR="00BF6DDF" w:rsidRPr="00BF6DDF">
        <w:rPr>
          <w:rtl/>
        </w:rPr>
        <w:t>היקף הפגיעה באינטרס החברתי הטמון במעשי</w:t>
      </w:r>
      <w:r w:rsidR="00475E3E">
        <w:rPr>
          <w:rFonts w:hint="cs"/>
          <w:rtl/>
        </w:rPr>
        <w:t>ה</w:t>
      </w:r>
      <w:r w:rsidR="00BF6DDF" w:rsidRPr="00BF6DDF">
        <w:rPr>
          <w:rtl/>
        </w:rPr>
        <w:t xml:space="preserve"> </w:t>
      </w:r>
      <w:r w:rsidR="00475E3E">
        <w:rPr>
          <w:rFonts w:hint="cs"/>
          <w:rtl/>
        </w:rPr>
        <w:t xml:space="preserve">של המערערת </w:t>
      </w:r>
      <w:r w:rsidR="00BF6DDF">
        <w:rPr>
          <w:rFonts w:hint="cs"/>
          <w:rtl/>
        </w:rPr>
        <w:t>ו</w:t>
      </w:r>
      <w:r w:rsidR="00BF6DDF" w:rsidRPr="00BF6DDF">
        <w:rPr>
          <w:rtl/>
        </w:rPr>
        <w:t xml:space="preserve">ציין </w:t>
      </w:r>
      <w:r w:rsidR="00475E3E">
        <w:rPr>
          <w:rFonts w:hint="cs"/>
          <w:rtl/>
        </w:rPr>
        <w:t>את הדברים הבאים:</w:t>
      </w:r>
      <w:r w:rsidR="00BF6DDF" w:rsidRPr="00BF6DDF">
        <w:rPr>
          <w:rtl/>
        </w:rPr>
        <w:t xml:space="preserve"> </w:t>
      </w:r>
    </w:p>
    <w:p w14:paraId="25D0FB50" w14:textId="77777777" w:rsidR="00BF6DDF" w:rsidRDefault="00BF6DDF" w:rsidP="00CD0F5A">
      <w:pPr>
        <w:pStyle w:val="2"/>
        <w:numPr>
          <w:ilvl w:val="0"/>
          <w:numId w:val="0"/>
        </w:numPr>
        <w:spacing w:after="360" w:line="240" w:lineRule="auto"/>
        <w:ind w:left="851" w:right="851"/>
        <w:rPr>
          <w:rFonts w:ascii="David" w:hAnsi="David"/>
          <w:rtl/>
        </w:rPr>
      </w:pPr>
      <w:r>
        <w:rPr>
          <w:rFonts w:hint="cs"/>
          <w:rtl/>
        </w:rPr>
        <w:t>"בחירתה של הנאשמת להתחמ</w:t>
      </w:r>
      <w:r w:rsidR="00B46B7A">
        <w:rPr>
          <w:rFonts w:hint="cs"/>
          <w:rtl/>
        </w:rPr>
        <w:t>ק</w:t>
      </w:r>
      <w:r>
        <w:rPr>
          <w:rFonts w:hint="cs"/>
          <w:rtl/>
        </w:rPr>
        <w:t xml:space="preserve"> מחובת השירות, פגעה </w:t>
      </w:r>
      <w:r>
        <w:rPr>
          <w:rFonts w:hint="cs"/>
          <w:b/>
          <w:bCs/>
          <w:rtl/>
        </w:rPr>
        <w:t>בערכים חברתיים וביטחוניים</w:t>
      </w:r>
      <w:r>
        <w:rPr>
          <w:rFonts w:hint="cs"/>
          <w:rtl/>
        </w:rPr>
        <w:t xml:space="preserve"> חשובים של שמירה על חוסנו של הצבא, כוננותו, לכידותה של החברה ושוויון בחלוקת הנטל בין כלל החייבי</w:t>
      </w:r>
      <w:r w:rsidR="00475E3E">
        <w:rPr>
          <w:rFonts w:hint="cs"/>
          <w:rtl/>
        </w:rPr>
        <w:t>ם</w:t>
      </w:r>
      <w:r>
        <w:rPr>
          <w:rFonts w:hint="cs"/>
          <w:rtl/>
        </w:rPr>
        <w:t xml:space="preserve"> בשירות, כאשר הנחת המוצא שלחלקם קיימים קשיים לא מבוטלי</w:t>
      </w:r>
      <w:r w:rsidR="00475E3E">
        <w:rPr>
          <w:rFonts w:hint="cs"/>
          <w:rtl/>
        </w:rPr>
        <w:t>ם</w:t>
      </w:r>
      <w:r>
        <w:rPr>
          <w:rFonts w:hint="cs"/>
          <w:rtl/>
        </w:rPr>
        <w:t xml:space="preserve"> מבית</w:t>
      </w:r>
      <w:r w:rsidR="00475E3E">
        <w:rPr>
          <w:rFonts w:hint="cs"/>
          <w:rtl/>
        </w:rPr>
        <w:t>...</w:t>
      </w:r>
      <w:r w:rsidR="00475E3E" w:rsidRPr="00BF6DDF">
        <w:rPr>
          <w:rFonts w:ascii="David" w:hAnsi="David" w:hint="cs"/>
          <w:rtl/>
        </w:rPr>
        <w:t xml:space="preserve"> </w:t>
      </w:r>
      <w:r w:rsidRPr="00BF6DDF">
        <w:rPr>
          <w:rFonts w:ascii="David" w:hAnsi="David" w:hint="cs"/>
          <w:rtl/>
        </w:rPr>
        <w:t>"</w:t>
      </w:r>
      <w:r w:rsidR="00B46B7A">
        <w:rPr>
          <w:rFonts w:ascii="David" w:hAnsi="David" w:hint="cs"/>
          <w:rtl/>
        </w:rPr>
        <w:t xml:space="preserve"> [הדגשות במקור]</w:t>
      </w:r>
      <w:r w:rsidRPr="00BF6DDF">
        <w:rPr>
          <w:rFonts w:ascii="David" w:hAnsi="David" w:hint="cs"/>
          <w:rtl/>
        </w:rPr>
        <w:t>.</w:t>
      </w:r>
    </w:p>
    <w:p w14:paraId="5D45F557" w14:textId="77777777" w:rsidR="00730604" w:rsidRDefault="00475E3E" w:rsidP="00B46B7A">
      <w:pPr>
        <w:numPr>
          <w:ilvl w:val="0"/>
          <w:numId w:val="1"/>
        </w:numPr>
        <w:tabs>
          <w:tab w:val="left" w:pos="282"/>
        </w:tabs>
        <w:spacing w:after="0" w:line="360" w:lineRule="auto"/>
        <w:ind w:left="-1" w:firstLine="0"/>
        <w:jc w:val="both"/>
      </w:pPr>
      <w:r>
        <w:rPr>
          <w:rFonts w:hint="cs"/>
          <w:rtl/>
        </w:rPr>
        <w:t xml:space="preserve">הוטעם, כי </w:t>
      </w:r>
      <w:r w:rsidR="00730604" w:rsidRPr="000761A9">
        <w:rPr>
          <w:rFonts w:hint="cs"/>
          <w:rtl/>
        </w:rPr>
        <w:t>המערער</w:t>
      </w:r>
      <w:r w:rsidR="00F60343">
        <w:rPr>
          <w:rFonts w:hint="cs"/>
          <w:rtl/>
        </w:rPr>
        <w:t>ת</w:t>
      </w:r>
      <w:r w:rsidR="00730604" w:rsidRPr="000761A9">
        <w:rPr>
          <w:rFonts w:hint="cs"/>
          <w:rtl/>
        </w:rPr>
        <w:t xml:space="preserve"> החל</w:t>
      </w:r>
      <w:r w:rsidR="00F60343">
        <w:rPr>
          <w:rFonts w:hint="cs"/>
          <w:rtl/>
        </w:rPr>
        <w:t>ה</w:t>
      </w:r>
      <w:r w:rsidR="00730604" w:rsidRPr="000761A9">
        <w:rPr>
          <w:rFonts w:hint="cs"/>
          <w:rtl/>
        </w:rPr>
        <w:t xml:space="preserve"> בהיעדרות</w:t>
      </w:r>
      <w:r w:rsidR="00F60343">
        <w:rPr>
          <w:rFonts w:hint="cs"/>
          <w:rtl/>
        </w:rPr>
        <w:t>ה</w:t>
      </w:r>
      <w:r w:rsidR="00730604" w:rsidRPr="000761A9">
        <w:rPr>
          <w:rFonts w:hint="cs"/>
          <w:rtl/>
        </w:rPr>
        <w:t xml:space="preserve"> הממושכת</w:t>
      </w:r>
      <w:r w:rsidR="00F60343">
        <w:rPr>
          <w:rFonts w:hint="cs"/>
          <w:rtl/>
        </w:rPr>
        <w:t xml:space="preserve">, </w:t>
      </w:r>
      <w:r w:rsidR="008E7A7C">
        <w:rPr>
          <w:rFonts w:hint="cs"/>
          <w:rtl/>
        </w:rPr>
        <w:t xml:space="preserve">במשך למעלה משלוש שנים, </w:t>
      </w:r>
      <w:r>
        <w:rPr>
          <w:rFonts w:hint="cs"/>
          <w:rtl/>
        </w:rPr>
        <w:t>לאחר ש</w:t>
      </w:r>
      <w:r w:rsidR="00F60343">
        <w:rPr>
          <w:rFonts w:hint="cs"/>
          <w:rtl/>
        </w:rPr>
        <w:t xml:space="preserve">בחרה שלא להתייצב </w:t>
      </w:r>
      <w:r>
        <w:rPr>
          <w:rFonts w:hint="cs"/>
          <w:rtl/>
        </w:rPr>
        <w:t>במועד ה</w:t>
      </w:r>
      <w:r w:rsidR="00F60343">
        <w:rPr>
          <w:rFonts w:hint="cs"/>
          <w:rtl/>
        </w:rPr>
        <w:t>גיוס</w:t>
      </w:r>
      <w:r>
        <w:rPr>
          <w:rFonts w:hint="cs"/>
          <w:rtl/>
        </w:rPr>
        <w:t>, ו</w:t>
      </w:r>
      <w:r w:rsidR="003E1591">
        <w:rPr>
          <w:rFonts w:hint="cs"/>
          <w:rtl/>
        </w:rPr>
        <w:t xml:space="preserve">העדיפה לעבוד ולקדם את ענייניה האישיים על פני </w:t>
      </w:r>
      <w:r>
        <w:rPr>
          <w:rFonts w:hint="cs"/>
          <w:rtl/>
        </w:rPr>
        <w:t xml:space="preserve">מילוי חובתה לשרת בצבא. </w:t>
      </w:r>
      <w:r w:rsidR="008E7A7C">
        <w:rPr>
          <w:rFonts w:hint="cs"/>
          <w:rtl/>
        </w:rPr>
        <w:t xml:space="preserve">בואר עוד, כי ההיעדרות הסתיימה לא משום חרטתה של המערערת, אלא, בעקבות רצונה </w:t>
      </w:r>
      <w:r w:rsidR="003E1591">
        <w:rPr>
          <w:rFonts w:hint="cs"/>
          <w:rtl/>
        </w:rPr>
        <w:t xml:space="preserve">להתקדם בחייה. </w:t>
      </w:r>
    </w:p>
    <w:p w14:paraId="5FE1FD2B" w14:textId="77777777" w:rsidR="006D0787" w:rsidRDefault="00DD0EEE" w:rsidP="00B46B7A">
      <w:pPr>
        <w:numPr>
          <w:ilvl w:val="0"/>
          <w:numId w:val="1"/>
        </w:numPr>
        <w:tabs>
          <w:tab w:val="left" w:pos="282"/>
        </w:tabs>
        <w:spacing w:after="0" w:line="360" w:lineRule="auto"/>
        <w:ind w:left="-1" w:firstLine="0"/>
        <w:jc w:val="both"/>
      </w:pPr>
      <w:r>
        <w:rPr>
          <w:rFonts w:hint="cs"/>
          <w:rtl/>
        </w:rPr>
        <w:t>בית הדין קמא ציין בגזר די</w:t>
      </w:r>
      <w:r w:rsidR="00760B6E">
        <w:rPr>
          <w:rFonts w:hint="cs"/>
          <w:rtl/>
        </w:rPr>
        <w:t>נו</w:t>
      </w:r>
      <w:r>
        <w:rPr>
          <w:rFonts w:hint="cs"/>
          <w:rtl/>
        </w:rPr>
        <w:t xml:space="preserve">, כי ההגנה לא תמכה את טיעוניה ביחס לנסיבות חייה ומצבה הנפשי של המערערת </w:t>
      </w:r>
      <w:r w:rsidR="00046C85">
        <w:rPr>
          <w:rFonts w:hint="cs"/>
          <w:rtl/>
        </w:rPr>
        <w:t>בתקופת ההיעדרות</w:t>
      </w:r>
      <w:r w:rsidR="00B46B7A">
        <w:rPr>
          <w:rFonts w:hint="cs"/>
          <w:rtl/>
        </w:rPr>
        <w:t>,</w:t>
      </w:r>
      <w:r w:rsidR="00046C85">
        <w:rPr>
          <w:rFonts w:hint="cs"/>
          <w:rtl/>
        </w:rPr>
        <w:t xml:space="preserve"> בראיות מתאימות</w:t>
      </w:r>
      <w:r w:rsidR="00B46B7A">
        <w:rPr>
          <w:rFonts w:hint="cs"/>
          <w:rtl/>
        </w:rPr>
        <w:t>;</w:t>
      </w:r>
      <w:r w:rsidR="00760B6E">
        <w:rPr>
          <w:rFonts w:hint="cs"/>
          <w:rtl/>
        </w:rPr>
        <w:t xml:space="preserve"> ולפיכך, </w:t>
      </w:r>
      <w:r w:rsidR="00B46B7A">
        <w:rPr>
          <w:rFonts w:hint="cs"/>
          <w:rtl/>
        </w:rPr>
        <w:t xml:space="preserve">בואר, כי </w:t>
      </w:r>
      <w:r w:rsidR="00760B6E">
        <w:rPr>
          <w:rFonts w:hint="cs"/>
          <w:rtl/>
        </w:rPr>
        <w:t xml:space="preserve">בית הדין </w:t>
      </w:r>
      <w:r w:rsidR="00760B6E" w:rsidRPr="00760B6E">
        <w:rPr>
          <w:rFonts w:hint="cs"/>
          <w:b/>
          <w:bCs/>
          <w:rtl/>
        </w:rPr>
        <w:t>לא התרשם</w:t>
      </w:r>
      <w:r w:rsidR="00760B6E">
        <w:rPr>
          <w:rFonts w:hint="cs"/>
          <w:rtl/>
        </w:rPr>
        <w:t xml:space="preserve"> "</w:t>
      </w:r>
      <w:r w:rsidR="00760B6E" w:rsidRPr="00760B6E">
        <w:rPr>
          <w:rFonts w:hint="cs"/>
          <w:rtl/>
        </w:rPr>
        <w:t xml:space="preserve">כי מצבה הנפשי של </w:t>
      </w:r>
      <w:r w:rsidR="00760B6E">
        <w:rPr>
          <w:rFonts w:hint="cs"/>
          <w:rtl/>
        </w:rPr>
        <w:t>... [המערערת]</w:t>
      </w:r>
      <w:r w:rsidR="00760B6E" w:rsidRPr="00760B6E">
        <w:rPr>
          <w:rFonts w:hint="cs"/>
          <w:rtl/>
        </w:rPr>
        <w:t xml:space="preserve"> הוא שעמד בבסיס היעדרותה מן השירות. הדבר בולט ועולה מכלל המסמכים שהונחו לפניי לרבות המסמכים הנפשיים</w:t>
      </w:r>
      <w:r w:rsidR="00760B6E">
        <w:rPr>
          <w:rFonts w:hint="cs"/>
          <w:rtl/>
        </w:rPr>
        <w:t>"</w:t>
      </w:r>
      <w:r w:rsidR="00760B6E" w:rsidRPr="00760B6E">
        <w:rPr>
          <w:rFonts w:hint="cs"/>
          <w:rtl/>
        </w:rPr>
        <w:t xml:space="preserve">. </w:t>
      </w:r>
      <w:r w:rsidR="00760B6E">
        <w:rPr>
          <w:rFonts w:hint="cs"/>
          <w:rtl/>
        </w:rPr>
        <w:t xml:space="preserve">בהקשר זה, הודגש גם כי </w:t>
      </w:r>
      <w:r w:rsidR="006D0787">
        <w:rPr>
          <w:rFonts w:hint="cs"/>
          <w:rtl/>
        </w:rPr>
        <w:t xml:space="preserve">המערערת </w:t>
      </w:r>
      <w:r w:rsidR="00760B6E">
        <w:rPr>
          <w:rFonts w:hint="cs"/>
          <w:rtl/>
        </w:rPr>
        <w:t xml:space="preserve">בחרה שלא לשאת דברים בדיון בעניינה, </w:t>
      </w:r>
      <w:r w:rsidR="006D0787">
        <w:rPr>
          <w:rFonts w:hint="cs"/>
          <w:rtl/>
        </w:rPr>
        <w:t xml:space="preserve">ובכך נמנע מבית הדין להתרשם </w:t>
      </w:r>
      <w:r w:rsidR="00A05C07">
        <w:rPr>
          <w:rFonts w:hint="cs"/>
          <w:rtl/>
        </w:rPr>
        <w:t xml:space="preserve">ישירות </w:t>
      </w:r>
      <w:r w:rsidR="00760B6E">
        <w:rPr>
          <w:rFonts w:hint="cs"/>
          <w:rtl/>
        </w:rPr>
        <w:t xml:space="preserve">מדבריה. </w:t>
      </w:r>
    </w:p>
    <w:p w14:paraId="7BBA5068" w14:textId="77777777" w:rsidR="006D0787" w:rsidRPr="005068D2" w:rsidRDefault="00760B6E" w:rsidP="00B46B7A">
      <w:pPr>
        <w:numPr>
          <w:ilvl w:val="0"/>
          <w:numId w:val="1"/>
        </w:numPr>
        <w:tabs>
          <w:tab w:val="left" w:pos="282"/>
        </w:tabs>
        <w:spacing w:after="0" w:line="360" w:lineRule="auto"/>
        <w:ind w:left="-1" w:firstLine="0"/>
        <w:jc w:val="both"/>
        <w:rPr>
          <w:rtl/>
        </w:rPr>
      </w:pPr>
      <w:r>
        <w:rPr>
          <w:rFonts w:hint="cs"/>
          <w:rtl/>
        </w:rPr>
        <w:t>לאחר האמור, נקבע כי אין ב</w:t>
      </w:r>
      <w:r w:rsidR="00DD0EEE">
        <w:rPr>
          <w:rFonts w:hint="cs"/>
          <w:rtl/>
        </w:rPr>
        <w:t>עובדת פיטוריה של המערערת מן השירות</w:t>
      </w:r>
      <w:r>
        <w:rPr>
          <w:rFonts w:hint="cs"/>
          <w:rtl/>
        </w:rPr>
        <w:t xml:space="preserve"> הצבאי כדי להוביל להקלה ניכרת </w:t>
      </w:r>
      <w:r w:rsidRPr="00B46B7A">
        <w:rPr>
          <w:rFonts w:hint="cs"/>
          <w:b/>
          <w:bCs/>
          <w:rtl/>
        </w:rPr>
        <w:t>במתחם העונש ההולם</w:t>
      </w:r>
      <w:r>
        <w:rPr>
          <w:rFonts w:hint="cs"/>
          <w:rtl/>
        </w:rPr>
        <w:t xml:space="preserve"> וכי זה, בשים לב למדיניות הענישה הנוהגת, </w:t>
      </w:r>
      <w:r w:rsidRPr="00B46B7A">
        <w:rPr>
          <w:rFonts w:hint="cs"/>
          <w:b/>
          <w:bCs/>
          <w:rtl/>
        </w:rPr>
        <w:t xml:space="preserve">נע </w:t>
      </w:r>
      <w:r w:rsidR="006D0787" w:rsidRPr="00B46B7A">
        <w:rPr>
          <w:rFonts w:hint="cs"/>
          <w:b/>
          <w:bCs/>
          <w:rtl/>
        </w:rPr>
        <w:t>בין 70 ימי מאסר בפועל לשישה חודשי מאסר בפועל</w:t>
      </w:r>
      <w:r w:rsidR="006D0787">
        <w:rPr>
          <w:rFonts w:hint="cs"/>
          <w:rtl/>
        </w:rPr>
        <w:t>.</w:t>
      </w:r>
    </w:p>
    <w:p w14:paraId="35AB944D" w14:textId="77777777" w:rsidR="006D0787" w:rsidRDefault="006D0787" w:rsidP="00B46B7A">
      <w:pPr>
        <w:numPr>
          <w:ilvl w:val="0"/>
          <w:numId w:val="1"/>
        </w:numPr>
        <w:tabs>
          <w:tab w:val="left" w:pos="282"/>
        </w:tabs>
        <w:spacing w:after="0" w:line="360" w:lineRule="auto"/>
        <w:ind w:left="-1" w:firstLine="0"/>
        <w:jc w:val="both"/>
      </w:pPr>
      <w:r>
        <w:rPr>
          <w:rFonts w:hint="cs"/>
          <w:rtl/>
        </w:rPr>
        <w:lastRenderedPageBreak/>
        <w:t>ב</w:t>
      </w:r>
      <w:r w:rsidR="00760B6E">
        <w:rPr>
          <w:rFonts w:hint="cs"/>
          <w:rtl/>
        </w:rPr>
        <w:t xml:space="preserve">דיון בשאלת </w:t>
      </w:r>
      <w:r w:rsidR="00760B6E" w:rsidRPr="00B46B7A">
        <w:rPr>
          <w:rFonts w:hint="cs"/>
          <w:b/>
          <w:bCs/>
          <w:rtl/>
        </w:rPr>
        <w:t>מידת ה</w:t>
      </w:r>
      <w:r w:rsidRPr="00B46B7A">
        <w:rPr>
          <w:rFonts w:hint="cs"/>
          <w:b/>
          <w:bCs/>
          <w:rtl/>
        </w:rPr>
        <w:t>עונש</w:t>
      </w:r>
      <w:r w:rsidR="00760B6E">
        <w:rPr>
          <w:rFonts w:hint="cs"/>
          <w:rtl/>
        </w:rPr>
        <w:t xml:space="preserve"> שיש להשית על המ</w:t>
      </w:r>
      <w:r>
        <w:rPr>
          <w:rFonts w:hint="cs"/>
          <w:rtl/>
        </w:rPr>
        <w:t xml:space="preserve">ערערת, </w:t>
      </w:r>
      <w:r w:rsidR="004517DD">
        <w:rPr>
          <w:rFonts w:hint="cs"/>
          <w:rtl/>
        </w:rPr>
        <w:t>פירט</w:t>
      </w:r>
      <w:r w:rsidR="00760B6E">
        <w:rPr>
          <w:rFonts w:hint="cs"/>
          <w:rtl/>
        </w:rPr>
        <w:t xml:space="preserve"> בית הדין קמא את הדברים הבאים: </w:t>
      </w:r>
    </w:p>
    <w:p w14:paraId="126524D1" w14:textId="77777777" w:rsidR="006D0787" w:rsidRDefault="004517DD" w:rsidP="004517DD">
      <w:pPr>
        <w:pStyle w:val="2"/>
        <w:numPr>
          <w:ilvl w:val="0"/>
          <w:numId w:val="0"/>
        </w:numPr>
        <w:spacing w:after="360" w:line="240" w:lineRule="auto"/>
        <w:ind w:left="851" w:right="851"/>
        <w:rPr>
          <w:rtl/>
        </w:rPr>
      </w:pPr>
      <w:r>
        <w:rPr>
          <w:rFonts w:hint="cs"/>
          <w:rtl/>
        </w:rPr>
        <w:t>"</w:t>
      </w:r>
      <w:r w:rsidR="00760B6E" w:rsidRPr="00760B6E">
        <w:rPr>
          <w:rtl/>
        </w:rPr>
        <w:t xml:space="preserve">לא </w:t>
      </w:r>
      <w:r w:rsidR="00760B6E" w:rsidRPr="00760B6E">
        <w:rPr>
          <w:rFonts w:hint="cs"/>
          <w:rtl/>
        </w:rPr>
        <w:t xml:space="preserve">מצאתי כי </w:t>
      </w:r>
      <w:r w:rsidR="00760B6E" w:rsidRPr="00760B6E">
        <w:rPr>
          <w:rtl/>
        </w:rPr>
        <w:t xml:space="preserve">ניתן להתעלם </w:t>
      </w:r>
      <w:r w:rsidR="00760B6E" w:rsidRPr="00760B6E">
        <w:rPr>
          <w:rFonts w:hint="cs"/>
          <w:rtl/>
        </w:rPr>
        <w:t>מ</w:t>
      </w:r>
      <w:r w:rsidR="00760B6E" w:rsidRPr="00760B6E">
        <w:rPr>
          <w:rtl/>
        </w:rPr>
        <w:t>חוסר המוטיבציה ש</w:t>
      </w:r>
      <w:r w:rsidR="00760B6E" w:rsidRPr="00760B6E">
        <w:rPr>
          <w:rFonts w:hint="cs"/>
          <w:rtl/>
        </w:rPr>
        <w:t xml:space="preserve">ל </w:t>
      </w:r>
      <w:r>
        <w:rPr>
          <w:rFonts w:hint="cs"/>
          <w:rtl/>
        </w:rPr>
        <w:t>... [המערערת]</w:t>
      </w:r>
      <w:r w:rsidR="00760B6E" w:rsidRPr="00760B6E">
        <w:rPr>
          <w:rtl/>
        </w:rPr>
        <w:t xml:space="preserve"> לשרת בצבא</w:t>
      </w:r>
      <w:r w:rsidR="00760B6E" w:rsidRPr="00760B6E">
        <w:rPr>
          <w:rFonts w:hint="cs"/>
          <w:rtl/>
        </w:rPr>
        <w:t>, מהעובדה ש</w:t>
      </w:r>
      <w:r>
        <w:rPr>
          <w:rFonts w:hint="cs"/>
          <w:rtl/>
        </w:rPr>
        <w:t xml:space="preserve">... </w:t>
      </w:r>
      <w:r w:rsidR="00760B6E" w:rsidRPr="00760B6E">
        <w:rPr>
          <w:rFonts w:hint="cs"/>
          <w:rtl/>
        </w:rPr>
        <w:t>לא העמידה עצמה לרשות הצבא, ולא ניסתה לשלב בין הקשיים הנטענים מבית לבין השירות הצבאי</w:t>
      </w:r>
      <w:r w:rsidR="00760B6E" w:rsidRPr="00760B6E">
        <w:rPr>
          <w:rtl/>
        </w:rPr>
        <w:t>.</w:t>
      </w:r>
      <w:r>
        <w:rPr>
          <w:rFonts w:hint="cs"/>
          <w:rtl/>
        </w:rPr>
        <w:t xml:space="preserve">.. </w:t>
      </w:r>
      <w:r w:rsidR="00760B6E" w:rsidRPr="00760B6E">
        <w:rPr>
          <w:rFonts w:hint="cs"/>
          <w:rtl/>
        </w:rPr>
        <w:t xml:space="preserve">אדגיש כי לא הוכח במסגרת הטיעונים או במסגרת המסמכים שהוגשו לעיוני, דבר ביחס למצב הנפשי של </w:t>
      </w:r>
      <w:r>
        <w:rPr>
          <w:rFonts w:hint="cs"/>
          <w:rtl/>
        </w:rPr>
        <w:t>... [המערערת]</w:t>
      </w:r>
      <w:r w:rsidR="00760B6E" w:rsidRPr="00760B6E">
        <w:rPr>
          <w:rFonts w:hint="cs"/>
          <w:rtl/>
        </w:rPr>
        <w:t xml:space="preserve"> בעת הגיוס ואף לא בתקופה לאחריו. לצד האמור, מצאתי להתחשב בכך שזהו הפרופיל הראשון שהותאם </w:t>
      </w:r>
      <w:r>
        <w:rPr>
          <w:rFonts w:hint="cs"/>
          <w:rtl/>
        </w:rPr>
        <w:t>... [למערערת]</w:t>
      </w:r>
      <w:r w:rsidR="00760B6E" w:rsidRPr="00760B6E">
        <w:rPr>
          <w:rFonts w:hint="cs"/>
          <w:rtl/>
        </w:rPr>
        <w:t xml:space="preserve"> ואשר הוביל לפיטוריה מן השירות. עוד מצאתי לתת משקל לכך שיש התייחסות מסוימת במסמכים שהוגשו לבית הדין, למשבר המשפחתי שפקד את משפחת </w:t>
      </w:r>
      <w:r>
        <w:rPr>
          <w:rFonts w:hint="cs"/>
          <w:rtl/>
        </w:rPr>
        <w:t xml:space="preserve">[המערערת] ... </w:t>
      </w:r>
      <w:r w:rsidR="00760B6E" w:rsidRPr="00760B6E">
        <w:rPr>
          <w:rFonts w:hint="cs"/>
          <w:rtl/>
        </w:rPr>
        <w:t xml:space="preserve">בשנים האמורות. בהתחשב בכלל המפורט, מצאתי למקם את עונשה של </w:t>
      </w:r>
      <w:r w:rsidR="00B46B7A">
        <w:rPr>
          <w:rFonts w:hint="cs"/>
          <w:rtl/>
        </w:rPr>
        <w:t>... [המערערת]</w:t>
      </w:r>
      <w:r w:rsidR="00760B6E" w:rsidRPr="00760B6E">
        <w:rPr>
          <w:rFonts w:hint="cs"/>
          <w:rtl/>
        </w:rPr>
        <w:t xml:space="preserve"> בחלק התחתון של המתחם</w:t>
      </w:r>
      <w:r>
        <w:rPr>
          <w:rFonts w:hint="cs"/>
          <w:rtl/>
        </w:rPr>
        <w:t>"</w:t>
      </w:r>
      <w:r w:rsidR="00760B6E" w:rsidRPr="00760B6E">
        <w:rPr>
          <w:rFonts w:hint="cs"/>
          <w:rtl/>
        </w:rPr>
        <w:t>.</w:t>
      </w:r>
    </w:p>
    <w:p w14:paraId="4D422D68" w14:textId="77777777" w:rsidR="004517DD" w:rsidRPr="000761A9" w:rsidRDefault="004517DD" w:rsidP="00B46B7A">
      <w:pPr>
        <w:numPr>
          <w:ilvl w:val="0"/>
          <w:numId w:val="1"/>
        </w:numPr>
        <w:tabs>
          <w:tab w:val="left" w:pos="282"/>
        </w:tabs>
        <w:spacing w:after="0" w:line="360" w:lineRule="auto"/>
        <w:ind w:left="-1" w:firstLine="0"/>
        <w:jc w:val="both"/>
      </w:pPr>
      <w:r>
        <w:rPr>
          <w:rFonts w:hint="cs"/>
          <w:rtl/>
        </w:rPr>
        <w:t>לאחר האמור, ה</w:t>
      </w:r>
      <w:r w:rsidR="00B46B7A">
        <w:rPr>
          <w:rFonts w:hint="cs"/>
          <w:rtl/>
        </w:rPr>
        <w:t xml:space="preserve">שית </w:t>
      </w:r>
      <w:r>
        <w:rPr>
          <w:rFonts w:hint="cs"/>
          <w:rtl/>
        </w:rPr>
        <w:t xml:space="preserve">בית הדין </w:t>
      </w:r>
      <w:r w:rsidR="00B46B7A">
        <w:rPr>
          <w:rFonts w:hint="cs"/>
          <w:rtl/>
        </w:rPr>
        <w:t>ע</w:t>
      </w:r>
      <w:r>
        <w:rPr>
          <w:rFonts w:hint="cs"/>
          <w:rtl/>
        </w:rPr>
        <w:t xml:space="preserve">ל המערערת, כמפורט לעיל, 80 ימי מאסר </w:t>
      </w:r>
      <w:r w:rsidR="00A05C07">
        <w:rPr>
          <w:rFonts w:hint="cs"/>
          <w:rtl/>
        </w:rPr>
        <w:t xml:space="preserve">לריצוי </w:t>
      </w:r>
      <w:r>
        <w:rPr>
          <w:rFonts w:hint="cs"/>
          <w:rtl/>
        </w:rPr>
        <w:t xml:space="preserve">בפועל.  </w:t>
      </w:r>
    </w:p>
    <w:p w14:paraId="7ED4D38E" w14:textId="77777777" w:rsidR="00730604" w:rsidRPr="00B46B7A" w:rsidRDefault="00730604" w:rsidP="00730604">
      <w:pPr>
        <w:tabs>
          <w:tab w:val="left" w:pos="283"/>
        </w:tabs>
        <w:spacing w:after="120" w:line="360" w:lineRule="auto"/>
        <w:ind w:left="284"/>
        <w:contextualSpacing/>
        <w:jc w:val="both"/>
      </w:pPr>
    </w:p>
    <w:p w14:paraId="45C4FA8D" w14:textId="77777777" w:rsidR="00730604" w:rsidRPr="000761A9" w:rsidRDefault="00730604" w:rsidP="00730604">
      <w:pPr>
        <w:tabs>
          <w:tab w:val="left" w:pos="283"/>
        </w:tabs>
        <w:spacing w:after="120" w:line="360" w:lineRule="auto"/>
        <w:contextualSpacing/>
        <w:jc w:val="both"/>
        <w:rPr>
          <w:b/>
          <w:bCs/>
          <w:u w:val="single"/>
          <w:rtl/>
        </w:rPr>
      </w:pPr>
      <w:r w:rsidRPr="000761A9">
        <w:rPr>
          <w:rFonts w:hint="cs"/>
          <w:b/>
          <w:bCs/>
          <w:u w:val="single"/>
          <w:rtl/>
        </w:rPr>
        <w:t>ערעור ההגנה</w:t>
      </w:r>
    </w:p>
    <w:p w14:paraId="30CCD8C0" w14:textId="77777777" w:rsidR="00E1096C" w:rsidRDefault="004517DD" w:rsidP="00B46B7A">
      <w:pPr>
        <w:numPr>
          <w:ilvl w:val="0"/>
          <w:numId w:val="1"/>
        </w:numPr>
        <w:tabs>
          <w:tab w:val="left" w:pos="282"/>
        </w:tabs>
        <w:spacing w:after="0" w:line="360" w:lineRule="auto"/>
        <w:ind w:left="-1" w:firstLine="0"/>
        <w:jc w:val="both"/>
      </w:pPr>
      <w:r>
        <w:rPr>
          <w:rFonts w:hint="cs"/>
          <w:rtl/>
        </w:rPr>
        <w:t xml:space="preserve">סנגורה של המערערת עתר להסתפק בימי מעצרה של המערערת עד כה. נטען, כי מן הראוי היה ליתן משקל של ממש לחוות </w:t>
      </w:r>
      <w:r w:rsidR="00B46B7A">
        <w:rPr>
          <w:rFonts w:hint="cs"/>
          <w:rtl/>
        </w:rPr>
        <w:t xml:space="preserve">הדעת </w:t>
      </w:r>
      <w:r>
        <w:rPr>
          <w:rFonts w:hint="cs"/>
          <w:rtl/>
        </w:rPr>
        <w:t>הפסיכיאטרית</w:t>
      </w:r>
      <w:r w:rsidR="00B46B7A">
        <w:rPr>
          <w:rFonts w:hint="cs"/>
          <w:rtl/>
        </w:rPr>
        <w:t>,</w:t>
      </w:r>
      <w:r>
        <w:rPr>
          <w:rFonts w:hint="cs"/>
          <w:rtl/>
        </w:rPr>
        <w:t xml:space="preserve"> שניתנה בעניינה של המערערת בתקופת הכליאה, וכי התרשמותו של הפסיכיאטר כי המערערת סובלת מדיכאון, גם אם מצבה </w:t>
      </w:r>
      <w:r w:rsidR="002A7943">
        <w:rPr>
          <w:rFonts w:hint="cs"/>
          <w:rtl/>
        </w:rPr>
        <w:t xml:space="preserve">כעת </w:t>
      </w:r>
      <w:r>
        <w:rPr>
          <w:rFonts w:hint="cs"/>
          <w:rtl/>
        </w:rPr>
        <w:t>טוב יותר</w:t>
      </w:r>
      <w:r w:rsidR="002A7943">
        <w:rPr>
          <w:rFonts w:hint="cs"/>
          <w:rtl/>
        </w:rPr>
        <w:t xml:space="preserve"> - </w:t>
      </w:r>
      <w:r>
        <w:rPr>
          <w:rFonts w:hint="cs"/>
          <w:rtl/>
        </w:rPr>
        <w:t>מלמד</w:t>
      </w:r>
      <w:r w:rsidR="00A05C07">
        <w:rPr>
          <w:rFonts w:hint="cs"/>
          <w:rtl/>
        </w:rPr>
        <w:t>ת</w:t>
      </w:r>
      <w:r>
        <w:rPr>
          <w:rFonts w:hint="cs"/>
          <w:rtl/>
        </w:rPr>
        <w:t xml:space="preserve"> </w:t>
      </w:r>
      <w:r w:rsidR="00E1096C">
        <w:rPr>
          <w:rFonts w:hint="cs"/>
          <w:rtl/>
        </w:rPr>
        <w:t xml:space="preserve">אף על </w:t>
      </w:r>
      <w:r>
        <w:rPr>
          <w:rFonts w:hint="cs"/>
          <w:rtl/>
        </w:rPr>
        <w:t xml:space="preserve">מצבה הנפשי עובר לביצוע העבירה ובמהלכה. נטען, כי </w:t>
      </w:r>
      <w:r w:rsidR="00E1096C">
        <w:rPr>
          <w:rFonts w:hint="cs"/>
          <w:rtl/>
        </w:rPr>
        <w:t xml:space="preserve">לנוכח האמור, </w:t>
      </w:r>
      <w:r>
        <w:rPr>
          <w:rFonts w:hint="cs"/>
          <w:rtl/>
        </w:rPr>
        <w:t>ראוי היה לקב</w:t>
      </w:r>
      <w:r w:rsidR="00E1096C">
        <w:rPr>
          <w:rFonts w:hint="cs"/>
          <w:rtl/>
        </w:rPr>
        <w:t>ו</w:t>
      </w:r>
      <w:r>
        <w:rPr>
          <w:rFonts w:hint="cs"/>
          <w:rtl/>
        </w:rPr>
        <w:t xml:space="preserve">ע את </w:t>
      </w:r>
      <w:r w:rsidR="00E1096C">
        <w:rPr>
          <w:rFonts w:hint="cs"/>
          <w:rtl/>
        </w:rPr>
        <w:t xml:space="preserve">הרף התחתון של </w:t>
      </w:r>
      <w:r>
        <w:rPr>
          <w:rFonts w:hint="cs"/>
          <w:rtl/>
        </w:rPr>
        <w:t xml:space="preserve">מתחם העונש ההולם </w:t>
      </w:r>
      <w:r w:rsidR="00B46B7A">
        <w:rPr>
          <w:rFonts w:hint="cs"/>
          <w:rtl/>
        </w:rPr>
        <w:t xml:space="preserve">בעונש </w:t>
      </w:r>
      <w:r w:rsidR="00E1096C">
        <w:rPr>
          <w:rFonts w:hint="cs"/>
          <w:rtl/>
        </w:rPr>
        <w:t xml:space="preserve">מאסר בפועל שמשכו כמניין ימי מעצרה של המערערת במועד מתן גזר הדין (36 ימים). </w:t>
      </w:r>
    </w:p>
    <w:p w14:paraId="3DA41C4F" w14:textId="77777777" w:rsidR="00730604" w:rsidRPr="000761A9" w:rsidRDefault="00E1096C" w:rsidP="00B46B7A">
      <w:pPr>
        <w:numPr>
          <w:ilvl w:val="0"/>
          <w:numId w:val="1"/>
        </w:numPr>
        <w:tabs>
          <w:tab w:val="left" w:pos="282"/>
        </w:tabs>
        <w:spacing w:after="0" w:line="360" w:lineRule="auto"/>
        <w:ind w:left="-1" w:firstLine="0"/>
        <w:jc w:val="both"/>
        <w:rPr>
          <w:rtl/>
        </w:rPr>
      </w:pPr>
      <w:r>
        <w:rPr>
          <w:rFonts w:hint="cs"/>
          <w:rtl/>
        </w:rPr>
        <w:t xml:space="preserve">עוד נטען, כי מדיניות הענישה הנוהגת בעניינם של משתמטים, אשר נעדרו מן השירות הצבאי למשך תקופות דומות, </w:t>
      </w:r>
      <w:r w:rsidR="004A56CE">
        <w:rPr>
          <w:rFonts w:hint="cs"/>
          <w:rtl/>
        </w:rPr>
        <w:t>היא של כ</w:t>
      </w:r>
      <w:r>
        <w:rPr>
          <w:rFonts w:hint="cs"/>
          <w:rtl/>
        </w:rPr>
        <w:t xml:space="preserve">שלושה חודשי מאסר בפועל, וכי אף משום כך, לנוכח הפרופיל </w:t>
      </w:r>
      <w:r w:rsidR="00B159E5">
        <w:rPr>
          <w:rFonts w:hint="cs"/>
          <w:rtl/>
        </w:rPr>
        <w:t>ה</w:t>
      </w:r>
      <w:r>
        <w:rPr>
          <w:rFonts w:hint="cs"/>
          <w:rtl/>
        </w:rPr>
        <w:t xml:space="preserve">נפשי שהותאם למערערת, ראוי היה להשית עליה עונש מאסר בפועל, קל בהרבה. הסנגור הפנה בעניין זה לע/50/17 </w:t>
      </w:r>
      <w:r w:rsidRPr="00E1096C">
        <w:rPr>
          <w:rFonts w:hint="cs"/>
          <w:b/>
          <w:bCs/>
          <w:rtl/>
        </w:rPr>
        <w:t>רב"ט אוחנה נ' התובע הצבאי הראשי</w:t>
      </w:r>
      <w:r>
        <w:rPr>
          <w:rFonts w:hint="cs"/>
          <w:rtl/>
        </w:rPr>
        <w:t xml:space="preserve"> (2017); ולע/95/17 </w:t>
      </w:r>
      <w:r w:rsidRPr="00E1096C">
        <w:rPr>
          <w:rFonts w:hint="cs"/>
          <w:b/>
          <w:bCs/>
          <w:rtl/>
        </w:rPr>
        <w:t>מויסה נ' התובע הצבאי הראשי</w:t>
      </w:r>
      <w:r>
        <w:rPr>
          <w:rFonts w:hint="cs"/>
          <w:rtl/>
        </w:rPr>
        <w:t xml:space="preserve"> (2017).</w:t>
      </w:r>
    </w:p>
    <w:p w14:paraId="5BDEE561" w14:textId="77777777" w:rsidR="00E1096C" w:rsidRDefault="00E1096C" w:rsidP="00730604">
      <w:pPr>
        <w:tabs>
          <w:tab w:val="left" w:pos="283"/>
        </w:tabs>
        <w:spacing w:after="120" w:line="360" w:lineRule="auto"/>
        <w:contextualSpacing/>
        <w:jc w:val="both"/>
        <w:rPr>
          <w:b/>
          <w:bCs/>
          <w:u w:val="single"/>
          <w:rtl/>
        </w:rPr>
      </w:pPr>
    </w:p>
    <w:p w14:paraId="11129C8C" w14:textId="77777777" w:rsidR="00730604" w:rsidRPr="000761A9" w:rsidRDefault="00730604" w:rsidP="00730604">
      <w:pPr>
        <w:tabs>
          <w:tab w:val="left" w:pos="283"/>
        </w:tabs>
        <w:spacing w:after="120" w:line="360" w:lineRule="auto"/>
        <w:contextualSpacing/>
        <w:jc w:val="both"/>
      </w:pPr>
      <w:r w:rsidRPr="000761A9">
        <w:rPr>
          <w:rFonts w:hint="cs"/>
          <w:b/>
          <w:bCs/>
          <w:u w:val="single"/>
          <w:rtl/>
        </w:rPr>
        <w:t>תשובת התביעה</w:t>
      </w:r>
    </w:p>
    <w:p w14:paraId="120C6654" w14:textId="77777777" w:rsidR="00730604" w:rsidRDefault="00E1096C" w:rsidP="00B46B7A">
      <w:pPr>
        <w:numPr>
          <w:ilvl w:val="0"/>
          <w:numId w:val="1"/>
        </w:numPr>
        <w:tabs>
          <w:tab w:val="left" w:pos="282"/>
        </w:tabs>
        <w:spacing w:after="0" w:line="360" w:lineRule="auto"/>
        <w:ind w:left="-1" w:firstLine="0"/>
        <w:jc w:val="both"/>
      </w:pPr>
      <w:r>
        <w:rPr>
          <w:rFonts w:hint="cs"/>
          <w:rtl/>
        </w:rPr>
        <w:lastRenderedPageBreak/>
        <w:t xml:space="preserve">מנגד, טענה התביעה כי אין להתערב בגזר </w:t>
      </w:r>
      <w:r w:rsidR="00B159E5">
        <w:rPr>
          <w:rFonts w:hint="cs"/>
          <w:rtl/>
        </w:rPr>
        <w:t>ה</w:t>
      </w:r>
      <w:r>
        <w:rPr>
          <w:rFonts w:hint="cs"/>
          <w:rtl/>
        </w:rPr>
        <w:t>די</w:t>
      </w:r>
      <w:r w:rsidR="00B159E5">
        <w:rPr>
          <w:rFonts w:hint="cs"/>
          <w:rtl/>
        </w:rPr>
        <w:t xml:space="preserve">ן, </w:t>
      </w:r>
      <w:r>
        <w:rPr>
          <w:rFonts w:hint="cs"/>
          <w:rtl/>
        </w:rPr>
        <w:t>מאחר ש</w:t>
      </w:r>
      <w:r w:rsidR="00B159E5">
        <w:rPr>
          <w:rFonts w:hint="cs"/>
          <w:rtl/>
        </w:rPr>
        <w:t xml:space="preserve">בית הדין המחוזי </w:t>
      </w:r>
      <w:r>
        <w:rPr>
          <w:rFonts w:hint="cs"/>
          <w:rtl/>
        </w:rPr>
        <w:t xml:space="preserve">שקל את </w:t>
      </w:r>
      <w:r w:rsidR="00B159E5">
        <w:rPr>
          <w:rFonts w:hint="cs"/>
          <w:rtl/>
        </w:rPr>
        <w:t xml:space="preserve">כלל </w:t>
      </w:r>
      <w:r>
        <w:rPr>
          <w:rFonts w:hint="cs"/>
          <w:rtl/>
        </w:rPr>
        <w:t>השיקולים הדרושים לעניין ואיזן ביניהם נכונה</w:t>
      </w:r>
      <w:r w:rsidR="004A56CE">
        <w:rPr>
          <w:rFonts w:hint="cs"/>
          <w:rtl/>
        </w:rPr>
        <w:t xml:space="preserve"> - ו</w:t>
      </w:r>
      <w:r>
        <w:rPr>
          <w:rFonts w:hint="cs"/>
          <w:rtl/>
        </w:rPr>
        <w:t>בוודאי אין לומר כי נפלה ב</w:t>
      </w:r>
      <w:r w:rsidR="00B159E5">
        <w:rPr>
          <w:rFonts w:hint="cs"/>
          <w:rtl/>
        </w:rPr>
        <w:t xml:space="preserve">גזר הדין </w:t>
      </w:r>
      <w:r>
        <w:rPr>
          <w:rFonts w:hint="cs"/>
          <w:rtl/>
        </w:rPr>
        <w:t xml:space="preserve">טעות המצדיקה את התערבות ערכאת הערעור. </w:t>
      </w:r>
    </w:p>
    <w:p w14:paraId="00BE523A" w14:textId="77777777" w:rsidR="00E1096C" w:rsidRDefault="00E1096C" w:rsidP="00B46B7A">
      <w:pPr>
        <w:numPr>
          <w:ilvl w:val="0"/>
          <w:numId w:val="1"/>
        </w:numPr>
        <w:tabs>
          <w:tab w:val="left" w:pos="282"/>
        </w:tabs>
        <w:spacing w:after="0" w:line="360" w:lineRule="auto"/>
        <w:ind w:left="-1" w:firstLine="0"/>
        <w:jc w:val="both"/>
      </w:pPr>
      <w:r>
        <w:rPr>
          <w:rFonts w:hint="cs"/>
          <w:rtl/>
        </w:rPr>
        <w:t xml:space="preserve">התביעה הדגישה בטיעוניה, כי לא הובאה כל ראיה בנוגע למצבה הנפשי או המשפחתי של המערערת עובר לתקופת ההיעדרות או במהלכה, ולפיכך, </w:t>
      </w:r>
      <w:r w:rsidR="004A56CE">
        <w:rPr>
          <w:rFonts w:hint="cs"/>
          <w:rtl/>
        </w:rPr>
        <w:t xml:space="preserve">בהיעדר זיקה ביניהם לבין ביצוע העבירה, </w:t>
      </w:r>
      <w:r>
        <w:rPr>
          <w:rFonts w:hint="cs"/>
          <w:rtl/>
        </w:rPr>
        <w:t xml:space="preserve">לא היה מקום להתחשב בהם בעת קביעת מתחם העונש ההולם. </w:t>
      </w:r>
    </w:p>
    <w:p w14:paraId="206526E8" w14:textId="77777777" w:rsidR="00E1096C" w:rsidRPr="00E1096C" w:rsidRDefault="00E1096C" w:rsidP="00B46B7A">
      <w:pPr>
        <w:numPr>
          <w:ilvl w:val="0"/>
          <w:numId w:val="1"/>
        </w:numPr>
        <w:tabs>
          <w:tab w:val="left" w:pos="282"/>
        </w:tabs>
        <w:spacing w:after="0" w:line="360" w:lineRule="auto"/>
        <w:ind w:left="-1" w:firstLine="0"/>
        <w:jc w:val="both"/>
        <w:rPr>
          <w:rtl/>
        </w:rPr>
      </w:pPr>
      <w:r>
        <w:rPr>
          <w:rFonts w:hint="cs"/>
          <w:rtl/>
        </w:rPr>
        <w:t>נטען עוד, כי העונש שהוטל המערערת עולה בקנה אחד עם מדיניות הענישה הנוהגת</w:t>
      </w:r>
      <w:r w:rsidR="00633D75">
        <w:rPr>
          <w:rFonts w:hint="cs"/>
          <w:rtl/>
        </w:rPr>
        <w:t>.</w:t>
      </w:r>
    </w:p>
    <w:p w14:paraId="7F094F72" w14:textId="77777777" w:rsidR="00730604" w:rsidRPr="000761A9" w:rsidRDefault="00730604" w:rsidP="00730604">
      <w:pPr>
        <w:tabs>
          <w:tab w:val="left" w:pos="283"/>
        </w:tabs>
        <w:spacing w:after="0" w:line="360" w:lineRule="auto"/>
        <w:contextualSpacing/>
        <w:jc w:val="both"/>
        <w:rPr>
          <w:rtl/>
        </w:rPr>
      </w:pPr>
      <w:r w:rsidRPr="000761A9">
        <w:rPr>
          <w:rFonts w:hint="cs"/>
          <w:b/>
          <w:bCs/>
          <w:u w:val="single"/>
          <w:rtl/>
        </w:rPr>
        <w:t>דיון והכרעה</w:t>
      </w:r>
    </w:p>
    <w:p w14:paraId="2339CBD7" w14:textId="77777777" w:rsidR="006B1324" w:rsidRPr="006B1324" w:rsidRDefault="006B1324" w:rsidP="00B46B7A">
      <w:pPr>
        <w:numPr>
          <w:ilvl w:val="0"/>
          <w:numId w:val="1"/>
        </w:numPr>
        <w:tabs>
          <w:tab w:val="left" w:pos="282"/>
        </w:tabs>
        <w:spacing w:after="0" w:line="360" w:lineRule="auto"/>
        <w:ind w:left="-1" w:firstLine="0"/>
        <w:jc w:val="both"/>
        <w:rPr>
          <w:rtl/>
        </w:rPr>
      </w:pPr>
      <w:r w:rsidRPr="006B1324">
        <w:rPr>
          <w:rFonts w:hint="cs"/>
          <w:rtl/>
        </w:rPr>
        <w:t xml:space="preserve">היקף הפגיעה המשמעותי בערך החברתי, הנובע ממשכה הרב של ההיעדרות, על רקע חוסר המוטיבציה שהפגינה המערערת לכל אורך הדרך </w:t>
      </w:r>
      <w:r w:rsidRPr="006B1324">
        <w:rPr>
          <w:rtl/>
        </w:rPr>
        <w:t>–</w:t>
      </w:r>
      <w:r w:rsidRPr="006B1324">
        <w:rPr>
          <w:rFonts w:hint="cs"/>
          <w:rtl/>
        </w:rPr>
        <w:t xml:space="preserve"> מחייב, ככלל, ענישה משמעותית. שיקולי ההלימה מצדיקים להטיל </w:t>
      </w:r>
      <w:r w:rsidR="00B159E5">
        <w:rPr>
          <w:rFonts w:hint="cs"/>
          <w:rtl/>
        </w:rPr>
        <w:t xml:space="preserve">עליה </w:t>
      </w:r>
      <w:r w:rsidRPr="006B1324">
        <w:rPr>
          <w:rFonts w:hint="cs"/>
          <w:rtl/>
        </w:rPr>
        <w:t xml:space="preserve">עונש מאסר בפועל בן מספר חודשים, אשר יהיה בו כדי להלום את הפגיעה באינטרס החברתי של קידום השוויון בנטל השירות הצבאי, שתכליתו להגן על חוסנו של הצבא ועל לכידותה של החברה הישראלית (ראו והשוו: </w:t>
      </w:r>
      <w:r w:rsidR="008E604F" w:rsidRPr="008E604F">
        <w:rPr>
          <w:rFonts w:hint="cs"/>
          <w:rtl/>
        </w:rPr>
        <w:t xml:space="preserve">ע/28/17 </w:t>
      </w:r>
      <w:r w:rsidR="008E604F" w:rsidRPr="008E604F">
        <w:rPr>
          <w:rFonts w:hint="cs"/>
          <w:b/>
          <w:bCs/>
          <w:rtl/>
        </w:rPr>
        <w:t>טור' אמבאו נ' התובע הצבאי הראשי</w:t>
      </w:r>
      <w:r w:rsidR="008E604F" w:rsidRPr="008E604F">
        <w:rPr>
          <w:rFonts w:hint="cs"/>
          <w:rtl/>
        </w:rPr>
        <w:t xml:space="preserve"> (2017)</w:t>
      </w:r>
      <w:r w:rsidR="008E604F">
        <w:rPr>
          <w:rFonts w:hint="cs"/>
          <w:rtl/>
        </w:rPr>
        <w:t xml:space="preserve">; </w:t>
      </w:r>
      <w:r w:rsidRPr="006B1324">
        <w:rPr>
          <w:rFonts w:hint="cs"/>
          <w:rtl/>
        </w:rPr>
        <w:t xml:space="preserve">ע/4/17 </w:t>
      </w:r>
      <w:r w:rsidRPr="008E604F">
        <w:rPr>
          <w:rFonts w:hint="cs"/>
          <w:b/>
          <w:bCs/>
          <w:rtl/>
        </w:rPr>
        <w:t>התובע הצבאי הראשי נ' טור' רובל</w:t>
      </w:r>
      <w:r w:rsidRPr="006B1324">
        <w:rPr>
          <w:rFonts w:hint="cs"/>
          <w:rtl/>
        </w:rPr>
        <w:t xml:space="preserve"> (2017); ע/27/12 </w:t>
      </w:r>
      <w:r w:rsidRPr="008E604F">
        <w:rPr>
          <w:rFonts w:hint="cs"/>
          <w:b/>
          <w:bCs/>
          <w:rtl/>
        </w:rPr>
        <w:t xml:space="preserve">התובע הצבאי הראשי נ' טור' לוי </w:t>
      </w:r>
      <w:r w:rsidRPr="006B1324">
        <w:rPr>
          <w:rFonts w:hint="cs"/>
          <w:rtl/>
        </w:rPr>
        <w:t xml:space="preserve">(2012) וע/52/07 </w:t>
      </w:r>
      <w:r w:rsidRPr="008E604F">
        <w:rPr>
          <w:rFonts w:hint="cs"/>
          <w:b/>
          <w:bCs/>
          <w:rtl/>
        </w:rPr>
        <w:t>רב"ט מהרט נ' התובע הצבאי הראשי</w:t>
      </w:r>
      <w:r w:rsidRPr="006B1324">
        <w:rPr>
          <w:rFonts w:hint="cs"/>
          <w:rtl/>
        </w:rPr>
        <w:t xml:space="preserve"> (2007)).</w:t>
      </w:r>
      <w:r w:rsidR="008E604F">
        <w:rPr>
          <w:rFonts w:hint="cs"/>
          <w:rtl/>
        </w:rPr>
        <w:t xml:space="preserve"> בעניין זה, נקבע זה מכבר בפסיקת בית המשפט העליון, כי </w:t>
      </w:r>
    </w:p>
    <w:p w14:paraId="7B4DC1A8" w14:textId="77777777" w:rsidR="00730604" w:rsidRDefault="008E604F" w:rsidP="008E604F">
      <w:pPr>
        <w:pStyle w:val="2"/>
        <w:numPr>
          <w:ilvl w:val="0"/>
          <w:numId w:val="0"/>
        </w:numPr>
        <w:spacing w:after="360" w:line="240" w:lineRule="auto"/>
        <w:ind w:left="851" w:right="851"/>
        <w:rPr>
          <w:rtl/>
        </w:rPr>
      </w:pPr>
      <w:r w:rsidRPr="008E604F">
        <w:rPr>
          <w:rtl/>
        </w:rPr>
        <w:t xml:space="preserve">"השירות הצבאי הוא חלק מהותי מחייו של כל צעיר בישראל, ואין לתת יד לגישה לפיה רק מעטים </w:t>
      </w:r>
      <w:r>
        <w:rPr>
          <w:rFonts w:hint="cs"/>
          <w:rtl/>
        </w:rPr>
        <w:t>י</w:t>
      </w:r>
      <w:r w:rsidRPr="008E604F">
        <w:rPr>
          <w:rtl/>
        </w:rPr>
        <w:t>ישאו בעול השירות, יתרמו ממיטב שנותיהם ואף יסכנו את חייהם, שעה שאחרים ימצאו דרכי מילוט שלא לשאת בנטל" (בג"ץ 1532/00</w:t>
      </w:r>
      <w:r w:rsidRPr="008E604F">
        <w:rPr>
          <w:b/>
          <w:bCs/>
          <w:rtl/>
        </w:rPr>
        <w:t xml:space="preserve"> דה ברמקר נ' שר הבטחון</w:t>
      </w:r>
      <w:r w:rsidRPr="008E604F">
        <w:rPr>
          <w:rtl/>
        </w:rPr>
        <w:t>, פ"ד נד(2) 297, 303-302(2000)).</w:t>
      </w:r>
    </w:p>
    <w:p w14:paraId="710B3FF7" w14:textId="77777777" w:rsidR="008E604F" w:rsidRDefault="008E604F" w:rsidP="008E604F">
      <w:pPr>
        <w:pStyle w:val="2"/>
        <w:numPr>
          <w:ilvl w:val="0"/>
          <w:numId w:val="0"/>
        </w:numPr>
        <w:spacing w:after="360" w:line="240" w:lineRule="auto"/>
        <w:ind w:left="851" w:right="851"/>
        <w:rPr>
          <w:rtl/>
        </w:rPr>
      </w:pPr>
    </w:p>
    <w:p w14:paraId="57A1E356" w14:textId="406C598A" w:rsidR="00A364DF" w:rsidRDefault="001C456C" w:rsidP="00B46B7A">
      <w:pPr>
        <w:numPr>
          <w:ilvl w:val="0"/>
          <w:numId w:val="1"/>
        </w:numPr>
        <w:tabs>
          <w:tab w:val="left" w:pos="282"/>
        </w:tabs>
        <w:spacing w:after="0" w:line="360" w:lineRule="auto"/>
        <w:ind w:left="-1" w:firstLine="0"/>
        <w:jc w:val="both"/>
      </w:pPr>
      <w:r w:rsidRPr="001C456C">
        <w:rPr>
          <w:rFonts w:hint="cs"/>
          <w:rtl/>
        </w:rPr>
        <w:t>בד בבד, במסגרת קביעת מתחם העונש ההולם ועל-פי עיקרון ההלימה, יש לבחון גם את "נסיבות ביצוע העבירה" ו"מידת אשמו" של העושה. המציאות מלמדת, כי לעיתים, יהיה קשר ישיר בין ראשיתה של היעדרות משירות צבאי ואף משכה, לנסיבות אישיות ול</w:t>
      </w:r>
      <w:r>
        <w:rPr>
          <w:rFonts w:hint="cs"/>
          <w:rtl/>
        </w:rPr>
        <w:t xml:space="preserve">מצבו הנפשי </w:t>
      </w:r>
      <w:r w:rsidRPr="001C456C">
        <w:rPr>
          <w:rFonts w:hint="cs"/>
          <w:rtl/>
        </w:rPr>
        <w:t>של החייל הנעדר</w:t>
      </w:r>
      <w:r>
        <w:rPr>
          <w:rFonts w:hint="cs"/>
          <w:rtl/>
        </w:rPr>
        <w:t xml:space="preserve"> באותה תקופה (ראו והשוו:</w:t>
      </w:r>
      <w:r w:rsidR="00A364DF">
        <w:rPr>
          <w:rFonts w:hint="cs"/>
          <w:rtl/>
        </w:rPr>
        <w:t xml:space="preserve"> </w:t>
      </w:r>
      <w:r>
        <w:rPr>
          <w:rFonts w:hint="cs"/>
          <w:rtl/>
        </w:rPr>
        <w:t>ע/</w:t>
      </w:r>
      <w:r w:rsidR="00A364DF">
        <w:rPr>
          <w:rFonts w:hint="cs"/>
          <w:rtl/>
        </w:rPr>
        <w:t xml:space="preserve">36/19 </w:t>
      </w:r>
      <w:r w:rsidR="00A364DF" w:rsidRPr="00A364DF">
        <w:rPr>
          <w:rFonts w:hint="cs"/>
          <w:b/>
          <w:bCs/>
          <w:rtl/>
        </w:rPr>
        <w:t xml:space="preserve">התובע הצבאי הראשי נ' </w:t>
      </w:r>
      <w:r w:rsidRPr="00A364DF">
        <w:rPr>
          <w:rFonts w:hint="cs"/>
          <w:b/>
          <w:bCs/>
        </w:rPr>
        <w:t xml:space="preserve"> </w:t>
      </w:r>
      <w:r w:rsidR="00A364DF" w:rsidRPr="00A364DF">
        <w:rPr>
          <w:rFonts w:hint="cs"/>
          <w:b/>
          <w:bCs/>
          <w:rtl/>
        </w:rPr>
        <w:t>טוראי ספריקין</w:t>
      </w:r>
      <w:r w:rsidR="00A364DF" w:rsidRPr="00A364DF">
        <w:rPr>
          <w:rFonts w:hint="cs"/>
          <w:rtl/>
        </w:rPr>
        <w:t xml:space="preserve"> </w:t>
      </w:r>
      <w:r w:rsidR="00A364DF">
        <w:rPr>
          <w:rFonts w:hint="cs"/>
          <w:rtl/>
        </w:rPr>
        <w:t xml:space="preserve">(2019); </w:t>
      </w:r>
      <w:r>
        <w:rPr>
          <w:rFonts w:hint="cs"/>
          <w:rtl/>
        </w:rPr>
        <w:t xml:space="preserve">ע/68/16 </w:t>
      </w:r>
      <w:r w:rsidRPr="00A364DF">
        <w:rPr>
          <w:rFonts w:hint="cs"/>
          <w:b/>
          <w:bCs/>
          <w:rtl/>
        </w:rPr>
        <w:t>ורמלוב נ' התובע הצבאי הראשי</w:t>
      </w:r>
      <w:r>
        <w:rPr>
          <w:rFonts w:hint="cs"/>
          <w:rtl/>
        </w:rPr>
        <w:t xml:space="preserve"> (2016)</w:t>
      </w:r>
      <w:r w:rsidR="00A364DF">
        <w:rPr>
          <w:rFonts w:hint="cs"/>
          <w:rtl/>
        </w:rPr>
        <w:t>)</w:t>
      </w:r>
      <w:r w:rsidRPr="001C456C">
        <w:rPr>
          <w:rFonts w:hint="cs"/>
          <w:rtl/>
        </w:rPr>
        <w:t>. ב</w:t>
      </w:r>
      <w:r w:rsidR="00B159E5">
        <w:rPr>
          <w:rFonts w:hint="cs"/>
          <w:rtl/>
        </w:rPr>
        <w:t xml:space="preserve">אותם </w:t>
      </w:r>
      <w:r w:rsidRPr="001C456C">
        <w:rPr>
          <w:rFonts w:hint="cs"/>
          <w:rtl/>
        </w:rPr>
        <w:t>מקר</w:t>
      </w:r>
      <w:r w:rsidR="00A364DF">
        <w:rPr>
          <w:rFonts w:hint="cs"/>
          <w:rtl/>
        </w:rPr>
        <w:t>ים, יהי</w:t>
      </w:r>
      <w:r w:rsidRPr="001C456C">
        <w:rPr>
          <w:rFonts w:hint="cs"/>
          <w:rtl/>
        </w:rPr>
        <w:t xml:space="preserve">ה </w:t>
      </w:r>
      <w:r w:rsidR="00A364DF">
        <w:rPr>
          <w:rFonts w:hint="cs"/>
          <w:rtl/>
        </w:rPr>
        <w:t>על ההגנה לבסס את התשתית העובדתית ה</w:t>
      </w:r>
      <w:r w:rsidR="00B159E5">
        <w:rPr>
          <w:rFonts w:hint="cs"/>
          <w:rtl/>
        </w:rPr>
        <w:t xml:space="preserve">רלוונטית </w:t>
      </w:r>
      <w:r w:rsidR="00A364DF">
        <w:rPr>
          <w:rFonts w:hint="cs"/>
          <w:rtl/>
        </w:rPr>
        <w:t xml:space="preserve">ברף של מאזן </w:t>
      </w:r>
      <w:r w:rsidR="004A56CE">
        <w:rPr>
          <w:rFonts w:hint="cs"/>
          <w:rtl/>
        </w:rPr>
        <w:t>ה</w:t>
      </w:r>
      <w:r w:rsidR="00A364DF">
        <w:rPr>
          <w:rFonts w:hint="cs"/>
          <w:rtl/>
        </w:rPr>
        <w:t>הסתברויות (ראו:</w:t>
      </w:r>
      <w:r w:rsidR="00A364DF">
        <w:rPr>
          <w:rFonts w:hint="cs"/>
        </w:rPr>
        <w:t xml:space="preserve"> </w:t>
      </w:r>
      <w:r w:rsidR="00A364DF">
        <w:rPr>
          <w:rFonts w:hint="cs"/>
          <w:rtl/>
        </w:rPr>
        <w:t>סעיף 40י(ג) סיפא לחוק העונשין, תשל"ז-1977; וראו גם:</w:t>
      </w:r>
      <w:r w:rsidR="00A364DF">
        <w:rPr>
          <w:rFonts w:hint="cs"/>
        </w:rPr>
        <w:t xml:space="preserve"> </w:t>
      </w:r>
      <w:r w:rsidR="00A364DF" w:rsidRPr="00A364DF">
        <w:rPr>
          <w:rtl/>
        </w:rPr>
        <w:t xml:space="preserve">ע"פ 7876/15 </w:t>
      </w:r>
      <w:r w:rsidR="00A364DF" w:rsidRPr="00A364DF">
        <w:rPr>
          <w:b/>
          <w:bCs/>
          <w:rtl/>
        </w:rPr>
        <w:t>חמאמרה נ' מדינת ישראל</w:t>
      </w:r>
      <w:r w:rsidR="00A364DF" w:rsidRPr="00A364DF">
        <w:rPr>
          <w:rtl/>
        </w:rPr>
        <w:t xml:space="preserve"> </w:t>
      </w:r>
      <w:r w:rsidR="00A364DF">
        <w:rPr>
          <w:rFonts w:hint="cs"/>
          <w:rtl/>
        </w:rPr>
        <w:t>פסקה 25, (</w:t>
      </w:r>
      <w:r w:rsidR="00331E26">
        <w:rPr>
          <w:rFonts w:hint="cs"/>
          <w:rtl/>
        </w:rPr>
        <w:t xml:space="preserve">לא פורסם, </w:t>
      </w:r>
      <w:r w:rsidR="00A364DF">
        <w:rPr>
          <w:rFonts w:hint="cs"/>
          <w:rtl/>
        </w:rPr>
        <w:t xml:space="preserve">30.8.2017)). </w:t>
      </w:r>
    </w:p>
    <w:p w14:paraId="789B36C7" w14:textId="77777777" w:rsidR="00305826" w:rsidRPr="00305826" w:rsidRDefault="00A364DF" w:rsidP="00B46B7A">
      <w:pPr>
        <w:numPr>
          <w:ilvl w:val="0"/>
          <w:numId w:val="1"/>
        </w:numPr>
        <w:tabs>
          <w:tab w:val="left" w:pos="282"/>
        </w:tabs>
        <w:spacing w:after="0" w:line="360" w:lineRule="auto"/>
        <w:ind w:left="-1" w:firstLine="0"/>
        <w:jc w:val="both"/>
        <w:rPr>
          <w:rFonts w:ascii="Times New Roman" w:eastAsia="Times New Roman" w:hAnsi="Times New Roman"/>
        </w:rPr>
      </w:pPr>
      <w:r w:rsidRPr="00A364DF">
        <w:rPr>
          <w:rFonts w:hint="cs"/>
          <w:rtl/>
        </w:rPr>
        <w:lastRenderedPageBreak/>
        <w:t xml:space="preserve">במקרה </w:t>
      </w:r>
      <w:r w:rsidR="001C456C" w:rsidRPr="001C456C">
        <w:rPr>
          <w:rFonts w:hint="cs"/>
          <w:rtl/>
        </w:rPr>
        <w:t>דנן, כ</w:t>
      </w:r>
      <w:r>
        <w:rPr>
          <w:rFonts w:hint="cs"/>
          <w:rtl/>
        </w:rPr>
        <w:t xml:space="preserve">פי שקבע בית הדין קמא, ההגנה לא הציגה ראיות </w:t>
      </w:r>
      <w:r w:rsidR="00305826">
        <w:rPr>
          <w:rFonts w:hint="cs"/>
          <w:rtl/>
        </w:rPr>
        <w:t xml:space="preserve">מתאימות </w:t>
      </w:r>
      <w:r>
        <w:rPr>
          <w:rFonts w:hint="cs"/>
          <w:rtl/>
        </w:rPr>
        <w:t xml:space="preserve">בנוגע למצבה הנפשי או המשפחתי של המערערת עובר לביצוע העבירה ובמהלכה, והמערערת נמנעה </w:t>
      </w:r>
      <w:r w:rsidR="00305826">
        <w:rPr>
          <w:rFonts w:hint="cs"/>
          <w:rtl/>
        </w:rPr>
        <w:t xml:space="preserve">מלהעיד בנושא. </w:t>
      </w:r>
      <w:r w:rsidR="004A56CE">
        <w:rPr>
          <w:rFonts w:hint="cs"/>
          <w:rtl/>
        </w:rPr>
        <w:t xml:space="preserve">ההיסק שביקש הסניגור ללמוד מן השיפור במצבה הנפשי של המערערת, לכך שמצבה היה בכי רע עוד קודם לתחילת ההיעדרות, ולכך שמצבה הוא שהביא לביצועה של ההיעדרות ולהתמשכותה עד עתה </w:t>
      </w:r>
      <w:r w:rsidR="004A56CE">
        <w:rPr>
          <w:rtl/>
        </w:rPr>
        <w:t>–</w:t>
      </w:r>
      <w:r w:rsidR="004A56CE">
        <w:rPr>
          <w:rFonts w:hint="cs"/>
          <w:rtl/>
        </w:rPr>
        <w:t xml:space="preserve"> אינו עומד בנטל ההוכחה המוטל על ההגנה, כמובא לעיל. </w:t>
      </w:r>
      <w:r w:rsidR="00305826">
        <w:rPr>
          <w:rFonts w:hint="cs"/>
          <w:rtl/>
        </w:rPr>
        <w:t>אשר על כן, ובשים לב למדיניות הענישה הנוהגת (</w:t>
      </w:r>
      <w:r w:rsidR="00305826" w:rsidRPr="00305826">
        <w:rPr>
          <w:rFonts w:ascii="Times New Roman" w:eastAsia="Times New Roman" w:hAnsi="Times New Roman"/>
          <w:rtl/>
        </w:rPr>
        <w:t xml:space="preserve">ראו </w:t>
      </w:r>
      <w:r w:rsidR="00305826">
        <w:rPr>
          <w:rFonts w:hint="cs"/>
          <w:rtl/>
        </w:rPr>
        <w:t>והשוו</w:t>
      </w:r>
      <w:r w:rsidR="00305826" w:rsidRPr="00305826">
        <w:rPr>
          <w:rFonts w:ascii="Times New Roman" w:eastAsia="Times New Roman" w:hAnsi="Times New Roman"/>
          <w:rtl/>
        </w:rPr>
        <w:t xml:space="preserve">: </w:t>
      </w:r>
      <w:r w:rsidR="00305826">
        <w:rPr>
          <w:rFonts w:hint="cs"/>
          <w:rtl/>
        </w:rPr>
        <w:t xml:space="preserve">עניין </w:t>
      </w:r>
      <w:r w:rsidR="00305826" w:rsidRPr="00305826">
        <w:rPr>
          <w:rFonts w:hint="cs"/>
          <w:b/>
          <w:bCs/>
          <w:rtl/>
        </w:rPr>
        <w:t>ספריקין</w:t>
      </w:r>
      <w:r w:rsidR="00305826">
        <w:rPr>
          <w:rFonts w:hint="cs"/>
          <w:rtl/>
        </w:rPr>
        <w:t xml:space="preserve"> לעיל, והפסיקה המנויה בפסקה 31 שם, </w:t>
      </w:r>
      <w:r w:rsidR="00305826" w:rsidRPr="00305826">
        <w:rPr>
          <w:rFonts w:ascii="Times New Roman" w:eastAsia="Times New Roman" w:hAnsi="Times New Roman"/>
          <w:rtl/>
        </w:rPr>
        <w:t>ע/6/18</w:t>
      </w:r>
      <w:r w:rsidR="00305826" w:rsidRPr="00305826">
        <w:rPr>
          <w:rFonts w:ascii="Times New Roman" w:eastAsia="Times New Roman" w:hAnsi="Times New Roman"/>
          <w:b/>
          <w:bCs/>
          <w:rtl/>
        </w:rPr>
        <w:t xml:space="preserve"> טוראי שומל נ' הת</w:t>
      </w:r>
      <w:r w:rsidR="00305826">
        <w:rPr>
          <w:rFonts w:hint="cs"/>
          <w:b/>
          <w:bCs/>
          <w:rtl/>
        </w:rPr>
        <w:t>ובע הצבאי הראשי</w:t>
      </w:r>
      <w:r w:rsidR="00305826" w:rsidRPr="00305826">
        <w:rPr>
          <w:rFonts w:hint="cs"/>
          <w:rtl/>
        </w:rPr>
        <w:t xml:space="preserve"> (2018)</w:t>
      </w:r>
      <w:r w:rsidR="00305826" w:rsidRPr="00305826">
        <w:rPr>
          <w:rFonts w:ascii="Times New Roman" w:eastAsia="Times New Roman" w:hAnsi="Times New Roman" w:hint="cs"/>
          <w:rtl/>
        </w:rPr>
        <w:t>;</w:t>
      </w:r>
      <w:r w:rsidR="00305826" w:rsidRPr="00305826">
        <w:rPr>
          <w:rFonts w:ascii="Times New Roman" w:eastAsia="Times New Roman" w:hAnsi="Times New Roman"/>
          <w:rtl/>
        </w:rPr>
        <w:t xml:space="preserve"> ע/32/16 </w:t>
      </w:r>
      <w:r w:rsidR="00305826" w:rsidRPr="00305826">
        <w:rPr>
          <w:rFonts w:ascii="Times New Roman" w:eastAsia="Times New Roman" w:hAnsi="Times New Roman"/>
          <w:b/>
          <w:bCs/>
          <w:rtl/>
        </w:rPr>
        <w:t>התובע הצבאי הראשי נ' טור' אברוטוב</w:t>
      </w:r>
      <w:r w:rsidR="00305826" w:rsidRPr="00305826">
        <w:rPr>
          <w:rFonts w:ascii="Times New Roman" w:eastAsia="Times New Roman" w:hAnsi="Times New Roman"/>
          <w:rtl/>
        </w:rPr>
        <w:t xml:space="preserve"> (2016)</w:t>
      </w:r>
      <w:r w:rsidR="00305826" w:rsidRPr="00305826">
        <w:rPr>
          <w:rFonts w:ascii="Times New Roman" w:eastAsia="Times New Roman" w:hAnsi="Times New Roman" w:hint="cs"/>
          <w:rtl/>
        </w:rPr>
        <w:t>;</w:t>
      </w:r>
      <w:r w:rsidR="00305826" w:rsidRPr="00305826">
        <w:rPr>
          <w:rFonts w:ascii="Times New Roman" w:eastAsia="Times New Roman" w:hAnsi="Times New Roman"/>
          <w:rtl/>
        </w:rPr>
        <w:t xml:space="preserve"> ע/11/13 </w:t>
      </w:r>
      <w:r w:rsidR="00305826" w:rsidRPr="00305826">
        <w:rPr>
          <w:rFonts w:ascii="Times New Roman" w:eastAsia="Times New Roman" w:hAnsi="Times New Roman"/>
          <w:b/>
          <w:bCs/>
          <w:rtl/>
        </w:rPr>
        <w:t>טוראי גילבה נ' הת</w:t>
      </w:r>
      <w:r w:rsidR="00305826">
        <w:rPr>
          <w:rFonts w:hint="cs"/>
          <w:b/>
          <w:bCs/>
          <w:rtl/>
        </w:rPr>
        <w:t xml:space="preserve">ובע הצבאי הראשי </w:t>
      </w:r>
      <w:r w:rsidR="00305826" w:rsidRPr="00305826">
        <w:rPr>
          <w:rFonts w:ascii="Times New Roman" w:eastAsia="Times New Roman" w:hAnsi="Times New Roman" w:hint="cs"/>
          <w:rtl/>
        </w:rPr>
        <w:t>(2013)</w:t>
      </w:r>
      <w:r w:rsidR="00305826" w:rsidRPr="00305826">
        <w:rPr>
          <w:rFonts w:ascii="Times New Roman" w:eastAsia="Times New Roman" w:hAnsi="Times New Roman"/>
          <w:rtl/>
        </w:rPr>
        <w:t>)</w:t>
      </w:r>
      <w:r w:rsidR="00305826">
        <w:rPr>
          <w:rFonts w:hint="cs"/>
          <w:rtl/>
        </w:rPr>
        <w:t xml:space="preserve"> </w:t>
      </w:r>
      <w:r w:rsidR="00305826">
        <w:rPr>
          <w:rtl/>
        </w:rPr>
        <w:t>–</w:t>
      </w:r>
      <w:r w:rsidR="00305826">
        <w:rPr>
          <w:rFonts w:hint="cs"/>
          <w:rtl/>
        </w:rPr>
        <w:t xml:space="preserve"> אין מקום לקבוע כי נפלה טעות בקביעת מתחם העונש ההולם</w:t>
      </w:r>
      <w:r w:rsidR="00305826" w:rsidRPr="00305826">
        <w:rPr>
          <w:rFonts w:ascii="Times New Roman" w:eastAsia="Times New Roman" w:hAnsi="Times New Roman"/>
          <w:rtl/>
        </w:rPr>
        <w:t xml:space="preserve">. </w:t>
      </w:r>
    </w:p>
    <w:p w14:paraId="759156A4" w14:textId="77777777" w:rsidR="00305826" w:rsidRPr="00305826" w:rsidRDefault="00305826" w:rsidP="00B46B7A">
      <w:pPr>
        <w:numPr>
          <w:ilvl w:val="0"/>
          <w:numId w:val="1"/>
        </w:numPr>
        <w:tabs>
          <w:tab w:val="left" w:pos="282"/>
        </w:tabs>
        <w:spacing w:after="0" w:line="360" w:lineRule="auto"/>
        <w:ind w:left="-1" w:firstLine="0"/>
        <w:jc w:val="both"/>
        <w:rPr>
          <w:rFonts w:ascii="Times New Roman" w:eastAsia="Times New Roman" w:hAnsi="Times New Roman"/>
        </w:rPr>
      </w:pPr>
      <w:r>
        <w:rPr>
          <w:rFonts w:hint="cs"/>
          <w:rtl/>
        </w:rPr>
        <w:t xml:space="preserve">לקשייה הנפשיים של המערערת (אשר כאמור, בעת הנוכחית מכבידים עליה פחות), שהובילו לפיטוריה מן השירות </w:t>
      </w:r>
      <w:r w:rsidRPr="00305826">
        <w:rPr>
          <w:rFonts w:hint="cs"/>
          <w:rtl/>
        </w:rPr>
        <w:t>הצבאי</w:t>
      </w:r>
      <w:r>
        <w:rPr>
          <w:rFonts w:hint="cs"/>
          <w:rtl/>
        </w:rPr>
        <w:t xml:space="preserve">, ניתן משקל ממשי לקולה, ועונשה נגזר </w:t>
      </w:r>
      <w:r w:rsidR="004A56CE">
        <w:rPr>
          <w:rFonts w:hint="cs"/>
          <w:rtl/>
        </w:rPr>
        <w:t>בקרבת ה</w:t>
      </w:r>
      <w:r>
        <w:rPr>
          <w:rFonts w:hint="cs"/>
          <w:rtl/>
        </w:rPr>
        <w:t xml:space="preserve">רף התחתון של מתחם העונש ההולם. מכל מקום, </w:t>
      </w:r>
      <w:r w:rsidR="00B159E5">
        <w:rPr>
          <w:rFonts w:hint="cs"/>
          <w:rtl/>
        </w:rPr>
        <w:t>בנסיבות העניין, ודאי ש</w:t>
      </w:r>
      <w:r>
        <w:rPr>
          <w:rFonts w:hint="cs"/>
          <w:rtl/>
        </w:rPr>
        <w:t xml:space="preserve">אין לקבוע כי נפלה טעות בגזר הדין, המחייבת את ערכאת הערעור להתערב בו </w:t>
      </w:r>
      <w:r w:rsidRPr="00305826">
        <w:rPr>
          <w:rFonts w:ascii="Times New Roman" w:eastAsia="Times New Roman" w:hAnsi="Times New Roman" w:hint="cs"/>
          <w:rtl/>
        </w:rPr>
        <w:t xml:space="preserve">(ראו והשוו: ע/3/17 </w:t>
      </w:r>
      <w:r w:rsidRPr="00305826">
        <w:rPr>
          <w:rFonts w:ascii="Times New Roman" w:eastAsia="Times New Roman" w:hAnsi="Times New Roman" w:hint="cs"/>
          <w:b/>
          <w:bCs/>
          <w:rtl/>
        </w:rPr>
        <w:t>התובע הצבאי הראשי נ' טור' קובלצ'וק</w:t>
      </w:r>
      <w:r w:rsidRPr="00305826">
        <w:rPr>
          <w:rFonts w:ascii="Times New Roman" w:eastAsia="Times New Roman" w:hAnsi="Times New Roman" w:hint="cs"/>
          <w:rtl/>
        </w:rPr>
        <w:t xml:space="preserve"> (2017)).</w:t>
      </w:r>
    </w:p>
    <w:p w14:paraId="63B5D693" w14:textId="77777777" w:rsidR="00305826" w:rsidRPr="00305826" w:rsidRDefault="00305826" w:rsidP="00B46B7A">
      <w:pPr>
        <w:numPr>
          <w:ilvl w:val="0"/>
          <w:numId w:val="1"/>
        </w:numPr>
        <w:tabs>
          <w:tab w:val="left" w:pos="282"/>
        </w:tabs>
        <w:spacing w:after="0" w:line="360" w:lineRule="auto"/>
        <w:ind w:left="-1" w:firstLine="0"/>
        <w:jc w:val="both"/>
        <w:rPr>
          <w:rtl/>
        </w:rPr>
      </w:pPr>
      <w:r w:rsidRPr="00305826">
        <w:rPr>
          <w:rFonts w:hint="cs"/>
          <w:rtl/>
        </w:rPr>
        <w:t>עולה אפוא, כי יש לדחות את ערעור ההגנה.</w:t>
      </w:r>
    </w:p>
    <w:p w14:paraId="51F5AF20" w14:textId="77777777" w:rsidR="00730604" w:rsidRDefault="00730604" w:rsidP="00730604">
      <w:pPr>
        <w:tabs>
          <w:tab w:val="center" w:pos="1599"/>
          <w:tab w:val="center" w:pos="4150"/>
          <w:tab w:val="center" w:pos="6702"/>
        </w:tabs>
        <w:spacing w:line="240" w:lineRule="auto"/>
        <w:contextualSpacing/>
        <w:rPr>
          <w:b/>
          <w:bCs/>
          <w:rtl/>
        </w:rPr>
      </w:pPr>
    </w:p>
    <w:p w14:paraId="594C43C7" w14:textId="77777777" w:rsidR="00305826" w:rsidRPr="00305826" w:rsidRDefault="00305826" w:rsidP="00305826">
      <w:pPr>
        <w:tabs>
          <w:tab w:val="center" w:pos="1599"/>
          <w:tab w:val="center" w:pos="4150"/>
          <w:tab w:val="center" w:pos="6702"/>
        </w:tabs>
        <w:spacing w:line="240" w:lineRule="auto"/>
        <w:contextualSpacing/>
        <w:rPr>
          <w:rtl/>
        </w:rPr>
      </w:pPr>
      <w:r w:rsidRPr="00305826">
        <w:rPr>
          <w:rFonts w:hint="cs"/>
          <w:rtl/>
        </w:rPr>
        <w:t>ניתן והודע היום, כ"ו ב</w:t>
      </w:r>
      <w:r w:rsidR="002A1AFF">
        <w:rPr>
          <w:rFonts w:hint="cs"/>
          <w:rtl/>
        </w:rPr>
        <w:t>כסלו</w:t>
      </w:r>
      <w:r w:rsidRPr="00305826">
        <w:rPr>
          <w:rFonts w:hint="cs"/>
          <w:rtl/>
        </w:rPr>
        <w:t xml:space="preserve"> התש</w:t>
      </w:r>
      <w:r w:rsidR="002A1AFF">
        <w:rPr>
          <w:rFonts w:hint="cs"/>
          <w:rtl/>
        </w:rPr>
        <w:t>פ</w:t>
      </w:r>
      <w:r w:rsidRPr="00305826">
        <w:rPr>
          <w:rFonts w:hint="cs"/>
          <w:rtl/>
        </w:rPr>
        <w:t>"</w:t>
      </w:r>
      <w:r w:rsidR="002A1AFF">
        <w:rPr>
          <w:rFonts w:hint="cs"/>
          <w:rtl/>
        </w:rPr>
        <w:t>ב</w:t>
      </w:r>
      <w:r w:rsidRPr="00305826">
        <w:rPr>
          <w:rFonts w:hint="cs"/>
          <w:rtl/>
        </w:rPr>
        <w:t xml:space="preserve">, </w:t>
      </w:r>
      <w:r>
        <w:rPr>
          <w:rFonts w:hint="cs"/>
          <w:rtl/>
        </w:rPr>
        <w:t>30</w:t>
      </w:r>
      <w:r w:rsidRPr="00305826">
        <w:rPr>
          <w:rFonts w:hint="cs"/>
          <w:rtl/>
        </w:rPr>
        <w:t xml:space="preserve"> ב</w:t>
      </w:r>
      <w:r>
        <w:rPr>
          <w:rFonts w:hint="cs"/>
          <w:rtl/>
        </w:rPr>
        <w:t>נובמבר</w:t>
      </w:r>
      <w:r w:rsidRPr="00305826">
        <w:rPr>
          <w:rFonts w:hint="cs"/>
          <w:rtl/>
        </w:rPr>
        <w:t xml:space="preserve"> 20</w:t>
      </w:r>
      <w:r>
        <w:rPr>
          <w:rFonts w:hint="cs"/>
          <w:rtl/>
        </w:rPr>
        <w:t xml:space="preserve">21, </w:t>
      </w:r>
      <w:r w:rsidRPr="00305826">
        <w:rPr>
          <w:rFonts w:hint="cs"/>
          <w:rtl/>
        </w:rPr>
        <w:t xml:space="preserve">בפומבי ובמעמד הצדדים. </w:t>
      </w:r>
    </w:p>
    <w:p w14:paraId="5DD10B5F" w14:textId="77777777" w:rsidR="00305826" w:rsidRPr="00305826" w:rsidRDefault="00305826" w:rsidP="00305826">
      <w:pPr>
        <w:tabs>
          <w:tab w:val="center" w:pos="1599"/>
          <w:tab w:val="center" w:pos="4150"/>
          <w:tab w:val="center" w:pos="6702"/>
        </w:tabs>
        <w:spacing w:line="240" w:lineRule="auto"/>
        <w:contextualSpacing/>
        <w:rPr>
          <w:b/>
          <w:bCs/>
          <w:rtl/>
        </w:rPr>
      </w:pPr>
    </w:p>
    <w:p w14:paraId="37AE32CC" w14:textId="77777777" w:rsidR="00305826" w:rsidRPr="00305826" w:rsidRDefault="00305826" w:rsidP="00305826">
      <w:pPr>
        <w:tabs>
          <w:tab w:val="center" w:pos="1599"/>
          <w:tab w:val="center" w:pos="4150"/>
          <w:tab w:val="center" w:pos="6702"/>
        </w:tabs>
        <w:spacing w:line="240" w:lineRule="auto"/>
        <w:contextualSpacing/>
        <w:rPr>
          <w:b/>
          <w:bCs/>
          <w:rtl/>
        </w:rPr>
      </w:pPr>
    </w:p>
    <w:p w14:paraId="30DF9C8B" w14:textId="77777777" w:rsidR="00305826" w:rsidRPr="00305826" w:rsidRDefault="00305826" w:rsidP="00305826">
      <w:pPr>
        <w:tabs>
          <w:tab w:val="center" w:pos="1599"/>
          <w:tab w:val="center" w:pos="4150"/>
          <w:tab w:val="center" w:pos="6702"/>
        </w:tabs>
        <w:spacing w:line="240" w:lineRule="auto"/>
        <w:contextualSpacing/>
        <w:rPr>
          <w:b/>
          <w:bCs/>
          <w:rtl/>
        </w:rPr>
      </w:pPr>
      <w:r w:rsidRPr="00305826">
        <w:rPr>
          <w:rFonts w:hint="cs"/>
          <w:b/>
          <w:bCs/>
          <w:rtl/>
        </w:rPr>
        <w:tab/>
      </w:r>
      <w:r w:rsidRPr="00305826">
        <w:rPr>
          <w:b/>
          <w:bCs/>
          <w:rtl/>
        </w:rPr>
        <w:t>______________</w:t>
      </w:r>
      <w:r w:rsidRPr="00305826">
        <w:rPr>
          <w:rFonts w:hint="cs"/>
          <w:b/>
          <w:bCs/>
          <w:rtl/>
        </w:rPr>
        <w:tab/>
      </w:r>
      <w:r w:rsidRPr="00305826">
        <w:rPr>
          <w:b/>
          <w:bCs/>
          <w:rtl/>
        </w:rPr>
        <w:t>______________</w:t>
      </w:r>
      <w:r w:rsidRPr="00305826">
        <w:rPr>
          <w:rFonts w:hint="cs"/>
          <w:b/>
          <w:bCs/>
          <w:rtl/>
        </w:rPr>
        <w:tab/>
      </w:r>
      <w:r w:rsidRPr="00305826">
        <w:rPr>
          <w:b/>
          <w:bCs/>
          <w:rtl/>
        </w:rPr>
        <w:t>______________</w:t>
      </w:r>
    </w:p>
    <w:p w14:paraId="0D855192" w14:textId="79F64040" w:rsidR="00305826" w:rsidRPr="00305826" w:rsidRDefault="00305826" w:rsidP="00305826">
      <w:pPr>
        <w:tabs>
          <w:tab w:val="center" w:pos="1599"/>
          <w:tab w:val="center" w:pos="4150"/>
          <w:tab w:val="center" w:pos="6702"/>
        </w:tabs>
        <w:spacing w:line="240" w:lineRule="auto"/>
        <w:contextualSpacing/>
        <w:rPr>
          <w:b/>
          <w:bCs/>
        </w:rPr>
      </w:pPr>
      <w:r w:rsidRPr="00305826">
        <w:rPr>
          <w:rFonts w:hint="cs"/>
          <w:b/>
          <w:bCs/>
          <w:rtl/>
        </w:rPr>
        <w:tab/>
      </w:r>
      <w:r w:rsidR="00BF1226">
        <w:rPr>
          <w:rFonts w:hint="cs"/>
          <w:b/>
          <w:bCs/>
          <w:rtl/>
        </w:rPr>
        <w:t>המשנה ל</w:t>
      </w:r>
      <w:r w:rsidRPr="00305826">
        <w:rPr>
          <w:rFonts w:hint="cs"/>
          <w:b/>
          <w:bCs/>
          <w:rtl/>
        </w:rPr>
        <w:t xml:space="preserve">נשיא                     </w:t>
      </w:r>
      <w:r w:rsidR="00BF1226">
        <w:rPr>
          <w:rFonts w:hint="cs"/>
          <w:b/>
          <w:bCs/>
          <w:rtl/>
        </w:rPr>
        <w:t xml:space="preserve">  </w:t>
      </w:r>
      <w:r w:rsidRPr="00305826">
        <w:rPr>
          <w:rFonts w:hint="cs"/>
          <w:b/>
          <w:bCs/>
          <w:rtl/>
        </w:rPr>
        <w:tab/>
      </w:r>
      <w:r w:rsidR="00BF1226">
        <w:rPr>
          <w:rFonts w:hint="cs"/>
          <w:b/>
          <w:bCs/>
          <w:rtl/>
        </w:rPr>
        <w:t xml:space="preserve">שופטת </w:t>
      </w:r>
      <w:r w:rsidRPr="00305826">
        <w:rPr>
          <w:rFonts w:hint="cs"/>
          <w:b/>
          <w:bCs/>
          <w:rtl/>
        </w:rPr>
        <w:t xml:space="preserve">                        </w:t>
      </w:r>
      <w:r w:rsidR="00BF1226">
        <w:rPr>
          <w:rFonts w:hint="cs"/>
          <w:b/>
          <w:bCs/>
          <w:rtl/>
        </w:rPr>
        <w:t xml:space="preserve">      </w:t>
      </w:r>
      <w:r w:rsidRPr="00305826">
        <w:rPr>
          <w:rFonts w:hint="cs"/>
          <w:b/>
          <w:bCs/>
          <w:rtl/>
        </w:rPr>
        <w:t>שופט</w:t>
      </w:r>
    </w:p>
    <w:p w14:paraId="4E97160B" w14:textId="4E10BF5B" w:rsidR="00305826" w:rsidRDefault="00305826" w:rsidP="00305826">
      <w:pPr>
        <w:tabs>
          <w:tab w:val="center" w:pos="1599"/>
          <w:tab w:val="center" w:pos="4150"/>
          <w:tab w:val="center" w:pos="6702"/>
        </w:tabs>
        <w:spacing w:line="240" w:lineRule="auto"/>
        <w:contextualSpacing/>
        <w:rPr>
          <w:b/>
          <w:bCs/>
          <w:rtl/>
        </w:rPr>
      </w:pPr>
    </w:p>
    <w:p w14:paraId="7389D2C8" w14:textId="096842DD" w:rsidR="00331E26" w:rsidRDefault="00331E26" w:rsidP="00305826">
      <w:pPr>
        <w:tabs>
          <w:tab w:val="center" w:pos="1599"/>
          <w:tab w:val="center" w:pos="4150"/>
          <w:tab w:val="center" w:pos="6702"/>
        </w:tabs>
        <w:spacing w:line="240" w:lineRule="auto"/>
        <w:contextualSpacing/>
        <w:rPr>
          <w:b/>
          <w:bCs/>
          <w:rtl/>
        </w:rPr>
      </w:pPr>
    </w:p>
    <w:p w14:paraId="7FD9C3AA" w14:textId="6034577A" w:rsidR="00331E26" w:rsidRDefault="00331E26" w:rsidP="00305826">
      <w:pPr>
        <w:tabs>
          <w:tab w:val="center" w:pos="1599"/>
          <w:tab w:val="center" w:pos="4150"/>
          <w:tab w:val="center" w:pos="6702"/>
        </w:tabs>
        <w:spacing w:line="240" w:lineRule="auto"/>
        <w:contextualSpacing/>
        <w:rPr>
          <w:b/>
          <w:bCs/>
          <w:rtl/>
        </w:rPr>
      </w:pPr>
    </w:p>
    <w:p w14:paraId="530CD3F0" w14:textId="2E2B7841" w:rsidR="00331E26" w:rsidRDefault="00331E26" w:rsidP="00305826">
      <w:pPr>
        <w:tabs>
          <w:tab w:val="center" w:pos="1599"/>
          <w:tab w:val="center" w:pos="4150"/>
          <w:tab w:val="center" w:pos="6702"/>
        </w:tabs>
        <w:spacing w:line="240" w:lineRule="auto"/>
        <w:contextualSpacing/>
        <w:rPr>
          <w:b/>
          <w:bCs/>
          <w:rtl/>
        </w:rPr>
      </w:pPr>
    </w:p>
    <w:p w14:paraId="289F330B" w14:textId="1D84389E" w:rsidR="00331E26" w:rsidRPr="004F4C3E" w:rsidRDefault="00331E26" w:rsidP="00331E26">
      <w:pPr>
        <w:spacing w:after="0" w:line="360" w:lineRule="auto"/>
        <w:jc w:val="both"/>
        <w:outlineLvl w:val="0"/>
        <w:rPr>
          <w:rFonts w:ascii="Times New Roman" w:eastAsia="Times New Roman" w:hAnsi="Times New Roman"/>
          <w:b/>
          <w:bCs/>
          <w:rtl/>
        </w:rPr>
      </w:pPr>
      <w:bookmarkStart w:id="0" w:name="_Hlk100495448"/>
      <w:r w:rsidRPr="004F4C3E">
        <w:rPr>
          <w:rFonts w:ascii="Times New Roman" w:eastAsia="Times New Roman" w:hAnsi="Times New Roman" w:hint="eastAsia"/>
          <w:b/>
          <w:bCs/>
          <w:rtl/>
        </w:rPr>
        <w:t>חתימת</w:t>
      </w:r>
      <w:r w:rsidRPr="004F4C3E">
        <w:rPr>
          <w:rFonts w:ascii="Times New Roman" w:eastAsia="Times New Roman" w:hAnsi="Times New Roman"/>
          <w:b/>
          <w:bCs/>
          <w:rtl/>
        </w:rPr>
        <w:t xml:space="preserve"> </w:t>
      </w:r>
      <w:r w:rsidRPr="004F4C3E">
        <w:rPr>
          <w:rFonts w:ascii="Times New Roman" w:eastAsia="Times New Roman" w:hAnsi="Times New Roman" w:hint="eastAsia"/>
          <w:b/>
          <w:bCs/>
          <w:rtl/>
        </w:rPr>
        <w:t>המגיה</w:t>
      </w:r>
      <w:r w:rsidRPr="004F4C3E">
        <w:rPr>
          <w:rFonts w:ascii="Times New Roman" w:eastAsia="Times New Roman" w:hAnsi="Times New Roman"/>
          <w:b/>
          <w:bCs/>
          <w:rtl/>
        </w:rPr>
        <w:t>: _________________</w:t>
      </w:r>
      <w:r w:rsidRPr="004F4C3E">
        <w:rPr>
          <w:rFonts w:ascii="Times New Roman" w:eastAsia="Times New Roman" w:hAnsi="Times New Roman" w:hint="cs"/>
          <w:b/>
          <w:bCs/>
          <w:rtl/>
        </w:rPr>
        <w:tab/>
        <w:t xml:space="preserve">           </w:t>
      </w:r>
      <w:r w:rsidRPr="004F4C3E">
        <w:rPr>
          <w:rFonts w:ascii="Times New Roman" w:eastAsia="Times New Roman" w:hAnsi="Times New Roman" w:hint="eastAsia"/>
          <w:b/>
          <w:bCs/>
          <w:rtl/>
        </w:rPr>
        <w:t>העתק</w:t>
      </w:r>
      <w:r w:rsidRPr="004F4C3E">
        <w:rPr>
          <w:rFonts w:ascii="Times New Roman" w:eastAsia="Times New Roman" w:hAnsi="Times New Roman" w:hint="cs"/>
          <w:b/>
          <w:bCs/>
          <w:rtl/>
        </w:rPr>
        <w:t xml:space="preserve">           </w:t>
      </w:r>
      <w:r w:rsidRPr="004F4C3E">
        <w:rPr>
          <w:rFonts w:ascii="Times New Roman" w:eastAsia="Times New Roman" w:hAnsi="Times New Roman" w:hint="eastAsia"/>
          <w:b/>
          <w:bCs/>
          <w:rtl/>
        </w:rPr>
        <w:t>נאמן</w:t>
      </w:r>
      <w:r w:rsidRPr="004F4C3E">
        <w:rPr>
          <w:rFonts w:ascii="Times New Roman" w:eastAsia="Times New Roman" w:hAnsi="Times New Roman"/>
          <w:b/>
          <w:bCs/>
          <w:rtl/>
        </w:rPr>
        <w:t xml:space="preserve"> </w:t>
      </w:r>
      <w:r w:rsidRPr="004F4C3E">
        <w:rPr>
          <w:rFonts w:ascii="Times New Roman" w:eastAsia="Times New Roman" w:hAnsi="Times New Roman" w:hint="cs"/>
          <w:b/>
          <w:bCs/>
          <w:rtl/>
        </w:rPr>
        <w:t xml:space="preserve">         </w:t>
      </w:r>
      <w:r>
        <w:rPr>
          <w:rFonts w:ascii="Times New Roman" w:eastAsia="Times New Roman" w:hAnsi="Times New Roman" w:hint="cs"/>
          <w:b/>
          <w:bCs/>
          <w:rtl/>
        </w:rPr>
        <w:t xml:space="preserve">  </w:t>
      </w:r>
      <w:r w:rsidRPr="004F4C3E">
        <w:rPr>
          <w:rFonts w:ascii="Times New Roman" w:eastAsia="Times New Roman" w:hAnsi="Times New Roman" w:hint="cs"/>
          <w:b/>
          <w:bCs/>
          <w:rtl/>
        </w:rPr>
        <w:t xml:space="preserve"> </w:t>
      </w:r>
      <w:r>
        <w:rPr>
          <w:rFonts w:ascii="Times New Roman" w:eastAsia="Times New Roman" w:hAnsi="Times New Roman" w:hint="cs"/>
          <w:b/>
          <w:bCs/>
          <w:rtl/>
        </w:rPr>
        <w:t xml:space="preserve"> </w:t>
      </w:r>
      <w:r w:rsidRPr="004F4C3E">
        <w:rPr>
          <w:rFonts w:ascii="Times New Roman" w:eastAsia="Times New Roman" w:hAnsi="Times New Roman" w:hint="eastAsia"/>
          <w:b/>
          <w:bCs/>
          <w:rtl/>
        </w:rPr>
        <w:t>למקור</w:t>
      </w:r>
      <w:r w:rsidRPr="004F4C3E">
        <w:rPr>
          <w:rFonts w:ascii="Times New Roman" w:eastAsia="Times New Roman" w:hAnsi="Times New Roman" w:hint="cs"/>
          <w:b/>
          <w:bCs/>
          <w:rtl/>
        </w:rPr>
        <w:br/>
      </w:r>
      <w:r w:rsidRPr="004F4C3E">
        <w:rPr>
          <w:rFonts w:ascii="Times New Roman" w:eastAsia="Times New Roman" w:hAnsi="Times New Roman" w:hint="cs"/>
          <w:b/>
          <w:bCs/>
          <w:rtl/>
        </w:rPr>
        <w:tab/>
        <w:t xml:space="preserve">                                                                     </w:t>
      </w:r>
      <w:r w:rsidR="00F02E7E">
        <w:rPr>
          <w:rFonts w:ascii="Times New Roman" w:eastAsia="Times New Roman" w:hAnsi="Times New Roman" w:hint="cs"/>
          <w:b/>
          <w:bCs/>
          <w:rtl/>
        </w:rPr>
        <w:t>רס"ל</w:t>
      </w:r>
      <w:r w:rsidRPr="004F4C3E">
        <w:rPr>
          <w:rFonts w:ascii="Times New Roman" w:eastAsia="Times New Roman" w:hAnsi="Times New Roman" w:hint="cs"/>
          <w:b/>
          <w:bCs/>
          <w:rtl/>
        </w:rPr>
        <w:t xml:space="preserve">       עדי    </w:t>
      </w:r>
      <w:r>
        <w:rPr>
          <w:rFonts w:ascii="Times New Roman" w:eastAsia="Times New Roman" w:hAnsi="Times New Roman" w:hint="cs"/>
          <w:b/>
          <w:bCs/>
          <w:rtl/>
        </w:rPr>
        <w:t xml:space="preserve"> </w:t>
      </w:r>
      <w:r w:rsidRPr="004F4C3E">
        <w:rPr>
          <w:rFonts w:ascii="Times New Roman" w:eastAsia="Times New Roman" w:hAnsi="Times New Roman" w:hint="cs"/>
          <w:b/>
          <w:bCs/>
          <w:rtl/>
        </w:rPr>
        <w:t xml:space="preserve">  </w:t>
      </w:r>
      <w:r>
        <w:rPr>
          <w:rFonts w:ascii="Times New Roman" w:eastAsia="Times New Roman" w:hAnsi="Times New Roman" w:hint="cs"/>
          <w:b/>
          <w:bCs/>
          <w:rtl/>
        </w:rPr>
        <w:t xml:space="preserve">  </w:t>
      </w:r>
      <w:r w:rsidRPr="004F4C3E">
        <w:rPr>
          <w:rFonts w:ascii="Times New Roman" w:eastAsia="Times New Roman" w:hAnsi="Times New Roman" w:hint="cs"/>
          <w:b/>
          <w:bCs/>
          <w:rtl/>
        </w:rPr>
        <w:t>לביא</w:t>
      </w:r>
      <w:r w:rsidRPr="004F4C3E">
        <w:rPr>
          <w:rFonts w:ascii="Times New Roman" w:eastAsia="Times New Roman" w:hAnsi="Times New Roman" w:hint="cs"/>
          <w:b/>
          <w:bCs/>
          <w:rtl/>
        </w:rPr>
        <w:br/>
      </w:r>
      <w:r w:rsidRPr="004F4C3E">
        <w:rPr>
          <w:rFonts w:ascii="Times New Roman" w:eastAsia="Times New Roman" w:hAnsi="Times New Roman" w:hint="eastAsia"/>
          <w:b/>
          <w:bCs/>
          <w:rtl/>
        </w:rPr>
        <w:t>תאריך</w:t>
      </w:r>
      <w:r w:rsidRPr="004F4C3E">
        <w:rPr>
          <w:rFonts w:ascii="Times New Roman" w:eastAsia="Times New Roman" w:hAnsi="Times New Roman"/>
          <w:b/>
          <w:bCs/>
          <w:rtl/>
        </w:rPr>
        <w:t>: ______________________</w:t>
      </w:r>
      <w:r w:rsidRPr="004F4C3E">
        <w:rPr>
          <w:rFonts w:ascii="Times New Roman" w:eastAsia="Times New Roman" w:hAnsi="Times New Roman" w:hint="cs"/>
          <w:b/>
          <w:bCs/>
          <w:rtl/>
        </w:rPr>
        <w:tab/>
        <w:t xml:space="preserve">           קצינת          </w:t>
      </w:r>
      <w:r>
        <w:rPr>
          <w:rFonts w:ascii="Times New Roman" w:eastAsia="Times New Roman" w:hAnsi="Times New Roman" w:hint="cs"/>
          <w:b/>
          <w:bCs/>
          <w:rtl/>
        </w:rPr>
        <w:t xml:space="preserve">   </w:t>
      </w:r>
      <w:r w:rsidRPr="004F4C3E">
        <w:rPr>
          <w:rFonts w:ascii="Times New Roman" w:eastAsia="Times New Roman" w:hAnsi="Times New Roman" w:hint="cs"/>
          <w:b/>
          <w:bCs/>
          <w:rtl/>
        </w:rPr>
        <w:t xml:space="preserve">  בית                   </w:t>
      </w:r>
      <w:r>
        <w:rPr>
          <w:rFonts w:ascii="Times New Roman" w:eastAsia="Times New Roman" w:hAnsi="Times New Roman" w:hint="cs"/>
          <w:b/>
          <w:bCs/>
          <w:rtl/>
        </w:rPr>
        <w:t xml:space="preserve">  </w:t>
      </w:r>
      <w:r w:rsidRPr="004F4C3E">
        <w:rPr>
          <w:rFonts w:ascii="Times New Roman" w:eastAsia="Times New Roman" w:hAnsi="Times New Roman" w:hint="cs"/>
          <w:b/>
          <w:bCs/>
          <w:rtl/>
        </w:rPr>
        <w:t xml:space="preserve"> הדין</w:t>
      </w:r>
    </w:p>
    <w:bookmarkEnd w:id="0"/>
    <w:p w14:paraId="54B115D3" w14:textId="77777777" w:rsidR="00331E26" w:rsidRPr="00305826" w:rsidRDefault="00331E26" w:rsidP="00305826">
      <w:pPr>
        <w:tabs>
          <w:tab w:val="center" w:pos="1599"/>
          <w:tab w:val="center" w:pos="4150"/>
          <w:tab w:val="center" w:pos="6702"/>
        </w:tabs>
        <w:spacing w:line="240" w:lineRule="auto"/>
        <w:contextualSpacing/>
        <w:rPr>
          <w:b/>
          <w:bCs/>
          <w:rtl/>
        </w:rPr>
      </w:pPr>
    </w:p>
    <w:sectPr w:rsidR="00331E26" w:rsidRPr="00305826" w:rsidSect="00C270AA">
      <w:headerReference w:type="default" r:id="rId9"/>
      <w:footerReference w:type="default" r:id="rId10"/>
      <w:pgSz w:w="12240" w:h="15840"/>
      <w:pgMar w:top="1440" w:right="1800" w:bottom="1440" w:left="1800"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ED2F1" w14:textId="77777777" w:rsidR="001E41DA" w:rsidRDefault="001E41DA" w:rsidP="00730604">
      <w:pPr>
        <w:spacing w:after="0" w:line="240" w:lineRule="auto"/>
      </w:pPr>
      <w:r>
        <w:separator/>
      </w:r>
    </w:p>
  </w:endnote>
  <w:endnote w:type="continuationSeparator" w:id="0">
    <w:p w14:paraId="2928E965" w14:textId="77777777" w:rsidR="001E41DA" w:rsidRDefault="001E41DA" w:rsidP="0073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F1B3" w14:textId="77777777" w:rsidR="000A16F3" w:rsidRPr="00D45E12" w:rsidRDefault="009277EC">
    <w:pPr>
      <w:pStyle w:val="a6"/>
      <w:jc w:val="center"/>
      <w:rPr>
        <w:rFonts w:ascii="David" w:hAnsi="David"/>
        <w:rtl/>
      </w:rPr>
    </w:pPr>
    <w:r w:rsidRPr="00D45E12">
      <w:rPr>
        <w:rFonts w:ascii="David" w:hAnsi="David"/>
      </w:rPr>
      <w:fldChar w:fldCharType="begin"/>
    </w:r>
    <w:r w:rsidRPr="00D45E12">
      <w:rPr>
        <w:rFonts w:ascii="David" w:hAnsi="David"/>
      </w:rPr>
      <w:instrText>PAGE</w:instrText>
    </w:r>
    <w:r w:rsidRPr="00D45E12">
      <w:rPr>
        <w:rFonts w:ascii="David" w:hAnsi="David"/>
      </w:rPr>
      <w:fldChar w:fldCharType="separate"/>
    </w:r>
    <w:r w:rsidRPr="00D45E12">
      <w:rPr>
        <w:rFonts w:ascii="David" w:hAnsi="David"/>
        <w:noProof/>
        <w:rtl/>
      </w:rPr>
      <w:t>10</w:t>
    </w:r>
    <w:r w:rsidRPr="00D45E12">
      <w:rPr>
        <w:rFonts w:ascii="David" w:hAnsi="David"/>
        <w:noProof/>
      </w:rPr>
      <w:fldChar w:fldCharType="end"/>
    </w:r>
  </w:p>
  <w:p w14:paraId="1D415D76" w14:textId="77777777" w:rsidR="000A16F3" w:rsidRDefault="001E41DA" w:rsidP="00B14576">
    <w:pPr>
      <w:pStyle w:val="a6"/>
      <w:tabs>
        <w:tab w:val="clear" w:pos="4153"/>
        <w:tab w:val="clear" w:pos="8306"/>
        <w:tab w:val="left" w:pos="774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B9AF1" w14:textId="77777777" w:rsidR="001E41DA" w:rsidRDefault="001E41DA" w:rsidP="00730604">
      <w:pPr>
        <w:spacing w:after="0" w:line="240" w:lineRule="auto"/>
      </w:pPr>
      <w:r>
        <w:separator/>
      </w:r>
    </w:p>
  </w:footnote>
  <w:footnote w:type="continuationSeparator" w:id="0">
    <w:p w14:paraId="4F509516" w14:textId="77777777" w:rsidR="001E41DA" w:rsidRDefault="001E41DA" w:rsidP="00730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4CB3" w14:textId="0591CC7C" w:rsidR="000A16F3" w:rsidRDefault="009277EC" w:rsidP="00331E26">
    <w:pPr>
      <w:pStyle w:val="a4"/>
      <w:tabs>
        <w:tab w:val="clear" w:pos="4153"/>
        <w:tab w:val="clear" w:pos="8306"/>
        <w:tab w:val="center" w:pos="4748"/>
        <w:tab w:val="right" w:pos="8080"/>
        <w:tab w:val="right" w:pos="8222"/>
      </w:tabs>
      <w:bidi w:val="0"/>
      <w:spacing w:after="0"/>
      <w:contextualSpacing/>
    </w:pPr>
    <w:r>
      <w:rPr>
        <w:rFonts w:hint="cs"/>
        <w:rtl/>
      </w:rPr>
      <w:t xml:space="preserve">                                     </w:t>
    </w:r>
    <w:r w:rsidR="00331E26">
      <w:rPr>
        <w:rFonts w:hint="cs"/>
        <w:rtl/>
      </w:rPr>
      <w:t xml:space="preserve"> </w:t>
    </w:r>
    <w:r>
      <w:rPr>
        <w:rFonts w:hint="cs"/>
        <w:rtl/>
      </w:rPr>
      <w:t xml:space="preserve">   </w:t>
    </w:r>
    <w:r w:rsidR="00F902FD">
      <w:rPr>
        <w:rFonts w:hint="cs"/>
        <w:rtl/>
      </w:rPr>
      <w:t xml:space="preserve">  </w:t>
    </w:r>
    <w:r>
      <w:rPr>
        <w:rFonts w:hint="cs"/>
        <w:rtl/>
      </w:rPr>
      <w:t xml:space="preserve"> </w:t>
    </w:r>
    <w:r w:rsidR="00331E26">
      <w:rPr>
        <w:rFonts w:hint="cs"/>
        <w:rtl/>
      </w:rPr>
      <w:t xml:space="preserve">  </w:t>
    </w:r>
    <w:r w:rsidR="00F902FD">
      <w:rPr>
        <w:rFonts w:hint="cs"/>
        <w:rtl/>
      </w:rPr>
      <w:t xml:space="preserve">ב </w:t>
    </w:r>
    <w:r w:rsidR="00331E26">
      <w:rPr>
        <w:rFonts w:hint="cs"/>
        <w:rtl/>
      </w:rPr>
      <w:t xml:space="preserve"> ל</w:t>
    </w:r>
    <w:r>
      <w:rPr>
        <w:rFonts w:hint="cs"/>
        <w:rtl/>
      </w:rPr>
      <w:t xml:space="preserve"> </w:t>
    </w:r>
    <w:r w:rsidR="00F902FD">
      <w:rPr>
        <w:rFonts w:hint="cs"/>
        <w:rtl/>
      </w:rPr>
      <w:t xml:space="preserve"> מ " ס</w:t>
    </w:r>
    <w:r>
      <w:rPr>
        <w:rFonts w:hint="cs"/>
        <w:rtl/>
      </w:rPr>
      <w:t xml:space="preserve">                                                  ע/</w:t>
    </w:r>
    <w:r w:rsidR="00730604">
      <w:rPr>
        <w:rFonts w:hint="cs"/>
        <w:rtl/>
      </w:rPr>
      <w:t>38</w:t>
    </w:r>
    <w:r>
      <w:rPr>
        <w:rFonts w:hint="cs"/>
        <w:rtl/>
      </w:rPr>
      <w:t>/2</w:t>
    </w:r>
    <w:r w:rsidR="00331E26">
      <w:rPr>
        <w:rFonts w:hint="cs"/>
        <w:rtl/>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710"/>
    <w:multiLevelType w:val="hybridMultilevel"/>
    <w:tmpl w:val="BE24011E"/>
    <w:lvl w:ilvl="0" w:tplc="5096E334">
      <w:start w:val="1"/>
      <w:numFmt w:val="decimal"/>
      <w:suff w:val="space"/>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55268"/>
    <w:multiLevelType w:val="hybridMultilevel"/>
    <w:tmpl w:val="13CE1B30"/>
    <w:lvl w:ilvl="0" w:tplc="20ACCF10">
      <w:start w:val="1"/>
      <w:numFmt w:val="decimal"/>
      <w:pStyle w:val="2"/>
      <w:suff w:val="space"/>
      <w:lvlText w:val="%1."/>
      <w:lvlJc w:val="left"/>
      <w:pPr>
        <w:ind w:left="36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F77C6F"/>
    <w:multiLevelType w:val="hybridMultilevel"/>
    <w:tmpl w:val="B1D01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C15F18"/>
    <w:multiLevelType w:val="hybridMultilevel"/>
    <w:tmpl w:val="B024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A49F9"/>
    <w:multiLevelType w:val="hybridMultilevel"/>
    <w:tmpl w:val="AD60CB80"/>
    <w:lvl w:ilvl="0" w:tplc="CA3E20E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2"/>
  </w:num>
  <w:num w:numId="5">
    <w:abstractNumId w:val="1"/>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04"/>
    <w:rsid w:val="00017C8C"/>
    <w:rsid w:val="00046C85"/>
    <w:rsid w:val="00075EA1"/>
    <w:rsid w:val="000C59BD"/>
    <w:rsid w:val="000F2062"/>
    <w:rsid w:val="001C456C"/>
    <w:rsid w:val="001E41DA"/>
    <w:rsid w:val="00270F51"/>
    <w:rsid w:val="002A1AFF"/>
    <w:rsid w:val="002A7943"/>
    <w:rsid w:val="00305826"/>
    <w:rsid w:val="00331E26"/>
    <w:rsid w:val="003C678F"/>
    <w:rsid w:val="003E1591"/>
    <w:rsid w:val="003E3B32"/>
    <w:rsid w:val="003F379C"/>
    <w:rsid w:val="003F7E89"/>
    <w:rsid w:val="00412D24"/>
    <w:rsid w:val="004517DD"/>
    <w:rsid w:val="00475E3E"/>
    <w:rsid w:val="004A56CE"/>
    <w:rsid w:val="004E537B"/>
    <w:rsid w:val="00570D56"/>
    <w:rsid w:val="00580090"/>
    <w:rsid w:val="00633D75"/>
    <w:rsid w:val="006B1324"/>
    <w:rsid w:val="006D0787"/>
    <w:rsid w:val="006D1D3D"/>
    <w:rsid w:val="006E6368"/>
    <w:rsid w:val="006F0D2B"/>
    <w:rsid w:val="00730604"/>
    <w:rsid w:val="00760B6E"/>
    <w:rsid w:val="007E7CBE"/>
    <w:rsid w:val="007F20D4"/>
    <w:rsid w:val="008321A6"/>
    <w:rsid w:val="008A5EB9"/>
    <w:rsid w:val="008E604F"/>
    <w:rsid w:val="008E7A7C"/>
    <w:rsid w:val="009277EC"/>
    <w:rsid w:val="00992BE3"/>
    <w:rsid w:val="00A05C07"/>
    <w:rsid w:val="00A12A60"/>
    <w:rsid w:val="00A364DF"/>
    <w:rsid w:val="00A84E99"/>
    <w:rsid w:val="00AB3C91"/>
    <w:rsid w:val="00AC0305"/>
    <w:rsid w:val="00B155E4"/>
    <w:rsid w:val="00B159E5"/>
    <w:rsid w:val="00B46B7A"/>
    <w:rsid w:val="00BA73FA"/>
    <w:rsid w:val="00BF1226"/>
    <w:rsid w:val="00BF6DDF"/>
    <w:rsid w:val="00BF7976"/>
    <w:rsid w:val="00C52E10"/>
    <w:rsid w:val="00C61311"/>
    <w:rsid w:val="00C90BD3"/>
    <w:rsid w:val="00CB2FD3"/>
    <w:rsid w:val="00CD0F5A"/>
    <w:rsid w:val="00D55E35"/>
    <w:rsid w:val="00D84746"/>
    <w:rsid w:val="00DD0EEE"/>
    <w:rsid w:val="00E1096C"/>
    <w:rsid w:val="00E24DB9"/>
    <w:rsid w:val="00E57DB0"/>
    <w:rsid w:val="00F02E7E"/>
    <w:rsid w:val="00F60343"/>
    <w:rsid w:val="00F902FD"/>
    <w:rsid w:val="00F92BA8"/>
    <w:rsid w:val="00FA1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ADB5D"/>
  <w15:chartTrackingRefBased/>
  <w15:docId w15:val="{43F9CB81-69D8-40B5-AA93-E9443A8E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604"/>
    <w:pPr>
      <w:bidi/>
      <w:spacing w:after="200" w:line="276" w:lineRule="auto"/>
    </w:pPr>
    <w:rPr>
      <w:rFonts w:ascii="Calibri" w:eastAsia="Calibri" w:hAnsi="Calibri" w:cs="David"/>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פיסקת רשימה תו"/>
    <w:link w:val="1"/>
    <w:uiPriority w:val="34"/>
    <w:locked/>
    <w:rsid w:val="00730604"/>
    <w:rPr>
      <w:rFonts w:ascii="Times New Roman" w:eastAsia="Times New Roman" w:hAnsi="Times New Roman" w:cs="Times New Roman"/>
      <w:sz w:val="24"/>
      <w:szCs w:val="24"/>
    </w:rPr>
  </w:style>
  <w:style w:type="paragraph" w:customStyle="1" w:styleId="1">
    <w:name w:val="פיסקת רשימה1"/>
    <w:basedOn w:val="a"/>
    <w:link w:val="a3"/>
    <w:uiPriority w:val="34"/>
    <w:qFormat/>
    <w:rsid w:val="00730604"/>
    <w:pPr>
      <w:spacing w:after="0" w:line="240" w:lineRule="auto"/>
      <w:ind w:left="720"/>
      <w:contextualSpacing/>
    </w:pPr>
    <w:rPr>
      <w:rFonts w:ascii="Times New Roman" w:eastAsia="Times New Roman" w:hAnsi="Times New Roman" w:cs="Times New Roman"/>
      <w:sz w:val="24"/>
      <w:szCs w:val="24"/>
    </w:rPr>
  </w:style>
  <w:style w:type="paragraph" w:customStyle="1" w:styleId="2">
    <w:name w:val="סגנון2"/>
    <w:basedOn w:val="1"/>
    <w:qFormat/>
    <w:rsid w:val="00730604"/>
    <w:pPr>
      <w:numPr>
        <w:numId w:val="1"/>
      </w:numPr>
      <w:spacing w:line="360" w:lineRule="auto"/>
      <w:ind w:left="720"/>
      <w:jc w:val="both"/>
    </w:pPr>
    <w:rPr>
      <w:rFonts w:cs="David"/>
      <w:sz w:val="28"/>
      <w:szCs w:val="28"/>
    </w:rPr>
  </w:style>
  <w:style w:type="paragraph" w:styleId="a4">
    <w:name w:val="header"/>
    <w:basedOn w:val="a"/>
    <w:link w:val="a5"/>
    <w:unhideWhenUsed/>
    <w:rsid w:val="00730604"/>
    <w:pPr>
      <w:tabs>
        <w:tab w:val="center" w:pos="4153"/>
        <w:tab w:val="right" w:pos="8306"/>
      </w:tabs>
    </w:pPr>
  </w:style>
  <w:style w:type="character" w:customStyle="1" w:styleId="a5">
    <w:name w:val="כותרת עליונה תו"/>
    <w:basedOn w:val="a0"/>
    <w:link w:val="a4"/>
    <w:rsid w:val="00730604"/>
    <w:rPr>
      <w:rFonts w:ascii="Calibri" w:eastAsia="Calibri" w:hAnsi="Calibri" w:cs="David"/>
      <w:sz w:val="28"/>
      <w:szCs w:val="28"/>
    </w:rPr>
  </w:style>
  <w:style w:type="paragraph" w:styleId="a6">
    <w:name w:val="footer"/>
    <w:basedOn w:val="a"/>
    <w:link w:val="a7"/>
    <w:uiPriority w:val="99"/>
    <w:unhideWhenUsed/>
    <w:rsid w:val="00730604"/>
    <w:pPr>
      <w:tabs>
        <w:tab w:val="center" w:pos="4153"/>
        <w:tab w:val="right" w:pos="8306"/>
      </w:tabs>
    </w:pPr>
  </w:style>
  <w:style w:type="character" w:customStyle="1" w:styleId="a7">
    <w:name w:val="כותרת תחתונה תו"/>
    <w:basedOn w:val="a0"/>
    <w:link w:val="a6"/>
    <w:uiPriority w:val="99"/>
    <w:rsid w:val="00730604"/>
    <w:rPr>
      <w:rFonts w:ascii="Calibri" w:eastAsia="Calibri" w:hAnsi="Calibri" w:cs="David"/>
      <w:sz w:val="28"/>
      <w:szCs w:val="28"/>
    </w:rPr>
  </w:style>
  <w:style w:type="paragraph" w:styleId="a8">
    <w:name w:val="List Paragraph"/>
    <w:basedOn w:val="a"/>
    <w:link w:val="10"/>
    <w:uiPriority w:val="34"/>
    <w:qFormat/>
    <w:rsid w:val="00730604"/>
    <w:pPr>
      <w:ind w:left="720"/>
      <w:contextualSpacing/>
    </w:pPr>
    <w:rPr>
      <w:rFonts w:cs="Arial"/>
      <w:sz w:val="22"/>
      <w:szCs w:val="22"/>
    </w:rPr>
  </w:style>
  <w:style w:type="character" w:customStyle="1" w:styleId="10">
    <w:name w:val="פיסקת רשימה תו1"/>
    <w:link w:val="a8"/>
    <w:uiPriority w:val="34"/>
    <w:rsid w:val="00730604"/>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7871</Characters>
  <Application>Microsoft Office Word</Application>
  <DocSecurity>0</DocSecurity>
  <Lines>65</Lines>
  <Paragraphs>18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מאי משש - יבד"ץ 205/בית הדין לערעורים/משקי"ת משפט/</cp:lastModifiedBy>
  <cp:revision>2</cp:revision>
  <cp:lastPrinted>2022-04-10T12:41:00Z</cp:lastPrinted>
  <dcterms:created xsi:type="dcterms:W3CDTF">2024-03-10T09:44:00Z</dcterms:created>
  <dcterms:modified xsi:type="dcterms:W3CDTF">2024-03-10T09:44:00Z</dcterms:modified>
</cp:coreProperties>
</file>