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5FA0B" w14:textId="77777777" w:rsidR="00151587" w:rsidRDefault="0038511B" w:rsidP="0038511B">
      <w:pPr>
        <w:jc w:val="center"/>
        <w:rPr>
          <w:rFonts w:hint="cs"/>
          <w:b/>
          <w:bCs/>
          <w:sz w:val="32"/>
          <w:szCs w:val="32"/>
          <w:rtl/>
        </w:rPr>
      </w:pPr>
      <w:r>
        <w:rPr>
          <w:rFonts w:hint="cs"/>
          <w:b/>
          <w:bCs/>
          <w:sz w:val="32"/>
          <w:szCs w:val="32"/>
          <w:rtl/>
        </w:rPr>
        <w:t>צבא הגנה לישראל</w:t>
      </w:r>
    </w:p>
    <w:p w14:paraId="61A649AB" w14:textId="77777777" w:rsidR="0038511B" w:rsidRDefault="0038511B" w:rsidP="0038511B">
      <w:pPr>
        <w:jc w:val="center"/>
        <w:rPr>
          <w:rFonts w:hint="cs"/>
          <w:b/>
          <w:bCs/>
          <w:sz w:val="32"/>
          <w:szCs w:val="32"/>
          <w:rtl/>
        </w:rPr>
      </w:pPr>
      <w:r>
        <w:rPr>
          <w:rFonts w:hint="cs"/>
          <w:b/>
          <w:bCs/>
          <w:sz w:val="32"/>
          <w:szCs w:val="32"/>
          <w:rtl/>
        </w:rPr>
        <w:t>תקנות ההגנה (שעת חירום), 1945</w:t>
      </w:r>
    </w:p>
    <w:p w14:paraId="4364FE83" w14:textId="77777777" w:rsidR="0038511B" w:rsidRDefault="0038511B" w:rsidP="0038511B">
      <w:pPr>
        <w:jc w:val="center"/>
        <w:rPr>
          <w:rFonts w:hint="cs"/>
          <w:b/>
          <w:bCs/>
          <w:sz w:val="32"/>
          <w:szCs w:val="32"/>
          <w:u w:val="single"/>
          <w:rtl/>
        </w:rPr>
      </w:pPr>
      <w:r>
        <w:rPr>
          <w:rFonts w:hint="cs"/>
          <w:b/>
          <w:bCs/>
          <w:sz w:val="32"/>
          <w:szCs w:val="32"/>
          <w:u w:val="single"/>
          <w:rtl/>
        </w:rPr>
        <w:t>הכרזה על התאחדות בלתי מותרת</w:t>
      </w:r>
    </w:p>
    <w:p w14:paraId="1484B5D1" w14:textId="77777777" w:rsidR="0038511B" w:rsidRDefault="0038511B" w:rsidP="0038511B">
      <w:pPr>
        <w:rPr>
          <w:rFonts w:hint="cs"/>
          <w:sz w:val="26"/>
          <w:szCs w:val="26"/>
          <w:rtl/>
        </w:rPr>
      </w:pPr>
      <w:r>
        <w:rPr>
          <w:rFonts w:hint="cs"/>
          <w:sz w:val="26"/>
          <w:szCs w:val="26"/>
          <w:rtl/>
        </w:rPr>
        <w:t>בתוקף סמכותי כמפקד כוחות צה"ל באזור יהודה והשומרון ובהתאם לתקנה 84(1)(ב) לתקנות ההגנה (שעת חירום), 1945 (להלן: "</w:t>
      </w:r>
      <w:r>
        <w:rPr>
          <w:rFonts w:hint="cs"/>
          <w:b/>
          <w:bCs/>
          <w:sz w:val="26"/>
          <w:szCs w:val="26"/>
          <w:rtl/>
        </w:rPr>
        <w:t>תקנות ההגנה</w:t>
      </w:r>
      <w:r>
        <w:rPr>
          <w:rFonts w:hint="cs"/>
          <w:sz w:val="26"/>
          <w:szCs w:val="26"/>
          <w:rtl/>
        </w:rPr>
        <w:t xml:space="preserve">") ויתר סמכויותיי על פי כל דין ותחיקת ביטחון, ולאחר שהשתכנעתי כי ההתאחדות נושא הכרזה זו היא זרוע של ארגון "חמאס", שהוא התאחדות בלתי מותרת, וכי הדבר דרוש לצורך הגנה על ביטחון האזור, ביטחון מדינת ישראל, </w:t>
      </w:r>
      <w:bookmarkStart w:id="0" w:name="_GoBack"/>
      <w:bookmarkEnd w:id="0"/>
      <w:r>
        <w:rPr>
          <w:rFonts w:hint="cs"/>
          <w:sz w:val="26"/>
          <w:szCs w:val="26"/>
          <w:rtl/>
        </w:rPr>
        <w:t xml:space="preserve">שלום הציבור והסדר ציבורי, אני מכריז בזה כי כל חבר בני אדם הנקרא </w:t>
      </w:r>
      <w:r w:rsidRPr="00511BBC">
        <w:rPr>
          <w:rFonts w:hint="cs"/>
          <w:b/>
          <w:bCs/>
          <w:sz w:val="26"/>
          <w:szCs w:val="26"/>
          <w:rtl/>
        </w:rPr>
        <w:t>"</w:t>
      </w:r>
      <w:r>
        <w:rPr>
          <w:rFonts w:hint="cs"/>
          <w:b/>
          <w:bCs/>
          <w:sz w:val="26"/>
          <w:szCs w:val="26"/>
          <w:rtl/>
        </w:rPr>
        <w:t>מוסד אסאד לפיתוח הנוער</w:t>
      </w:r>
      <w:r w:rsidR="00511BBC">
        <w:rPr>
          <w:rFonts w:hint="cs"/>
          <w:b/>
          <w:bCs/>
          <w:sz w:val="26"/>
          <w:szCs w:val="26"/>
          <w:rtl/>
        </w:rPr>
        <w:t>"</w:t>
      </w:r>
      <w:r>
        <w:rPr>
          <w:rFonts w:hint="cs"/>
          <w:b/>
          <w:bCs/>
          <w:sz w:val="26"/>
          <w:szCs w:val="26"/>
          <w:rtl/>
        </w:rPr>
        <w:t xml:space="preserve"> בבית כאחל</w:t>
      </w:r>
      <w:r>
        <w:rPr>
          <w:rFonts w:hint="cs"/>
          <w:sz w:val="26"/>
          <w:szCs w:val="26"/>
          <w:rtl/>
        </w:rPr>
        <w:t xml:space="preserve">, בין אם הוא מאוגד ובין אם לאו, בין אם הוא פועל ברשת האינטרנט ובין אם הוא פועל באופן אחר, לרבות קבוצה, תא, וכן כל פלג, מוסד, סניף מרכז ועד או סיעה שלו, ובכל שם שייקרא, ולרבות כל חבר בני אדם המשתייך לזרם זה, המכונה בכינויים שונים, </w:t>
      </w:r>
      <w:r>
        <w:rPr>
          <w:rFonts w:hint="cs"/>
          <w:b/>
          <w:bCs/>
          <w:sz w:val="26"/>
          <w:szCs w:val="26"/>
          <w:rtl/>
        </w:rPr>
        <w:t>הוא התאחדות בלתי מותרת כמשמעותה בתקנות ההגנה</w:t>
      </w:r>
      <w:r>
        <w:rPr>
          <w:rFonts w:hint="cs"/>
          <w:sz w:val="26"/>
          <w:szCs w:val="26"/>
          <w:rtl/>
        </w:rPr>
        <w:t>.</w:t>
      </w:r>
    </w:p>
    <w:p w14:paraId="423FDEAE" w14:textId="77777777" w:rsidR="0038511B" w:rsidRDefault="0038511B" w:rsidP="0038511B">
      <w:pPr>
        <w:rPr>
          <w:sz w:val="26"/>
          <w:szCs w:val="26"/>
          <w:rtl/>
        </w:rPr>
      </w:pPr>
      <w:r>
        <w:rPr>
          <w:rFonts w:hint="cs"/>
          <w:sz w:val="26"/>
          <w:szCs w:val="26"/>
          <w:rtl/>
        </w:rPr>
        <w:t xml:space="preserve">המחזיק ברכוש ההתאחדות הבלתי מותרת הנזכרת לעיל, נדרש להודיע על כך למפקד כוחות צה"ל </w:t>
      </w:r>
      <w:proofErr w:type="spellStart"/>
      <w:r>
        <w:rPr>
          <w:rFonts w:hint="cs"/>
          <w:sz w:val="26"/>
          <w:szCs w:val="26"/>
          <w:rtl/>
        </w:rPr>
        <w:t>באיו"ש</w:t>
      </w:r>
      <w:proofErr w:type="spellEnd"/>
      <w:r>
        <w:rPr>
          <w:rFonts w:hint="cs"/>
          <w:sz w:val="26"/>
          <w:szCs w:val="26"/>
          <w:rtl/>
        </w:rPr>
        <w:t xml:space="preserve"> באמצעות לשכת היועץ המשפטי ליהודה ושומרון בטלפון: 02-997-7071/711, ובפקס: 076-539-9689.</w:t>
      </w:r>
    </w:p>
    <w:p w14:paraId="274E8531" w14:textId="77777777" w:rsidR="0038511B" w:rsidRDefault="0038511B" w:rsidP="0038511B">
      <w:pPr>
        <w:rPr>
          <w:rFonts w:hint="cs"/>
          <w:sz w:val="26"/>
          <w:szCs w:val="26"/>
          <w:rtl/>
        </w:rPr>
      </w:pPr>
      <w:r>
        <w:rPr>
          <w:rFonts w:hint="cs"/>
          <w:sz w:val="26"/>
          <w:szCs w:val="26"/>
          <w:rtl/>
        </w:rPr>
        <w:t>הרואה עצמו נפגע על ידי הכרזה זו, יכול להגיש השגותיו בכתב בפניי באמצעות לשכת היועץ המשפטי לאזור יהודה ושומרון, וזאת תוך 14 יום ממועד פרסום ההכרזה.</w:t>
      </w:r>
    </w:p>
    <w:p w14:paraId="0A586353" w14:textId="77777777" w:rsidR="0038511B" w:rsidRDefault="0038511B" w:rsidP="0038511B">
      <w:pPr>
        <w:rPr>
          <w:sz w:val="26"/>
          <w:szCs w:val="26"/>
          <w:rtl/>
        </w:rPr>
      </w:pPr>
    </w:p>
    <w:p w14:paraId="7BE7154E" w14:textId="77777777" w:rsidR="0038511B" w:rsidRDefault="0038511B" w:rsidP="0038511B">
      <w:pPr>
        <w:rPr>
          <w:sz w:val="26"/>
          <w:szCs w:val="26"/>
          <w:rtl/>
        </w:rPr>
      </w:pPr>
    </w:p>
    <w:p w14:paraId="6B294D57" w14:textId="77777777" w:rsidR="0038511B" w:rsidRDefault="0038511B" w:rsidP="0038511B">
      <w:pPr>
        <w:rPr>
          <w:sz w:val="26"/>
          <w:szCs w:val="26"/>
          <w:rtl/>
        </w:rPr>
      </w:pPr>
    </w:p>
    <w:tbl>
      <w:tblPr>
        <w:bidiVisual/>
        <w:tblW w:w="9348" w:type="dxa"/>
        <w:tblInd w:w="652" w:type="dxa"/>
        <w:tblLayout w:type="fixed"/>
        <w:tblLook w:val="01E0" w:firstRow="1" w:lastRow="1" w:firstColumn="1" w:lastColumn="1" w:noHBand="0" w:noVBand="0"/>
      </w:tblPr>
      <w:tblGrid>
        <w:gridCol w:w="2954"/>
        <w:gridCol w:w="2850"/>
        <w:gridCol w:w="3544"/>
      </w:tblGrid>
      <w:tr w:rsidR="0038511B" w14:paraId="218203CB" w14:textId="77777777" w:rsidTr="007A36CF">
        <w:trPr>
          <w:trHeight w:val="362"/>
        </w:trPr>
        <w:tc>
          <w:tcPr>
            <w:tcW w:w="2954" w:type="dxa"/>
          </w:tcPr>
          <w:p w14:paraId="2A88F420" w14:textId="77777777" w:rsidR="0038511B" w:rsidRDefault="0038511B" w:rsidP="0038511B">
            <w:pPr>
              <w:spacing w:line="480" w:lineRule="auto"/>
              <w:rPr>
                <w:b/>
                <w:bCs/>
                <w:rtl/>
              </w:rPr>
            </w:pPr>
            <w:r>
              <w:rPr>
                <w:rFonts w:hint="cs"/>
                <w:b/>
                <w:bCs/>
                <w:rtl/>
              </w:rPr>
              <w:t>כ"ו</w:t>
            </w:r>
            <w:r>
              <w:rPr>
                <w:rFonts w:hint="cs"/>
                <w:b/>
                <w:bCs/>
                <w:rtl/>
              </w:rPr>
              <w:t xml:space="preserve"> באלול </w:t>
            </w:r>
            <w:proofErr w:type="spellStart"/>
            <w:r>
              <w:rPr>
                <w:b/>
                <w:bCs/>
                <w:rtl/>
              </w:rPr>
              <w:t>התשפ"ד</w:t>
            </w:r>
            <w:proofErr w:type="spellEnd"/>
            <w:r>
              <w:rPr>
                <w:b/>
                <w:bCs/>
                <w:rtl/>
              </w:rPr>
              <w:br/>
            </w:r>
            <w:r>
              <w:rPr>
                <w:rFonts w:hint="cs"/>
                <w:b/>
                <w:bCs/>
                <w:rtl/>
              </w:rPr>
              <w:t>29</w:t>
            </w:r>
            <w:r>
              <w:rPr>
                <w:rFonts w:hint="cs"/>
                <w:b/>
                <w:bCs/>
                <w:rtl/>
              </w:rPr>
              <w:t xml:space="preserve"> בספטמבר </w:t>
            </w:r>
            <w:r>
              <w:rPr>
                <w:b/>
                <w:bCs/>
                <w:rtl/>
              </w:rPr>
              <w:t>202</w:t>
            </w:r>
            <w:r>
              <w:rPr>
                <w:rFonts w:hint="cs"/>
                <w:b/>
                <w:bCs/>
                <w:rtl/>
              </w:rPr>
              <w:t xml:space="preserve">4 </w:t>
            </w:r>
            <w:r>
              <w:rPr>
                <w:b/>
                <w:bCs/>
                <w:rtl/>
              </w:rPr>
              <w:br/>
            </w:r>
            <w:r>
              <w:rPr>
                <w:b/>
                <w:bCs/>
                <w:rtl/>
              </w:rPr>
              <w:br/>
            </w:r>
          </w:p>
        </w:tc>
        <w:tc>
          <w:tcPr>
            <w:tcW w:w="2850" w:type="dxa"/>
          </w:tcPr>
          <w:p w14:paraId="630A2A4B" w14:textId="77777777" w:rsidR="0038511B" w:rsidRDefault="0038511B" w:rsidP="007A36CF">
            <w:pPr>
              <w:spacing w:line="720" w:lineRule="auto"/>
              <w:rPr>
                <w:rtl/>
              </w:rPr>
            </w:pPr>
          </w:p>
        </w:tc>
        <w:tc>
          <w:tcPr>
            <w:tcW w:w="3544" w:type="dxa"/>
            <w:hideMark/>
          </w:tcPr>
          <w:p w14:paraId="180561B4" w14:textId="77777777" w:rsidR="0038511B" w:rsidRDefault="0038511B" w:rsidP="007A36CF">
            <w:pPr>
              <w:ind w:left="29"/>
              <w:rPr>
                <w:b/>
                <w:bCs/>
                <w:rtl/>
              </w:rPr>
            </w:pPr>
            <w:r>
              <w:rPr>
                <w:rFonts w:ascii="David" w:hAnsi="David"/>
                <w:b/>
                <w:bCs/>
                <w:sz w:val="26"/>
                <w:rtl/>
              </w:rPr>
              <w:t xml:space="preserve">אלוף </w:t>
            </w:r>
            <w:r>
              <w:rPr>
                <w:rFonts w:ascii="David" w:hAnsi="David" w:hint="cs"/>
                <w:b/>
                <w:bCs/>
                <w:sz w:val="26"/>
                <w:rtl/>
              </w:rPr>
              <w:t>אבי בלוט</w:t>
            </w:r>
            <w:r>
              <w:rPr>
                <w:rFonts w:ascii="David" w:hAnsi="David"/>
                <w:b/>
                <w:bCs/>
                <w:sz w:val="26"/>
                <w:rtl/>
              </w:rPr>
              <w:t xml:space="preserve"> </w:t>
            </w:r>
            <w:r>
              <w:rPr>
                <w:rFonts w:ascii="David" w:hAnsi="David"/>
                <w:b/>
                <w:bCs/>
                <w:sz w:val="26"/>
                <w:rtl/>
              </w:rPr>
              <w:br/>
              <w:t>מפקד</w:t>
            </w:r>
            <w:r>
              <w:rPr>
                <w:rFonts w:ascii="David" w:hAnsi="David" w:hint="cs"/>
                <w:b/>
                <w:bCs/>
                <w:sz w:val="26"/>
                <w:rtl/>
              </w:rPr>
              <w:t xml:space="preserve"> </w:t>
            </w:r>
            <w:r>
              <w:rPr>
                <w:rFonts w:ascii="David" w:hAnsi="David"/>
                <w:b/>
                <w:bCs/>
                <w:sz w:val="26"/>
                <w:rtl/>
              </w:rPr>
              <w:t xml:space="preserve">כוחות צה"ל </w:t>
            </w:r>
            <w:r>
              <w:rPr>
                <w:rFonts w:ascii="David" w:hAnsi="David"/>
                <w:b/>
                <w:bCs/>
                <w:sz w:val="26"/>
                <w:rtl/>
              </w:rPr>
              <w:br/>
              <w:t>באזור               יהודה                ושומרון</w:t>
            </w:r>
          </w:p>
        </w:tc>
      </w:tr>
    </w:tbl>
    <w:p w14:paraId="13D84E94" w14:textId="77777777" w:rsidR="0038511B" w:rsidRPr="0038511B" w:rsidRDefault="0038511B" w:rsidP="0038511B">
      <w:pPr>
        <w:jc w:val="left"/>
        <w:rPr>
          <w:sz w:val="26"/>
          <w:szCs w:val="26"/>
        </w:rPr>
      </w:pPr>
    </w:p>
    <w:sectPr w:rsidR="0038511B" w:rsidRPr="0038511B" w:rsidSect="00797FB0">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1B"/>
    <w:rsid w:val="000A3A65"/>
    <w:rsid w:val="00151587"/>
    <w:rsid w:val="0038511B"/>
    <w:rsid w:val="003C3669"/>
    <w:rsid w:val="00511BBC"/>
    <w:rsid w:val="00734F10"/>
    <w:rsid w:val="00786928"/>
    <w:rsid w:val="00797FB0"/>
    <w:rsid w:val="00A95EAA"/>
    <w:rsid w:val="00AA4807"/>
    <w:rsid w:val="00C44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A9BB"/>
  <w15:chartTrackingRefBased/>
  <w15:docId w15:val="{4C782B85-BAA0-4103-8B3B-52A50EBF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65"/>
    <w:pPr>
      <w:bidi/>
      <w:spacing w:line="360" w:lineRule="auto"/>
      <w:jc w:val="both"/>
    </w:pPr>
    <w:rPr>
      <w:rFonts w:cs="David"/>
      <w:szCs w:val="24"/>
    </w:rPr>
  </w:style>
  <w:style w:type="paragraph" w:styleId="1">
    <w:name w:val="heading 1"/>
    <w:basedOn w:val="a"/>
    <w:next w:val="a"/>
    <w:link w:val="10"/>
    <w:autoRedefine/>
    <w:uiPriority w:val="9"/>
    <w:qFormat/>
    <w:rsid w:val="00734F10"/>
    <w:pPr>
      <w:keepNext/>
      <w:keepLines/>
      <w:spacing w:before="240" w:after="0"/>
      <w:outlineLvl w:val="0"/>
    </w:pPr>
    <w:rPr>
      <w:rFonts w:asciiTheme="majorHAnsi" w:eastAsiaTheme="majorEastAsia" w:hAnsiTheme="majorHAnsi"/>
      <w:bCs/>
      <w:sz w:val="32"/>
      <w:szCs w:val="32"/>
    </w:rPr>
  </w:style>
  <w:style w:type="paragraph" w:styleId="2">
    <w:name w:val="heading 2"/>
    <w:basedOn w:val="a"/>
    <w:next w:val="a"/>
    <w:link w:val="20"/>
    <w:autoRedefine/>
    <w:uiPriority w:val="9"/>
    <w:unhideWhenUsed/>
    <w:qFormat/>
    <w:rsid w:val="00AA4807"/>
    <w:pPr>
      <w:keepNext/>
      <w:keepLines/>
      <w:spacing w:before="40" w:after="0"/>
      <w:outlineLvl w:val="1"/>
    </w:pPr>
    <w:rPr>
      <w:rFonts w:asciiTheme="majorHAnsi" w:eastAsiaTheme="majorEastAsia" w:hAnsiTheme="majorHAnsi"/>
      <w:bCs/>
      <w:sz w:val="26"/>
      <w:szCs w:val="28"/>
    </w:rPr>
  </w:style>
  <w:style w:type="paragraph" w:styleId="3">
    <w:name w:val="heading 3"/>
    <w:basedOn w:val="a"/>
    <w:next w:val="a"/>
    <w:link w:val="30"/>
    <w:autoRedefine/>
    <w:uiPriority w:val="9"/>
    <w:unhideWhenUsed/>
    <w:qFormat/>
    <w:rsid w:val="00AA4807"/>
    <w:pPr>
      <w:keepNext/>
      <w:keepLines/>
      <w:spacing w:before="40" w:after="0"/>
      <w:outlineLvl w:val="2"/>
    </w:pPr>
    <w:rPr>
      <w:rFonts w:asciiTheme="majorHAnsi" w:eastAsiaTheme="majorEastAsia" w:hAnsiTheme="majorHAnsi"/>
      <w:bCs/>
      <w:sz w:val="24"/>
      <w:szCs w:val="26"/>
    </w:rPr>
  </w:style>
  <w:style w:type="paragraph" w:styleId="4">
    <w:name w:val="heading 4"/>
    <w:basedOn w:val="a"/>
    <w:next w:val="a"/>
    <w:link w:val="40"/>
    <w:autoRedefine/>
    <w:uiPriority w:val="9"/>
    <w:unhideWhenUsed/>
    <w:qFormat/>
    <w:rsid w:val="00734F10"/>
    <w:pPr>
      <w:keepNext/>
      <w:keepLines/>
      <w:spacing w:before="40" w:after="0"/>
      <w:outlineLvl w:val="3"/>
    </w:pPr>
    <w:rPr>
      <w:rFonts w:asciiTheme="majorHAnsi" w:eastAsiaTheme="majorEastAsia" w:hAnsiTheme="majorHAnsi"/>
      <w:bCs/>
      <w:i/>
    </w:rPr>
  </w:style>
  <w:style w:type="paragraph" w:styleId="5">
    <w:name w:val="heading 5"/>
    <w:basedOn w:val="a"/>
    <w:next w:val="a"/>
    <w:link w:val="50"/>
    <w:autoRedefine/>
    <w:uiPriority w:val="9"/>
    <w:unhideWhenUsed/>
    <w:qFormat/>
    <w:rsid w:val="00786928"/>
    <w:pPr>
      <w:keepNext/>
      <w:keepLines/>
      <w:spacing w:before="40" w:after="0"/>
      <w:outlineLvl w:val="4"/>
    </w:pPr>
    <w:rPr>
      <w:rFonts w:asciiTheme="majorHAnsi" w:eastAsiaTheme="majorEastAsia" w:hAnsiTheme="majorHAnsi"/>
      <w:bCs/>
      <w:iCs/>
    </w:rPr>
  </w:style>
  <w:style w:type="paragraph" w:styleId="6">
    <w:name w:val="heading 6"/>
    <w:basedOn w:val="a"/>
    <w:next w:val="a"/>
    <w:link w:val="60"/>
    <w:autoRedefine/>
    <w:uiPriority w:val="9"/>
    <w:unhideWhenUsed/>
    <w:qFormat/>
    <w:rsid w:val="00786928"/>
    <w:pPr>
      <w:keepNext/>
      <w:keepLines/>
      <w:spacing w:before="40" w:after="0"/>
      <w:ind w:left="720"/>
      <w:outlineLvl w:val="5"/>
    </w:pPr>
    <w:rPr>
      <w:rFonts w:asciiTheme="majorHAnsi" w:eastAsiaTheme="majorEastAsia" w:hAnsiTheme="majorHAns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34F10"/>
    <w:rPr>
      <w:rFonts w:asciiTheme="majorHAnsi" w:eastAsiaTheme="majorEastAsia" w:hAnsiTheme="majorHAnsi" w:cs="David"/>
      <w:bCs/>
      <w:sz w:val="32"/>
      <w:szCs w:val="32"/>
    </w:rPr>
  </w:style>
  <w:style w:type="character" w:customStyle="1" w:styleId="20">
    <w:name w:val="כותרת 2 תו"/>
    <w:basedOn w:val="a0"/>
    <w:link w:val="2"/>
    <w:uiPriority w:val="9"/>
    <w:rsid w:val="00AA4807"/>
    <w:rPr>
      <w:rFonts w:asciiTheme="majorHAnsi" w:eastAsiaTheme="majorEastAsia" w:hAnsiTheme="majorHAnsi" w:cs="David"/>
      <w:bCs/>
      <w:sz w:val="26"/>
      <w:szCs w:val="28"/>
    </w:rPr>
  </w:style>
  <w:style w:type="character" w:customStyle="1" w:styleId="30">
    <w:name w:val="כותרת 3 תו"/>
    <w:basedOn w:val="a0"/>
    <w:link w:val="3"/>
    <w:uiPriority w:val="9"/>
    <w:rsid w:val="00AA4807"/>
    <w:rPr>
      <w:rFonts w:asciiTheme="majorHAnsi" w:eastAsiaTheme="majorEastAsia" w:hAnsiTheme="majorHAnsi" w:cs="David"/>
      <w:bCs/>
      <w:sz w:val="24"/>
      <w:szCs w:val="26"/>
    </w:rPr>
  </w:style>
  <w:style w:type="character" w:customStyle="1" w:styleId="40">
    <w:name w:val="כותרת 4 תו"/>
    <w:basedOn w:val="a0"/>
    <w:link w:val="4"/>
    <w:uiPriority w:val="9"/>
    <w:rsid w:val="00734F10"/>
    <w:rPr>
      <w:rFonts w:asciiTheme="majorHAnsi" w:eastAsiaTheme="majorEastAsia" w:hAnsiTheme="majorHAnsi" w:cs="David"/>
      <w:bCs/>
      <w:i/>
      <w:szCs w:val="24"/>
    </w:rPr>
  </w:style>
  <w:style w:type="character" w:customStyle="1" w:styleId="50">
    <w:name w:val="כותרת 5 תו"/>
    <w:basedOn w:val="a0"/>
    <w:link w:val="5"/>
    <w:uiPriority w:val="9"/>
    <w:rsid w:val="00786928"/>
    <w:rPr>
      <w:rFonts w:asciiTheme="majorHAnsi" w:eastAsiaTheme="majorEastAsia" w:hAnsiTheme="majorHAnsi" w:cs="David"/>
      <w:bCs/>
      <w:iCs/>
      <w:szCs w:val="24"/>
    </w:rPr>
  </w:style>
  <w:style w:type="character" w:customStyle="1" w:styleId="60">
    <w:name w:val="כותרת 6 תו"/>
    <w:basedOn w:val="a0"/>
    <w:link w:val="6"/>
    <w:uiPriority w:val="9"/>
    <w:rsid w:val="00786928"/>
    <w:rPr>
      <w:rFonts w:asciiTheme="majorHAnsi" w:eastAsiaTheme="majorEastAsia" w:hAnsiTheme="majorHAnsi" w:cs="David"/>
      <w:bCs/>
      <w:szCs w:val="24"/>
    </w:rPr>
  </w:style>
  <w:style w:type="paragraph" w:styleId="a3">
    <w:name w:val="Title"/>
    <w:basedOn w:val="a"/>
    <w:next w:val="a"/>
    <w:link w:val="a4"/>
    <w:autoRedefine/>
    <w:uiPriority w:val="10"/>
    <w:qFormat/>
    <w:rsid w:val="00151587"/>
    <w:pPr>
      <w:spacing w:after="0" w:line="240" w:lineRule="auto"/>
      <w:contextualSpacing/>
      <w:jc w:val="center"/>
    </w:pPr>
    <w:rPr>
      <w:rFonts w:asciiTheme="majorHAnsi" w:eastAsiaTheme="majorEastAsia" w:hAnsiTheme="majorHAnsi"/>
      <w:bCs/>
      <w:spacing w:val="-10"/>
      <w:kern w:val="28"/>
      <w:sz w:val="56"/>
      <w:szCs w:val="36"/>
    </w:rPr>
  </w:style>
  <w:style w:type="character" w:customStyle="1" w:styleId="a4">
    <w:name w:val="כותרת טקסט תו"/>
    <w:basedOn w:val="a0"/>
    <w:link w:val="a3"/>
    <w:uiPriority w:val="10"/>
    <w:rsid w:val="00151587"/>
    <w:rPr>
      <w:rFonts w:asciiTheme="majorHAnsi" w:eastAsiaTheme="majorEastAsia" w:hAnsiTheme="majorHAnsi" w:cs="David"/>
      <w:bCs/>
      <w:spacing w:val="-10"/>
      <w:kern w:val="28"/>
      <w:sz w:val="56"/>
      <w:szCs w:val="36"/>
    </w:rPr>
  </w:style>
  <w:style w:type="paragraph" w:styleId="a5">
    <w:name w:val="Subtitle"/>
    <w:basedOn w:val="a"/>
    <w:next w:val="a"/>
    <w:link w:val="a6"/>
    <w:autoRedefine/>
    <w:uiPriority w:val="11"/>
    <w:qFormat/>
    <w:rsid w:val="00734F10"/>
    <w:pPr>
      <w:numPr>
        <w:ilvl w:val="1"/>
      </w:numPr>
    </w:pPr>
    <w:rPr>
      <w:rFonts w:eastAsiaTheme="minorEastAsia"/>
      <w:spacing w:val="15"/>
      <w:szCs w:val="28"/>
    </w:rPr>
  </w:style>
  <w:style w:type="character" w:customStyle="1" w:styleId="a6">
    <w:name w:val="כותרת משנה תו"/>
    <w:basedOn w:val="a0"/>
    <w:link w:val="a5"/>
    <w:uiPriority w:val="11"/>
    <w:rsid w:val="00734F10"/>
    <w:rPr>
      <w:rFonts w:eastAsiaTheme="minorEastAsia" w:cs="David"/>
      <w:spacing w:val="1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202</Words>
  <Characters>1015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hpb</dc:creator>
  <cp:keywords/>
  <dc:description/>
  <cp:lastModifiedBy>hpb</cp:lastModifiedBy>
  <cp:revision>1</cp:revision>
  <dcterms:created xsi:type="dcterms:W3CDTF">2024-10-01T08:37:00Z</dcterms:created>
  <dcterms:modified xsi:type="dcterms:W3CDTF">2024-10-01T08:49:00Z</dcterms:modified>
</cp:coreProperties>
</file>