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5FC4" w14:textId="133D9956" w:rsidR="00110B2D" w:rsidRPr="008C147D" w:rsidRDefault="00CD2DC4" w:rsidP="00110B2D">
      <w:pPr>
        <w:ind w:left="29"/>
        <w:jc w:val="center"/>
        <w:rPr>
          <w:b/>
          <w:bCs/>
          <w:sz w:val="32"/>
          <w:szCs w:val="32"/>
          <w:rtl/>
        </w:rPr>
      </w:pPr>
      <w:r>
        <w:rPr>
          <w:rFonts w:hint="cs"/>
          <w:b/>
          <w:bCs/>
          <w:sz w:val="32"/>
          <w:szCs w:val="32"/>
          <w:rtl/>
        </w:rPr>
        <w:t xml:space="preserve"> </w:t>
      </w:r>
      <w:r w:rsidR="00110B2D" w:rsidRPr="008C147D">
        <w:rPr>
          <w:rFonts w:hint="cs"/>
          <w:b/>
          <w:bCs/>
          <w:sz w:val="32"/>
          <w:szCs w:val="32"/>
          <w:rtl/>
        </w:rPr>
        <w:t>צבא הגנה לישראל</w:t>
      </w:r>
    </w:p>
    <w:p w14:paraId="7D49C003" w14:textId="77777777" w:rsidR="00110B2D" w:rsidRPr="009A7017" w:rsidRDefault="00110B2D" w:rsidP="00110B2D">
      <w:pPr>
        <w:ind w:left="29"/>
        <w:jc w:val="center"/>
        <w:rPr>
          <w:sz w:val="32"/>
          <w:szCs w:val="32"/>
          <w:rtl/>
        </w:rPr>
      </w:pPr>
    </w:p>
    <w:p w14:paraId="11581CD1" w14:textId="095D2D67" w:rsidR="00110B2D" w:rsidRPr="009A7017" w:rsidRDefault="00110B2D" w:rsidP="00004427">
      <w:pPr>
        <w:ind w:left="29"/>
        <w:jc w:val="center"/>
        <w:rPr>
          <w:b/>
          <w:bCs/>
          <w:sz w:val="32"/>
          <w:szCs w:val="32"/>
          <w:rtl/>
        </w:rPr>
      </w:pPr>
      <w:r w:rsidRPr="009A7017">
        <w:rPr>
          <w:rFonts w:hint="eastAsia"/>
          <w:b/>
          <w:bCs/>
          <w:sz w:val="32"/>
          <w:szCs w:val="32"/>
          <w:rtl/>
        </w:rPr>
        <w:t>צו</w:t>
      </w:r>
      <w:r w:rsidRPr="009A7017">
        <w:rPr>
          <w:b/>
          <w:bCs/>
          <w:sz w:val="32"/>
          <w:szCs w:val="32"/>
          <w:rtl/>
        </w:rPr>
        <w:t xml:space="preserve"> </w:t>
      </w:r>
      <w:r w:rsidRPr="009A7017">
        <w:rPr>
          <w:rFonts w:hint="eastAsia"/>
          <w:b/>
          <w:bCs/>
          <w:sz w:val="32"/>
          <w:szCs w:val="32"/>
          <w:rtl/>
        </w:rPr>
        <w:t>מס</w:t>
      </w:r>
      <w:r w:rsidRPr="009A7017">
        <w:rPr>
          <w:b/>
          <w:bCs/>
          <w:sz w:val="32"/>
          <w:szCs w:val="32"/>
          <w:rtl/>
        </w:rPr>
        <w:t xml:space="preserve">' </w:t>
      </w:r>
      <w:r w:rsidR="00574AA5">
        <w:rPr>
          <w:rFonts w:hint="cs"/>
          <w:b/>
          <w:bCs/>
          <w:sz w:val="32"/>
          <w:szCs w:val="32"/>
          <w:rtl/>
        </w:rPr>
        <w:t>2250</w:t>
      </w:r>
    </w:p>
    <w:p w14:paraId="7C563CCA" w14:textId="77777777" w:rsidR="00110B2D" w:rsidRPr="00915DB6" w:rsidRDefault="00110B2D" w:rsidP="00110B2D">
      <w:pPr>
        <w:ind w:left="29"/>
        <w:jc w:val="center"/>
        <w:rPr>
          <w:sz w:val="32"/>
          <w:szCs w:val="32"/>
          <w:rtl/>
        </w:rPr>
      </w:pPr>
    </w:p>
    <w:p w14:paraId="1366FA6F" w14:textId="2A747071" w:rsidR="00110B2D" w:rsidRPr="00915DB6" w:rsidRDefault="00110B2D" w:rsidP="00004427">
      <w:pPr>
        <w:ind w:left="29"/>
        <w:jc w:val="center"/>
        <w:rPr>
          <w:b/>
          <w:bCs/>
          <w:spacing w:val="-4"/>
          <w:sz w:val="32"/>
          <w:szCs w:val="32"/>
          <w:rtl/>
        </w:rPr>
      </w:pPr>
      <w:r w:rsidRPr="00915DB6">
        <w:rPr>
          <w:rFonts w:hint="eastAsia"/>
          <w:b/>
          <w:bCs/>
          <w:spacing w:val="-4"/>
          <w:sz w:val="32"/>
          <w:szCs w:val="32"/>
          <w:rtl/>
        </w:rPr>
        <w:t>צו</w:t>
      </w:r>
      <w:r w:rsidRPr="00915DB6">
        <w:rPr>
          <w:b/>
          <w:bCs/>
          <w:spacing w:val="-4"/>
          <w:sz w:val="32"/>
          <w:szCs w:val="32"/>
          <w:rtl/>
        </w:rPr>
        <w:t xml:space="preserve"> </w:t>
      </w:r>
      <w:r w:rsidRPr="00915DB6">
        <w:rPr>
          <w:rFonts w:hint="eastAsia"/>
          <w:b/>
          <w:bCs/>
          <w:spacing w:val="-4"/>
          <w:sz w:val="32"/>
          <w:szCs w:val="32"/>
          <w:rtl/>
        </w:rPr>
        <w:t>בדבר</w:t>
      </w:r>
      <w:r w:rsidRPr="00915DB6">
        <w:rPr>
          <w:b/>
          <w:bCs/>
          <w:spacing w:val="-4"/>
          <w:sz w:val="32"/>
          <w:szCs w:val="32"/>
          <w:rtl/>
        </w:rPr>
        <w:t xml:space="preserve"> </w:t>
      </w:r>
      <w:r w:rsidRPr="00915DB6">
        <w:rPr>
          <w:rFonts w:hint="eastAsia"/>
          <w:b/>
          <w:bCs/>
          <w:spacing w:val="-4"/>
          <w:sz w:val="32"/>
          <w:szCs w:val="32"/>
          <w:rtl/>
        </w:rPr>
        <w:t>הוראות</w:t>
      </w:r>
      <w:r w:rsidRPr="00915DB6">
        <w:rPr>
          <w:b/>
          <w:bCs/>
          <w:spacing w:val="-4"/>
          <w:sz w:val="32"/>
          <w:szCs w:val="32"/>
          <w:rtl/>
        </w:rPr>
        <w:t xml:space="preserve"> </w:t>
      </w:r>
      <w:r w:rsidRPr="00915DB6">
        <w:rPr>
          <w:rFonts w:hint="eastAsia"/>
          <w:b/>
          <w:bCs/>
          <w:spacing w:val="-4"/>
          <w:sz w:val="32"/>
          <w:szCs w:val="32"/>
          <w:rtl/>
        </w:rPr>
        <w:t>ביטחון</w:t>
      </w:r>
      <w:r w:rsidRPr="00915DB6">
        <w:rPr>
          <w:b/>
          <w:bCs/>
          <w:spacing w:val="-4"/>
          <w:sz w:val="32"/>
          <w:szCs w:val="32"/>
          <w:rtl/>
        </w:rPr>
        <w:t xml:space="preserve"> (תיקון </w:t>
      </w:r>
      <w:r>
        <w:rPr>
          <w:rFonts w:hint="cs"/>
          <w:b/>
          <w:bCs/>
          <w:spacing w:val="-4"/>
          <w:sz w:val="32"/>
          <w:szCs w:val="32"/>
          <w:rtl/>
        </w:rPr>
        <w:t xml:space="preserve">מס' </w:t>
      </w:r>
      <w:r w:rsidR="00732B54">
        <w:rPr>
          <w:rFonts w:hint="cs"/>
          <w:b/>
          <w:bCs/>
          <w:spacing w:val="-4"/>
          <w:sz w:val="32"/>
          <w:szCs w:val="32"/>
          <w:rtl/>
        </w:rPr>
        <w:t>91</w:t>
      </w:r>
      <w:r w:rsidRPr="00915DB6">
        <w:rPr>
          <w:b/>
          <w:bCs/>
          <w:spacing w:val="-4"/>
          <w:sz w:val="32"/>
          <w:szCs w:val="32"/>
          <w:rtl/>
        </w:rPr>
        <w:t xml:space="preserve">) (יהודה </w:t>
      </w:r>
      <w:r w:rsidRPr="00915DB6">
        <w:rPr>
          <w:rFonts w:hint="eastAsia"/>
          <w:b/>
          <w:bCs/>
          <w:spacing w:val="-4"/>
          <w:sz w:val="32"/>
          <w:szCs w:val="32"/>
          <w:rtl/>
        </w:rPr>
        <w:t>ושומרון</w:t>
      </w:r>
      <w:r w:rsidRPr="00915DB6">
        <w:rPr>
          <w:b/>
          <w:bCs/>
          <w:spacing w:val="-4"/>
          <w:sz w:val="32"/>
          <w:szCs w:val="32"/>
          <w:rtl/>
        </w:rPr>
        <w:t>)</w:t>
      </w:r>
      <w:r w:rsidR="00574AA5">
        <w:rPr>
          <w:rFonts w:hint="cs"/>
          <w:b/>
          <w:bCs/>
          <w:spacing w:val="-4"/>
          <w:sz w:val="32"/>
          <w:szCs w:val="32"/>
          <w:rtl/>
        </w:rPr>
        <w:t xml:space="preserve"> (הארכת הוראת שעה) </w:t>
      </w:r>
      <w:r w:rsidRPr="00915DB6">
        <w:rPr>
          <w:b/>
          <w:bCs/>
          <w:spacing w:val="-4"/>
          <w:sz w:val="32"/>
          <w:szCs w:val="32"/>
          <w:rtl/>
        </w:rPr>
        <w:t xml:space="preserve">(מס' </w:t>
      </w:r>
      <w:r w:rsidR="00574AA5">
        <w:rPr>
          <w:rFonts w:hint="cs"/>
          <w:b/>
          <w:bCs/>
          <w:spacing w:val="-4"/>
          <w:sz w:val="32"/>
          <w:szCs w:val="32"/>
          <w:rtl/>
        </w:rPr>
        <w:t>2250</w:t>
      </w:r>
      <w:r w:rsidRPr="00915DB6">
        <w:rPr>
          <w:b/>
          <w:bCs/>
          <w:spacing w:val="-4"/>
          <w:sz w:val="32"/>
          <w:szCs w:val="32"/>
          <w:rtl/>
        </w:rPr>
        <w:t xml:space="preserve">), </w:t>
      </w:r>
      <w:r w:rsidRPr="00915DB6">
        <w:rPr>
          <w:rFonts w:hint="eastAsia"/>
          <w:b/>
          <w:bCs/>
          <w:spacing w:val="-4"/>
          <w:sz w:val="32"/>
          <w:szCs w:val="32"/>
          <w:rtl/>
        </w:rPr>
        <w:t>התשפ</w:t>
      </w:r>
      <w:r w:rsidRPr="00915DB6">
        <w:rPr>
          <w:b/>
          <w:bCs/>
          <w:spacing w:val="-4"/>
          <w:sz w:val="32"/>
          <w:szCs w:val="32"/>
          <w:rtl/>
        </w:rPr>
        <w:t>"</w:t>
      </w:r>
      <w:r w:rsidR="00574AA5">
        <w:rPr>
          <w:rFonts w:hint="cs"/>
          <w:b/>
          <w:bCs/>
          <w:spacing w:val="-4"/>
          <w:sz w:val="32"/>
          <w:szCs w:val="32"/>
          <w:rtl/>
        </w:rPr>
        <w:t>ו</w:t>
      </w:r>
      <w:r w:rsidRPr="00915DB6">
        <w:rPr>
          <w:b/>
          <w:bCs/>
          <w:spacing w:val="-4"/>
          <w:sz w:val="32"/>
          <w:szCs w:val="32"/>
          <w:rtl/>
        </w:rPr>
        <w:t>-202</w:t>
      </w:r>
      <w:r>
        <w:rPr>
          <w:rFonts w:hint="cs"/>
          <w:b/>
          <w:bCs/>
          <w:spacing w:val="-4"/>
          <w:sz w:val="32"/>
          <w:szCs w:val="32"/>
          <w:rtl/>
        </w:rPr>
        <w:t>5</w:t>
      </w:r>
    </w:p>
    <w:p w14:paraId="70A24146" w14:textId="77777777" w:rsidR="00110B2D" w:rsidRPr="003A30D2" w:rsidRDefault="00110B2D" w:rsidP="00110B2D">
      <w:pPr>
        <w:rPr>
          <w:rtl/>
        </w:rPr>
      </w:pPr>
    </w:p>
    <w:p w14:paraId="1BAF092D" w14:textId="77777777" w:rsidR="00110B2D" w:rsidRPr="003A30D2" w:rsidRDefault="00110B2D" w:rsidP="00110B2D">
      <w:pPr>
        <w:rPr>
          <w:rtl/>
        </w:rPr>
      </w:pPr>
    </w:p>
    <w:p w14:paraId="24FFC8CF" w14:textId="63923A2E" w:rsidR="00110B2D" w:rsidRPr="003A30D2" w:rsidRDefault="00110B2D" w:rsidP="00110B2D">
      <w:pPr>
        <w:pStyle w:val="BodyText"/>
        <w:tabs>
          <w:tab w:val="center" w:pos="4320"/>
          <w:tab w:val="left" w:pos="4770"/>
        </w:tabs>
        <w:jc w:val="both"/>
        <w:rPr>
          <w:rFonts w:ascii="David" w:hAnsi="David" w:cs="David"/>
          <w:sz w:val="26"/>
          <w:szCs w:val="26"/>
          <w:rtl/>
        </w:rPr>
      </w:pPr>
      <w:r>
        <w:rPr>
          <w:rFonts w:ascii="David" w:hAnsi="David" w:cs="David" w:hint="cs"/>
          <w:sz w:val="26"/>
          <w:szCs w:val="26"/>
          <w:rtl/>
        </w:rPr>
        <w:t xml:space="preserve">בתוקף סמכותי כמפקד כוחות צה"ל באזור, ובהיותי סבור כי הדבר נחוץ לשם שמירה על שלום הציבור, על הסדר הציבורי ועל ביטחון האזור, </w:t>
      </w:r>
      <w:r w:rsidR="00574AA5">
        <w:rPr>
          <w:rFonts w:ascii="David" w:hAnsi="David" w:cs="David" w:hint="cs"/>
          <w:sz w:val="26"/>
          <w:szCs w:val="26"/>
          <w:rtl/>
        </w:rPr>
        <w:t xml:space="preserve">ולנוכח המשך הפגיעה הקשה הנגרמת לאזור ולמדינת ישראל כתוצאה מהתופעה של גניבת כלי רכב לשטחי </w:t>
      </w:r>
      <w:r w:rsidR="00574AA5">
        <w:rPr>
          <w:rFonts w:ascii="David" w:hAnsi="David" w:cs="David"/>
          <w:sz w:val="26"/>
          <w:szCs w:val="26"/>
          <w:lang w:val="en-US"/>
        </w:rPr>
        <w:t>A</w:t>
      </w:r>
      <w:r w:rsidR="00574AA5">
        <w:rPr>
          <w:rFonts w:ascii="David" w:hAnsi="David" w:cs="David" w:hint="cs"/>
          <w:sz w:val="26"/>
          <w:szCs w:val="26"/>
          <w:rtl/>
          <w:lang w:val="en-US"/>
        </w:rPr>
        <w:t xml:space="preserve"> ומסחר בהם ובחלקיהם בשטח זה,</w:t>
      </w:r>
      <w:r w:rsidR="00574AA5">
        <w:rPr>
          <w:rFonts w:ascii="David" w:hAnsi="David" w:cs="David" w:hint="cs"/>
          <w:sz w:val="26"/>
          <w:szCs w:val="26"/>
          <w:rtl/>
        </w:rPr>
        <w:t xml:space="preserve"> </w:t>
      </w:r>
      <w:r>
        <w:rPr>
          <w:rFonts w:ascii="David" w:hAnsi="David" w:cs="David" w:hint="cs"/>
          <w:sz w:val="26"/>
          <w:szCs w:val="26"/>
          <w:rtl/>
        </w:rPr>
        <w:t>הנני מצווה בזאת לאמור:</w:t>
      </w:r>
      <w:r>
        <w:rPr>
          <w:rFonts w:ascii="David" w:hAnsi="David" w:cs="David"/>
          <w:sz w:val="26"/>
          <w:szCs w:val="26"/>
          <w:rtl/>
        </w:rPr>
        <w:tab/>
      </w:r>
      <w:r>
        <w:rPr>
          <w:rFonts w:ascii="David" w:hAnsi="David" w:cs="David"/>
          <w:sz w:val="26"/>
          <w:szCs w:val="26"/>
          <w:rtl/>
        </w:rPr>
        <w:tab/>
      </w:r>
    </w:p>
    <w:p w14:paraId="03C76F4A" w14:textId="77777777" w:rsidR="00110B2D" w:rsidRPr="003A30D2" w:rsidRDefault="00110B2D" w:rsidP="00110B2D">
      <w:pPr>
        <w:pStyle w:val="BodyText"/>
        <w:ind w:left="-180" w:right="-360"/>
        <w:jc w:val="both"/>
        <w:rPr>
          <w:sz w:val="26"/>
          <w:szCs w:val="26"/>
          <w:rtl/>
        </w:rPr>
      </w:pPr>
    </w:p>
    <w:tbl>
      <w:tblPr>
        <w:bidiVisual/>
        <w:tblW w:w="5088" w:type="pct"/>
        <w:tblLayout w:type="fixed"/>
        <w:tblLook w:val="0000" w:firstRow="0" w:lastRow="0" w:firstColumn="0" w:lastColumn="0" w:noHBand="0" w:noVBand="0"/>
      </w:tblPr>
      <w:tblGrid>
        <w:gridCol w:w="1057"/>
        <w:gridCol w:w="434"/>
        <w:gridCol w:w="6961"/>
      </w:tblGrid>
      <w:tr w:rsidR="00110B2D" w:rsidRPr="003A30D2" w14:paraId="1EA3E3E5" w14:textId="77777777" w:rsidTr="00574AA5">
        <w:tc>
          <w:tcPr>
            <w:tcW w:w="625" w:type="pct"/>
          </w:tcPr>
          <w:p w14:paraId="1505254E" w14:textId="3A11DAB2" w:rsidR="00110B2D" w:rsidRDefault="00574AA5" w:rsidP="006F7AD5">
            <w:pPr>
              <w:spacing w:line="276" w:lineRule="auto"/>
              <w:rPr>
                <w:b/>
                <w:bCs/>
                <w:rtl/>
              </w:rPr>
            </w:pPr>
            <w:r>
              <w:rPr>
                <w:rFonts w:hint="cs"/>
                <w:b/>
                <w:bCs/>
                <w:rtl/>
              </w:rPr>
              <w:t>תיקון סעיף 10(ח)</w:t>
            </w:r>
          </w:p>
        </w:tc>
        <w:tc>
          <w:tcPr>
            <w:tcW w:w="257" w:type="pct"/>
          </w:tcPr>
          <w:p w14:paraId="0174D664" w14:textId="77777777" w:rsidR="00110B2D" w:rsidRPr="009A7017" w:rsidRDefault="00110B2D" w:rsidP="006F7AD5">
            <w:pPr>
              <w:spacing w:line="276" w:lineRule="auto"/>
              <w:rPr>
                <w:rtl/>
              </w:rPr>
            </w:pPr>
            <w:r>
              <w:rPr>
                <w:rFonts w:hint="cs"/>
                <w:rtl/>
              </w:rPr>
              <w:t>1.</w:t>
            </w:r>
          </w:p>
        </w:tc>
        <w:tc>
          <w:tcPr>
            <w:tcW w:w="4118" w:type="pct"/>
          </w:tcPr>
          <w:p w14:paraId="7A515E84" w14:textId="32E2AF36" w:rsidR="00110B2D" w:rsidRDefault="00110B2D" w:rsidP="006F7AD5">
            <w:pPr>
              <w:spacing w:line="276" w:lineRule="auto"/>
              <w:jc w:val="both"/>
              <w:rPr>
                <w:rtl/>
              </w:rPr>
            </w:pPr>
            <w:r>
              <w:rPr>
                <w:rFonts w:hint="cs"/>
                <w:rtl/>
              </w:rPr>
              <w:t>ב</w:t>
            </w:r>
            <w:r w:rsidR="00574AA5">
              <w:rPr>
                <w:rFonts w:hint="cs"/>
                <w:rtl/>
              </w:rPr>
              <w:t>צו בדבר הוראות ביטחון [נוסח משולב] (יהודה והשומרון) (מס' 1651), התש"ע-2009, בסעיף 10(ח) במקום "עד ליום 10.10.2025" יבוא "עד ליום 12.10.2027"</w:t>
            </w:r>
            <w:r>
              <w:rPr>
                <w:rFonts w:hint="cs"/>
                <w:rtl/>
              </w:rPr>
              <w:t>.</w:t>
            </w:r>
          </w:p>
        </w:tc>
      </w:tr>
      <w:tr w:rsidR="00110B2D" w:rsidRPr="003A30D2" w14:paraId="27D4AB0B" w14:textId="77777777" w:rsidTr="00574AA5">
        <w:tc>
          <w:tcPr>
            <w:tcW w:w="625" w:type="pct"/>
          </w:tcPr>
          <w:p w14:paraId="4EE29E1D" w14:textId="77777777" w:rsidR="00110B2D" w:rsidRPr="00C21997" w:rsidRDefault="00110B2D" w:rsidP="006F7AD5">
            <w:pPr>
              <w:spacing w:line="276" w:lineRule="auto"/>
              <w:rPr>
                <w:b/>
                <w:bCs/>
                <w:rtl/>
              </w:rPr>
            </w:pPr>
          </w:p>
        </w:tc>
        <w:tc>
          <w:tcPr>
            <w:tcW w:w="257" w:type="pct"/>
          </w:tcPr>
          <w:p w14:paraId="66D88F9B" w14:textId="77777777" w:rsidR="00110B2D" w:rsidRDefault="00110B2D" w:rsidP="006F7AD5">
            <w:pPr>
              <w:spacing w:line="276" w:lineRule="auto"/>
              <w:rPr>
                <w:rtl/>
              </w:rPr>
            </w:pPr>
          </w:p>
        </w:tc>
        <w:tc>
          <w:tcPr>
            <w:tcW w:w="4118" w:type="pct"/>
          </w:tcPr>
          <w:p w14:paraId="1D0A1BAE" w14:textId="77777777" w:rsidR="00110B2D" w:rsidRDefault="00110B2D" w:rsidP="006F7AD5">
            <w:pPr>
              <w:spacing w:line="276" w:lineRule="auto"/>
              <w:jc w:val="both"/>
              <w:rPr>
                <w:rtl/>
              </w:rPr>
            </w:pPr>
          </w:p>
        </w:tc>
      </w:tr>
      <w:tr w:rsidR="00110B2D" w:rsidRPr="003A30D2" w14:paraId="1C2C17A0" w14:textId="77777777" w:rsidTr="00574AA5">
        <w:tc>
          <w:tcPr>
            <w:tcW w:w="625" w:type="pct"/>
          </w:tcPr>
          <w:p w14:paraId="24B28DC1" w14:textId="2752E5B3" w:rsidR="00110B2D" w:rsidRPr="003A30D2" w:rsidRDefault="00574AA5" w:rsidP="006F7AD5">
            <w:pPr>
              <w:spacing w:line="276" w:lineRule="auto"/>
              <w:rPr>
                <w:b/>
                <w:bCs/>
                <w:rtl/>
              </w:rPr>
            </w:pPr>
            <w:r>
              <w:rPr>
                <w:rFonts w:hint="cs"/>
                <w:b/>
                <w:bCs/>
                <w:rtl/>
              </w:rPr>
              <w:t>תוקף</w:t>
            </w:r>
            <w:r w:rsidR="00110B2D">
              <w:rPr>
                <w:rFonts w:hint="cs"/>
                <w:b/>
                <w:bCs/>
                <w:rtl/>
              </w:rPr>
              <w:t xml:space="preserve"> </w:t>
            </w:r>
          </w:p>
        </w:tc>
        <w:tc>
          <w:tcPr>
            <w:tcW w:w="257" w:type="pct"/>
          </w:tcPr>
          <w:p w14:paraId="70F4E6E6" w14:textId="44CB9E6E" w:rsidR="00110B2D" w:rsidRPr="009A7017" w:rsidRDefault="00574AA5" w:rsidP="006F7AD5">
            <w:pPr>
              <w:spacing w:line="276" w:lineRule="auto"/>
              <w:rPr>
                <w:rtl/>
              </w:rPr>
            </w:pPr>
            <w:r>
              <w:rPr>
                <w:rFonts w:hint="cs"/>
                <w:rtl/>
              </w:rPr>
              <w:t>2</w:t>
            </w:r>
            <w:r w:rsidR="00110B2D" w:rsidRPr="009A7017">
              <w:rPr>
                <w:rtl/>
              </w:rPr>
              <w:t>.</w:t>
            </w:r>
          </w:p>
        </w:tc>
        <w:tc>
          <w:tcPr>
            <w:tcW w:w="4118" w:type="pct"/>
          </w:tcPr>
          <w:p w14:paraId="7E4AF1D3" w14:textId="7F520354" w:rsidR="00110B2D" w:rsidRPr="003A30D2" w:rsidRDefault="00110B2D" w:rsidP="006F7AD5">
            <w:pPr>
              <w:spacing w:line="276" w:lineRule="auto"/>
              <w:jc w:val="both"/>
              <w:rPr>
                <w:rtl/>
              </w:rPr>
            </w:pPr>
            <w:r>
              <w:rPr>
                <w:rFonts w:hint="cs"/>
                <w:rtl/>
              </w:rPr>
              <w:t>תחילת</w:t>
            </w:r>
            <w:r w:rsidR="00574AA5">
              <w:rPr>
                <w:rFonts w:hint="cs"/>
                <w:rtl/>
              </w:rPr>
              <w:t xml:space="preserve"> תוקפו של צו זה מיום חתימתו</w:t>
            </w:r>
            <w:r>
              <w:rPr>
                <w:rFonts w:hint="cs"/>
                <w:rtl/>
              </w:rPr>
              <w:t>.</w:t>
            </w:r>
          </w:p>
        </w:tc>
      </w:tr>
      <w:tr w:rsidR="00110B2D" w:rsidRPr="003A30D2" w14:paraId="5C926410" w14:textId="77777777" w:rsidTr="00574AA5">
        <w:tc>
          <w:tcPr>
            <w:tcW w:w="625" w:type="pct"/>
          </w:tcPr>
          <w:p w14:paraId="62932539" w14:textId="77777777" w:rsidR="00110B2D" w:rsidRPr="003A30D2" w:rsidRDefault="00110B2D" w:rsidP="006F7AD5">
            <w:pPr>
              <w:spacing w:line="276" w:lineRule="auto"/>
              <w:rPr>
                <w:b/>
                <w:bCs/>
                <w:rtl/>
              </w:rPr>
            </w:pPr>
          </w:p>
        </w:tc>
        <w:tc>
          <w:tcPr>
            <w:tcW w:w="257" w:type="pct"/>
          </w:tcPr>
          <w:p w14:paraId="4207DC37" w14:textId="77777777" w:rsidR="00110B2D" w:rsidRPr="009A7017" w:rsidRDefault="00110B2D" w:rsidP="006F7AD5">
            <w:pPr>
              <w:spacing w:line="276" w:lineRule="auto"/>
              <w:rPr>
                <w:rtl/>
              </w:rPr>
            </w:pPr>
          </w:p>
        </w:tc>
        <w:tc>
          <w:tcPr>
            <w:tcW w:w="4118" w:type="pct"/>
          </w:tcPr>
          <w:p w14:paraId="42980205" w14:textId="77777777" w:rsidR="00110B2D" w:rsidRPr="003A30D2" w:rsidRDefault="00110B2D" w:rsidP="006F7AD5">
            <w:pPr>
              <w:spacing w:line="276" w:lineRule="auto"/>
              <w:jc w:val="both"/>
              <w:rPr>
                <w:rtl/>
              </w:rPr>
            </w:pPr>
          </w:p>
        </w:tc>
      </w:tr>
      <w:tr w:rsidR="00110B2D" w:rsidRPr="003A30D2" w14:paraId="2E7CD9D3" w14:textId="77777777" w:rsidTr="00574AA5">
        <w:tc>
          <w:tcPr>
            <w:tcW w:w="625" w:type="pct"/>
          </w:tcPr>
          <w:p w14:paraId="7715A961" w14:textId="77777777" w:rsidR="00110B2D" w:rsidRPr="003A30D2" w:rsidRDefault="00110B2D" w:rsidP="006F7AD5">
            <w:pPr>
              <w:spacing w:line="276" w:lineRule="auto"/>
              <w:rPr>
                <w:b/>
                <w:bCs/>
                <w:rtl/>
              </w:rPr>
            </w:pPr>
            <w:r w:rsidRPr="003A30D2">
              <w:rPr>
                <w:b/>
                <w:bCs/>
                <w:rtl/>
              </w:rPr>
              <w:t>השם</w:t>
            </w:r>
          </w:p>
        </w:tc>
        <w:tc>
          <w:tcPr>
            <w:tcW w:w="257" w:type="pct"/>
          </w:tcPr>
          <w:p w14:paraId="150FD9D7" w14:textId="7DA71C5E" w:rsidR="00110B2D" w:rsidRPr="009A7017" w:rsidRDefault="00574AA5" w:rsidP="006F7AD5">
            <w:pPr>
              <w:spacing w:line="276" w:lineRule="auto"/>
              <w:rPr>
                <w:rtl/>
              </w:rPr>
            </w:pPr>
            <w:r>
              <w:rPr>
                <w:rFonts w:hint="cs"/>
                <w:rtl/>
              </w:rPr>
              <w:t>3</w:t>
            </w:r>
            <w:r w:rsidR="00110B2D" w:rsidRPr="009A7017">
              <w:rPr>
                <w:rtl/>
              </w:rPr>
              <w:t>.</w:t>
            </w:r>
          </w:p>
        </w:tc>
        <w:tc>
          <w:tcPr>
            <w:tcW w:w="4118" w:type="pct"/>
          </w:tcPr>
          <w:p w14:paraId="1C24BA4A" w14:textId="62F09FC7" w:rsidR="00110B2D" w:rsidRDefault="00110B2D" w:rsidP="00004427">
            <w:pPr>
              <w:spacing w:line="276" w:lineRule="auto"/>
              <w:ind w:left="29"/>
              <w:jc w:val="both"/>
              <w:rPr>
                <w:rtl/>
              </w:rPr>
            </w:pPr>
            <w:r>
              <w:rPr>
                <w:rFonts w:hint="cs"/>
                <w:rtl/>
              </w:rPr>
              <w:t>צו</w:t>
            </w:r>
            <w:r w:rsidRPr="003A30D2">
              <w:rPr>
                <w:rFonts w:hint="cs"/>
                <w:rtl/>
              </w:rPr>
              <w:t xml:space="preserve"> זה ייקרא</w:t>
            </w:r>
            <w:r w:rsidRPr="003A30D2">
              <w:rPr>
                <w:rtl/>
              </w:rPr>
              <w:t xml:space="preserve">: </w:t>
            </w:r>
            <w:r w:rsidRPr="003A30D2">
              <w:rPr>
                <w:rFonts w:hint="cs"/>
                <w:rtl/>
              </w:rPr>
              <w:t>"</w:t>
            </w:r>
            <w:r w:rsidRPr="0021370C">
              <w:rPr>
                <w:rFonts w:hint="cs"/>
                <w:rtl/>
              </w:rPr>
              <w:t>צו בדבר הוראות ביטחון (תיקון מס'</w:t>
            </w:r>
            <w:r>
              <w:rPr>
                <w:rFonts w:hint="cs"/>
              </w:rPr>
              <w:t xml:space="preserve"> </w:t>
            </w:r>
            <w:r w:rsidR="00732B54">
              <w:rPr>
                <w:rFonts w:hint="cs"/>
                <w:rtl/>
              </w:rPr>
              <w:t>91</w:t>
            </w:r>
            <w:r w:rsidRPr="0021370C">
              <w:rPr>
                <w:rFonts w:hint="cs"/>
                <w:rtl/>
              </w:rPr>
              <w:t>)</w:t>
            </w:r>
            <w:r>
              <w:rPr>
                <w:rFonts w:hint="cs"/>
                <w:rtl/>
              </w:rPr>
              <w:t xml:space="preserve"> </w:t>
            </w:r>
            <w:r w:rsidRPr="0021370C">
              <w:rPr>
                <w:rFonts w:hint="cs"/>
                <w:rtl/>
              </w:rPr>
              <w:t>(יהודה ושומרון)</w:t>
            </w:r>
            <w:r>
              <w:rPr>
                <w:rFonts w:hint="cs"/>
                <w:rtl/>
              </w:rPr>
              <w:t xml:space="preserve"> </w:t>
            </w:r>
            <w:r w:rsidR="00574AA5">
              <w:rPr>
                <w:rFonts w:hint="cs"/>
                <w:rtl/>
              </w:rPr>
              <w:t xml:space="preserve">(הארכת הוראת שעה) </w:t>
            </w:r>
            <w:r w:rsidRPr="0021370C">
              <w:rPr>
                <w:rFonts w:hint="cs"/>
                <w:rtl/>
              </w:rPr>
              <w:t>(מס</w:t>
            </w:r>
            <w:r w:rsidR="00574AA5">
              <w:rPr>
                <w:rFonts w:hint="cs"/>
                <w:rtl/>
              </w:rPr>
              <w:t>' 2250</w:t>
            </w:r>
            <w:r w:rsidRPr="0021370C">
              <w:rPr>
                <w:rFonts w:hint="cs"/>
                <w:rtl/>
              </w:rPr>
              <w:t>), התשפ"</w:t>
            </w:r>
            <w:r w:rsidR="00574AA5">
              <w:rPr>
                <w:rFonts w:hint="cs"/>
                <w:rtl/>
              </w:rPr>
              <w:t>ו</w:t>
            </w:r>
            <w:r w:rsidRPr="0021370C">
              <w:rPr>
                <w:rFonts w:hint="cs"/>
                <w:rtl/>
              </w:rPr>
              <w:t>-202</w:t>
            </w:r>
            <w:r>
              <w:rPr>
                <w:rFonts w:hint="cs"/>
                <w:rtl/>
              </w:rPr>
              <w:t>5</w:t>
            </w:r>
            <w:r w:rsidRPr="003A30D2">
              <w:rPr>
                <w:rtl/>
              </w:rPr>
              <w:t>".</w:t>
            </w:r>
          </w:p>
          <w:p w14:paraId="480B70AA" w14:textId="77777777" w:rsidR="00110B2D" w:rsidRDefault="00110B2D" w:rsidP="006F7AD5">
            <w:pPr>
              <w:spacing w:line="276" w:lineRule="auto"/>
              <w:ind w:left="29"/>
              <w:jc w:val="both"/>
              <w:rPr>
                <w:rtl/>
              </w:rPr>
            </w:pPr>
          </w:p>
          <w:p w14:paraId="79EE040B" w14:textId="77777777" w:rsidR="00110B2D" w:rsidRDefault="00110B2D" w:rsidP="006F7AD5">
            <w:pPr>
              <w:spacing w:line="276" w:lineRule="auto"/>
              <w:ind w:left="29"/>
              <w:jc w:val="both"/>
              <w:rPr>
                <w:rtl/>
              </w:rPr>
            </w:pPr>
          </w:p>
          <w:p w14:paraId="3B1E157B" w14:textId="77777777" w:rsidR="00110B2D" w:rsidRDefault="00110B2D" w:rsidP="006F7AD5">
            <w:pPr>
              <w:spacing w:line="276" w:lineRule="auto"/>
              <w:ind w:left="29"/>
              <w:jc w:val="both"/>
              <w:rPr>
                <w:rtl/>
              </w:rPr>
            </w:pPr>
          </w:p>
          <w:p w14:paraId="0C2AD05A" w14:textId="77777777" w:rsidR="00110B2D" w:rsidRDefault="00110B2D" w:rsidP="006F7AD5">
            <w:pPr>
              <w:spacing w:line="276" w:lineRule="auto"/>
              <w:ind w:left="29"/>
              <w:jc w:val="both"/>
              <w:rPr>
                <w:rtl/>
              </w:rPr>
            </w:pPr>
          </w:p>
          <w:p w14:paraId="6187B6CE" w14:textId="77777777" w:rsidR="00110B2D" w:rsidRPr="003A30D2" w:rsidRDefault="00110B2D" w:rsidP="006F7AD5">
            <w:pPr>
              <w:spacing w:line="276" w:lineRule="auto"/>
              <w:ind w:left="29"/>
              <w:jc w:val="both"/>
              <w:rPr>
                <w:rtl/>
              </w:rPr>
            </w:pPr>
          </w:p>
        </w:tc>
      </w:tr>
    </w:tbl>
    <w:p w14:paraId="06BD3717" w14:textId="77777777" w:rsidR="00110B2D" w:rsidRDefault="00110B2D" w:rsidP="00110B2D">
      <w:pPr>
        <w:ind w:left="29"/>
        <w:rPr>
          <w:rtl/>
        </w:rPr>
      </w:pPr>
    </w:p>
    <w:p w14:paraId="23F7331E" w14:textId="5C619479" w:rsidR="00110B2D" w:rsidRPr="003A30D2" w:rsidRDefault="00110B2D" w:rsidP="00110B2D">
      <w:pPr>
        <w:ind w:left="29"/>
        <w:rPr>
          <w:rtl/>
        </w:rPr>
      </w:pPr>
    </w:p>
    <w:tbl>
      <w:tblPr>
        <w:bidiVisual/>
        <w:tblW w:w="5000" w:type="pct"/>
        <w:tblLook w:val="01E0" w:firstRow="1" w:lastRow="1" w:firstColumn="1" w:lastColumn="1" w:noHBand="0" w:noVBand="0"/>
      </w:tblPr>
      <w:tblGrid>
        <w:gridCol w:w="3452"/>
        <w:gridCol w:w="1827"/>
        <w:gridCol w:w="3027"/>
      </w:tblGrid>
      <w:tr w:rsidR="00004427" w:rsidRPr="003A30D2" w14:paraId="0C7F8B5F" w14:textId="77777777" w:rsidTr="00004427">
        <w:trPr>
          <w:trHeight w:val="1151"/>
        </w:trPr>
        <w:tc>
          <w:tcPr>
            <w:tcW w:w="2078" w:type="pct"/>
          </w:tcPr>
          <w:p w14:paraId="4922826F" w14:textId="2BB033E8" w:rsidR="00004427" w:rsidRPr="003A30D2" w:rsidRDefault="00574AA5" w:rsidP="00CD2DC4">
            <w:pPr>
              <w:spacing w:line="480" w:lineRule="auto"/>
              <w:ind w:left="29"/>
              <w:jc w:val="both"/>
              <w:rPr>
                <w:rtl/>
              </w:rPr>
            </w:pPr>
            <w:r>
              <w:rPr>
                <w:rFonts w:hint="cs"/>
                <w:b/>
                <w:bCs/>
                <w:rtl/>
              </w:rPr>
              <w:t>י</w:t>
            </w:r>
            <w:r w:rsidR="00004427">
              <w:rPr>
                <w:rFonts w:hint="cs"/>
                <w:b/>
                <w:bCs/>
                <w:rtl/>
              </w:rPr>
              <w:t>"</w:t>
            </w:r>
            <w:r w:rsidR="00CD2DC4">
              <w:rPr>
                <w:rFonts w:hint="cs"/>
                <w:b/>
                <w:bCs/>
                <w:rtl/>
              </w:rPr>
              <w:t>ז</w:t>
            </w:r>
            <w:r w:rsidR="00004427">
              <w:rPr>
                <w:rFonts w:hint="cs"/>
                <w:b/>
                <w:bCs/>
                <w:rtl/>
              </w:rPr>
              <w:t xml:space="preserve"> ב</w:t>
            </w:r>
            <w:r>
              <w:rPr>
                <w:rFonts w:hint="cs"/>
                <w:b/>
                <w:bCs/>
                <w:rtl/>
              </w:rPr>
              <w:t>תשרי</w:t>
            </w:r>
            <w:r w:rsidR="00004427" w:rsidRPr="003A30D2">
              <w:rPr>
                <w:rFonts w:hint="cs"/>
                <w:rtl/>
              </w:rPr>
              <w:t xml:space="preserve"> </w:t>
            </w:r>
            <w:r w:rsidR="00004427" w:rsidRPr="003A30D2">
              <w:rPr>
                <w:rFonts w:hint="cs"/>
                <w:b/>
                <w:bCs/>
                <w:rtl/>
              </w:rPr>
              <w:t>התש</w:t>
            </w:r>
            <w:r w:rsidR="00004427">
              <w:rPr>
                <w:rFonts w:hint="cs"/>
                <w:b/>
                <w:bCs/>
                <w:rtl/>
              </w:rPr>
              <w:t>פ"</w:t>
            </w:r>
            <w:r>
              <w:rPr>
                <w:rFonts w:hint="cs"/>
                <w:b/>
                <w:bCs/>
                <w:rtl/>
              </w:rPr>
              <w:t>ו</w:t>
            </w:r>
            <w:r w:rsidR="00004427">
              <w:rPr>
                <w:b/>
                <w:bCs/>
                <w:rtl/>
              </w:rPr>
              <w:br/>
            </w:r>
            <w:r>
              <w:rPr>
                <w:rFonts w:hint="cs"/>
                <w:b/>
                <w:bCs/>
                <w:rtl/>
              </w:rPr>
              <w:t>9 באוקטובר</w:t>
            </w:r>
            <w:r w:rsidR="00004427">
              <w:rPr>
                <w:rFonts w:hint="cs"/>
                <w:b/>
                <w:bCs/>
                <w:rtl/>
              </w:rPr>
              <w:t xml:space="preserve"> </w:t>
            </w:r>
            <w:r w:rsidR="00004427" w:rsidRPr="003A30D2">
              <w:rPr>
                <w:rFonts w:hint="cs"/>
                <w:b/>
                <w:bCs/>
                <w:rtl/>
              </w:rPr>
              <w:t>20</w:t>
            </w:r>
            <w:r w:rsidR="00004427">
              <w:rPr>
                <w:rFonts w:hint="cs"/>
                <w:b/>
                <w:bCs/>
                <w:rtl/>
              </w:rPr>
              <w:t>25</w:t>
            </w:r>
            <w:r w:rsidR="00004427">
              <w:rPr>
                <w:b/>
                <w:bCs/>
                <w:rtl/>
              </w:rPr>
              <w:br/>
            </w:r>
          </w:p>
        </w:tc>
        <w:tc>
          <w:tcPr>
            <w:tcW w:w="1100" w:type="pct"/>
          </w:tcPr>
          <w:p w14:paraId="4BF2B93C" w14:textId="77777777" w:rsidR="00004427" w:rsidRPr="003A30D2" w:rsidRDefault="00004427" w:rsidP="006F7AD5">
            <w:pPr>
              <w:rPr>
                <w:rtl/>
              </w:rPr>
            </w:pPr>
          </w:p>
        </w:tc>
        <w:tc>
          <w:tcPr>
            <w:tcW w:w="1822" w:type="pct"/>
          </w:tcPr>
          <w:p w14:paraId="39B915A1" w14:textId="21C42652" w:rsidR="00004427" w:rsidRPr="003A30D2" w:rsidRDefault="00004427" w:rsidP="00004427">
            <w:pPr>
              <w:spacing w:line="360" w:lineRule="auto"/>
              <w:jc w:val="both"/>
              <w:rPr>
                <w:rtl/>
              </w:rPr>
            </w:pPr>
            <w:r>
              <w:rPr>
                <w:rFonts w:hint="cs"/>
                <w:b/>
                <w:bCs/>
                <w:rtl/>
              </w:rPr>
              <w:t>אלוף אבי בלוט</w:t>
            </w:r>
            <w:r>
              <w:rPr>
                <w:b/>
                <w:bCs/>
                <w:rtl/>
              </w:rPr>
              <w:br/>
            </w:r>
            <w:r w:rsidRPr="003A30D2">
              <w:rPr>
                <w:rFonts w:hint="cs"/>
                <w:b/>
                <w:bCs/>
                <w:rtl/>
              </w:rPr>
              <w:t>מפקד</w:t>
            </w:r>
            <w:r>
              <w:rPr>
                <w:rFonts w:hint="cs"/>
                <w:b/>
                <w:bCs/>
                <w:rtl/>
              </w:rPr>
              <w:t xml:space="preserve"> </w:t>
            </w:r>
            <w:r w:rsidRPr="003A30D2">
              <w:rPr>
                <w:rFonts w:hint="cs"/>
                <w:b/>
                <w:bCs/>
                <w:rtl/>
              </w:rPr>
              <w:t>כוחות</w:t>
            </w:r>
            <w:r>
              <w:rPr>
                <w:rFonts w:hint="cs"/>
                <w:b/>
                <w:bCs/>
                <w:rtl/>
              </w:rPr>
              <w:t xml:space="preserve"> </w:t>
            </w:r>
            <w:r w:rsidRPr="003A30D2">
              <w:rPr>
                <w:rFonts w:hint="cs"/>
                <w:b/>
                <w:bCs/>
                <w:rtl/>
              </w:rPr>
              <w:t>צה"ל</w:t>
            </w:r>
            <w:r>
              <w:rPr>
                <w:b/>
                <w:bCs/>
                <w:rtl/>
              </w:rPr>
              <w:br/>
            </w:r>
            <w:r w:rsidRPr="003A30D2">
              <w:rPr>
                <w:rFonts w:hint="cs"/>
                <w:b/>
                <w:bCs/>
                <w:rtl/>
              </w:rPr>
              <w:t>באזור</w:t>
            </w:r>
            <w:r>
              <w:rPr>
                <w:rFonts w:hint="cs"/>
                <w:b/>
                <w:bCs/>
                <w:rtl/>
              </w:rPr>
              <w:t xml:space="preserve"> </w:t>
            </w:r>
            <w:r w:rsidRPr="003A30D2">
              <w:rPr>
                <w:rFonts w:hint="cs"/>
                <w:b/>
                <w:bCs/>
                <w:rtl/>
              </w:rPr>
              <w:t>יהודה</w:t>
            </w:r>
            <w:r>
              <w:rPr>
                <w:rFonts w:hint="cs"/>
                <w:b/>
                <w:bCs/>
                <w:rtl/>
              </w:rPr>
              <w:t xml:space="preserve"> </w:t>
            </w:r>
            <w:r w:rsidRPr="003A30D2">
              <w:rPr>
                <w:rFonts w:hint="cs"/>
                <w:b/>
                <w:bCs/>
                <w:rtl/>
              </w:rPr>
              <w:t>ושומרון</w:t>
            </w:r>
            <w:r>
              <w:rPr>
                <w:rtl/>
              </w:rPr>
              <w:br/>
            </w:r>
          </w:p>
        </w:tc>
      </w:tr>
    </w:tbl>
    <w:p w14:paraId="00BDE235" w14:textId="77777777" w:rsidR="00E34617" w:rsidRPr="00574AA5" w:rsidRDefault="00E34617"/>
    <w:sectPr w:rsidR="00E34617" w:rsidRPr="00574AA5" w:rsidSect="00E34617">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0D19" w14:textId="77777777" w:rsidR="00FD6CD6" w:rsidRDefault="00FD6CD6" w:rsidP="00110B2D">
      <w:r>
        <w:separator/>
      </w:r>
    </w:p>
  </w:endnote>
  <w:endnote w:type="continuationSeparator" w:id="0">
    <w:p w14:paraId="061D5E69" w14:textId="77777777" w:rsidR="00FD6CD6" w:rsidRDefault="00FD6CD6" w:rsidP="0011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D327" w14:textId="77777777" w:rsidR="007B0B2D" w:rsidRDefault="007B0B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141A" w14:textId="77777777" w:rsidR="007B0B2D" w:rsidRDefault="007B0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59B6" w14:textId="77777777" w:rsidR="007B0B2D" w:rsidRDefault="007B0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C903" w14:textId="77777777" w:rsidR="00FD6CD6" w:rsidRDefault="00FD6CD6" w:rsidP="00110B2D">
      <w:r>
        <w:separator/>
      </w:r>
    </w:p>
  </w:footnote>
  <w:footnote w:type="continuationSeparator" w:id="0">
    <w:p w14:paraId="7C0F8CD3" w14:textId="77777777" w:rsidR="00FD6CD6" w:rsidRDefault="00FD6CD6" w:rsidP="00110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3B05E" w14:textId="7A13A0AD" w:rsidR="00110B2D" w:rsidRDefault="00110B2D">
    <w:pPr>
      <w:pStyle w:val="Header"/>
    </w:pPr>
    <w:r>
      <w:rPr>
        <w:noProof/>
        <w:lang w:eastAsia="en-US"/>
        <w14:ligatures w14:val="standardContextual"/>
      </w:rPr>
      <mc:AlternateContent>
        <mc:Choice Requires="wps">
          <w:drawing>
            <wp:anchor distT="0" distB="0" distL="0" distR="0" simplePos="0" relativeHeight="251659264" behindDoc="0" locked="0" layoutInCell="1" allowOverlap="1" wp14:anchorId="5E07F90B" wp14:editId="50A3411E">
              <wp:simplePos x="635" y="635"/>
              <wp:positionH relativeFrom="page">
                <wp:align>center</wp:align>
              </wp:positionH>
              <wp:positionV relativeFrom="page">
                <wp:align>top</wp:align>
              </wp:positionV>
              <wp:extent cx="450215" cy="345440"/>
              <wp:effectExtent l="0" t="0" r="6985" b="16510"/>
              <wp:wrapNone/>
              <wp:docPr id="854901233" name="תיבת טקסט 2"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45440"/>
                      </a:xfrm>
                      <a:prstGeom prst="rect">
                        <a:avLst/>
                      </a:prstGeom>
                      <a:noFill/>
                      <a:ln>
                        <a:noFill/>
                      </a:ln>
                    </wps:spPr>
                    <wps:txbx>
                      <w:txbxContent>
                        <w:p w14:paraId="63A6FEDD" w14:textId="188C5189" w:rsidR="00110B2D" w:rsidRPr="00110B2D" w:rsidRDefault="00110B2D" w:rsidP="00110B2D">
                          <w:pPr>
                            <w:rPr>
                              <w:rFonts w:ascii="Calibri" w:eastAsia="Calibri" w:hAnsi="Calibri" w:cs="Calibri"/>
                              <w:noProof/>
                              <w:color w:val="000000"/>
                              <w:sz w:val="20"/>
                              <w:szCs w:val="20"/>
                            </w:rPr>
                          </w:pPr>
                          <w:r w:rsidRPr="00110B2D">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5E07F90B"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5.4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n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" filled="f" stroked="f">
              <v:textbox style="mso-fit-shape-to-text:t" inset="0,15pt,0,0">
                <w:txbxContent>
                  <w:p w14:paraId="63A6FEDD" w14:textId="188C5189" w:rsidR="00110B2D" w:rsidRPr="00110B2D" w:rsidRDefault="00110B2D" w:rsidP="00110B2D">
                    <w:pPr>
                      <w:rPr>
                        <w:rFonts w:ascii="Calibri" w:eastAsia="Calibri" w:hAnsi="Calibri" w:cs="Calibri"/>
                        <w:noProof/>
                        <w:color w:val="000000"/>
                        <w:sz w:val="20"/>
                        <w:szCs w:val="20"/>
                      </w:rPr>
                    </w:pPr>
                    <w:r w:rsidRPr="00110B2D">
                      <w:rPr>
                        <w:rFonts w:ascii="Calibri" w:eastAsia="Calibri" w:hAnsi="Calibri"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2731" w14:textId="585DF497" w:rsidR="00110B2D" w:rsidRDefault="00110B2D">
    <w:pPr>
      <w:pStyle w:val="Header"/>
    </w:pPr>
    <w:r>
      <w:rPr>
        <w:noProof/>
        <w:lang w:eastAsia="en-US"/>
        <w14:ligatures w14:val="standardContextual"/>
      </w:rPr>
      <mc:AlternateContent>
        <mc:Choice Requires="wps">
          <w:drawing>
            <wp:anchor distT="0" distB="0" distL="0" distR="0" simplePos="0" relativeHeight="251660288" behindDoc="0" locked="0" layoutInCell="1" allowOverlap="1" wp14:anchorId="277D382C" wp14:editId="5AFA0E15">
              <wp:simplePos x="1143000" y="450850"/>
              <wp:positionH relativeFrom="page">
                <wp:align>center</wp:align>
              </wp:positionH>
              <wp:positionV relativeFrom="page">
                <wp:align>top</wp:align>
              </wp:positionV>
              <wp:extent cx="450215" cy="345440"/>
              <wp:effectExtent l="0" t="0" r="6985" b="16510"/>
              <wp:wrapNone/>
              <wp:docPr id="350584981" name="תיבת טקסט 3"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45440"/>
                      </a:xfrm>
                      <a:prstGeom prst="rect">
                        <a:avLst/>
                      </a:prstGeom>
                      <a:noFill/>
                      <a:ln>
                        <a:noFill/>
                      </a:ln>
                    </wps:spPr>
                    <wps:txbx>
                      <w:txbxContent>
                        <w:p w14:paraId="61AA6A04" w14:textId="5FA35EA0" w:rsidR="00110B2D" w:rsidRPr="00110B2D" w:rsidRDefault="00110B2D" w:rsidP="00110B2D">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277D382C"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5.4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" filled="f" stroked="f">
              <v:textbox style="mso-fit-shape-to-text:t" inset="0,15pt,0,0">
                <w:txbxContent>
                  <w:p w14:paraId="61AA6A04" w14:textId="5FA35EA0" w:rsidR="00110B2D" w:rsidRPr="00110B2D" w:rsidRDefault="00110B2D" w:rsidP="00110B2D">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121F" w14:textId="479C0988" w:rsidR="00110B2D" w:rsidRDefault="00110B2D">
    <w:pPr>
      <w:pStyle w:val="Header"/>
    </w:pPr>
    <w:r>
      <w:rPr>
        <w:noProof/>
        <w:lang w:eastAsia="en-US"/>
        <w14:ligatures w14:val="standardContextual"/>
      </w:rPr>
      <mc:AlternateContent>
        <mc:Choice Requires="wps">
          <w:drawing>
            <wp:anchor distT="0" distB="0" distL="0" distR="0" simplePos="0" relativeHeight="251658240" behindDoc="0" locked="0" layoutInCell="1" allowOverlap="1" wp14:anchorId="48268BDC" wp14:editId="020DBBDA">
              <wp:simplePos x="635" y="635"/>
              <wp:positionH relativeFrom="page">
                <wp:align>center</wp:align>
              </wp:positionH>
              <wp:positionV relativeFrom="page">
                <wp:align>top</wp:align>
              </wp:positionV>
              <wp:extent cx="450215" cy="345440"/>
              <wp:effectExtent l="0" t="0" r="6985" b="16510"/>
              <wp:wrapNone/>
              <wp:docPr id="836803558" name="תיבת טקסט 1" descr="- בלמ&quot;ס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0215" cy="345440"/>
                      </a:xfrm>
                      <a:prstGeom prst="rect">
                        <a:avLst/>
                      </a:prstGeom>
                      <a:noFill/>
                      <a:ln>
                        <a:noFill/>
                      </a:ln>
                    </wps:spPr>
                    <wps:txbx>
                      <w:txbxContent>
                        <w:p w14:paraId="7A408442" w14:textId="181EC154" w:rsidR="00110B2D" w:rsidRPr="00110B2D" w:rsidRDefault="00110B2D" w:rsidP="00110B2D">
                          <w:pPr>
                            <w:rPr>
                              <w:rFonts w:ascii="Calibri" w:eastAsia="Calibri" w:hAnsi="Calibri" w:cs="Calibri"/>
                              <w:noProof/>
                              <w:color w:val="000000"/>
                              <w:sz w:val="20"/>
                              <w:szCs w:val="20"/>
                            </w:rPr>
                          </w:pPr>
                          <w:r w:rsidRPr="00110B2D">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w:pict>
            <v:shapetype w14:anchorId="48268BDC" id="_x0000_t202" coordsize="21600,21600" o:spt="202" path="m,l,21600r21600,l21600,xe">
              <v:stroke joinstyle="miter"/>
              <v:path gradientshapeok="t" o:connecttype="rect"/>
            </v:shapetype>
            <v:shape id="תיבת טקסט 1" o:spid="_x0000_s1028" type="#_x0000_t202" alt="- בלמ&quot;ס -" style="position:absolute;left:0;text-align:left;margin-left:0;margin-top:0;width:35.4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qE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" filled="f" stroked="f">
              <v:textbox style="mso-fit-shape-to-text:t" inset="0,15pt,0,0">
                <w:txbxContent>
                  <w:p w14:paraId="7A408442" w14:textId="181EC154" w:rsidR="00110B2D" w:rsidRPr="00110B2D" w:rsidRDefault="00110B2D" w:rsidP="00110B2D">
                    <w:pPr>
                      <w:rPr>
                        <w:rFonts w:ascii="Calibri" w:eastAsia="Calibri" w:hAnsi="Calibri" w:cs="Calibri"/>
                        <w:noProof/>
                        <w:color w:val="000000"/>
                        <w:sz w:val="20"/>
                        <w:szCs w:val="20"/>
                      </w:rPr>
                    </w:pPr>
                    <w:r w:rsidRPr="00110B2D">
                      <w:rPr>
                        <w:rFonts w:ascii="Calibri" w:eastAsia="Calibri" w:hAnsi="Calibri" w:cs="Calibri"/>
                        <w:noProof/>
                        <w:color w:val="000000"/>
                        <w:sz w:val="20"/>
                        <w:szCs w:val="20"/>
                        <w:rtl/>
                      </w:rPr>
                      <w:t>- בלמ"ס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B2D"/>
    <w:rsid w:val="00004427"/>
    <w:rsid w:val="000E0AF4"/>
    <w:rsid w:val="00110B2D"/>
    <w:rsid w:val="00380746"/>
    <w:rsid w:val="003B4607"/>
    <w:rsid w:val="00574AA5"/>
    <w:rsid w:val="00732B54"/>
    <w:rsid w:val="007B0B2D"/>
    <w:rsid w:val="009615FD"/>
    <w:rsid w:val="009D7EAE"/>
    <w:rsid w:val="00CD2DC4"/>
    <w:rsid w:val="00E34617"/>
    <w:rsid w:val="00E64E41"/>
    <w:rsid w:val="00F82607"/>
    <w:rsid w:val="00FD6C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B1DC"/>
  <w15:chartTrackingRefBased/>
  <w15:docId w15:val="{0E6E52D0-9CFC-457E-8446-3034A6F8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B2D"/>
    <w:pPr>
      <w:bidi/>
      <w:spacing w:after="0" w:line="240" w:lineRule="auto"/>
    </w:pPr>
    <w:rPr>
      <w:rFonts w:ascii="Times New Roman" w:eastAsia="Times New Roman" w:hAnsi="Times New Roman" w:cs="David"/>
      <w:kern w:val="0"/>
      <w:sz w:val="18"/>
      <w:szCs w:val="26"/>
      <w:lang w:eastAsia="he-IL"/>
      <w14:ligatures w14:val="none"/>
    </w:rPr>
  </w:style>
  <w:style w:type="paragraph" w:styleId="Heading1">
    <w:name w:val="heading 1"/>
    <w:basedOn w:val="Normal"/>
    <w:next w:val="Normal"/>
    <w:link w:val="Heading1Char"/>
    <w:uiPriority w:val="9"/>
    <w:qFormat/>
    <w:rsid w:val="00110B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10B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10B2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10B2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10B2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10B2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10B2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10B2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10B2D"/>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B2D"/>
    <w:rPr>
      <w:rFonts w:eastAsiaTheme="majorEastAsia" w:cstheme="majorBidi"/>
      <w:color w:val="272727" w:themeColor="text1" w:themeTint="D8"/>
    </w:rPr>
  </w:style>
  <w:style w:type="paragraph" w:styleId="Title">
    <w:name w:val="Title"/>
    <w:basedOn w:val="Normal"/>
    <w:next w:val="Normal"/>
    <w:link w:val="TitleChar"/>
    <w:uiPriority w:val="10"/>
    <w:qFormat/>
    <w:rsid w:val="00110B2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10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B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10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B2D"/>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110B2D"/>
    <w:rPr>
      <w:i/>
      <w:iCs/>
      <w:color w:val="404040" w:themeColor="text1" w:themeTint="BF"/>
    </w:rPr>
  </w:style>
  <w:style w:type="paragraph" w:styleId="ListParagraph">
    <w:name w:val="List Paragraph"/>
    <w:basedOn w:val="Normal"/>
    <w:uiPriority w:val="34"/>
    <w:qFormat/>
    <w:rsid w:val="00110B2D"/>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110B2D"/>
    <w:rPr>
      <w:i/>
      <w:iCs/>
      <w:color w:val="0F4761" w:themeColor="accent1" w:themeShade="BF"/>
    </w:rPr>
  </w:style>
  <w:style w:type="paragraph" w:styleId="IntenseQuote">
    <w:name w:val="Intense Quote"/>
    <w:basedOn w:val="Normal"/>
    <w:next w:val="Normal"/>
    <w:link w:val="IntenseQuoteChar"/>
    <w:uiPriority w:val="30"/>
    <w:qFormat/>
    <w:rsid w:val="00110B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110B2D"/>
    <w:rPr>
      <w:i/>
      <w:iCs/>
      <w:color w:val="0F4761" w:themeColor="accent1" w:themeShade="BF"/>
    </w:rPr>
  </w:style>
  <w:style w:type="character" w:styleId="IntenseReference">
    <w:name w:val="Intense Reference"/>
    <w:basedOn w:val="DefaultParagraphFont"/>
    <w:uiPriority w:val="32"/>
    <w:qFormat/>
    <w:rsid w:val="00110B2D"/>
    <w:rPr>
      <w:b/>
      <w:bCs/>
      <w:smallCaps/>
      <w:color w:val="0F4761" w:themeColor="accent1" w:themeShade="BF"/>
      <w:spacing w:val="5"/>
    </w:rPr>
  </w:style>
  <w:style w:type="paragraph" w:styleId="BodyText">
    <w:name w:val="Body Text"/>
    <w:basedOn w:val="Normal"/>
    <w:link w:val="BodyTextChar"/>
    <w:rsid w:val="00110B2D"/>
    <w:rPr>
      <w:rFonts w:cs="Times New Roman"/>
      <w:sz w:val="20"/>
      <w:szCs w:val="28"/>
      <w:lang w:val="x-none"/>
    </w:rPr>
  </w:style>
  <w:style w:type="character" w:customStyle="1" w:styleId="BodyTextChar">
    <w:name w:val="Body Text Char"/>
    <w:basedOn w:val="DefaultParagraphFont"/>
    <w:link w:val="BodyText"/>
    <w:rsid w:val="00110B2D"/>
    <w:rPr>
      <w:rFonts w:ascii="Times New Roman" w:eastAsia="Times New Roman" w:hAnsi="Times New Roman" w:cs="Times New Roman"/>
      <w:kern w:val="0"/>
      <w:sz w:val="20"/>
      <w:szCs w:val="28"/>
      <w:lang w:val="x-none" w:eastAsia="he-IL"/>
      <w14:ligatures w14:val="none"/>
    </w:rPr>
  </w:style>
  <w:style w:type="paragraph" w:styleId="Header">
    <w:name w:val="header"/>
    <w:basedOn w:val="Normal"/>
    <w:link w:val="HeaderChar"/>
    <w:uiPriority w:val="99"/>
    <w:unhideWhenUsed/>
    <w:rsid w:val="00110B2D"/>
    <w:pPr>
      <w:tabs>
        <w:tab w:val="center" w:pos="4153"/>
        <w:tab w:val="right" w:pos="8306"/>
      </w:tabs>
    </w:pPr>
  </w:style>
  <w:style w:type="character" w:customStyle="1" w:styleId="HeaderChar">
    <w:name w:val="Header Char"/>
    <w:basedOn w:val="DefaultParagraphFont"/>
    <w:link w:val="Header"/>
    <w:uiPriority w:val="99"/>
    <w:rsid w:val="00110B2D"/>
    <w:rPr>
      <w:rFonts w:ascii="Times New Roman" w:eastAsia="Times New Roman" w:hAnsi="Times New Roman" w:cs="David"/>
      <w:kern w:val="0"/>
      <w:sz w:val="18"/>
      <w:szCs w:val="26"/>
      <w:lang w:eastAsia="he-IL"/>
      <w14:ligatures w14:val="none"/>
    </w:rPr>
  </w:style>
  <w:style w:type="paragraph" w:styleId="Footer">
    <w:name w:val="footer"/>
    <w:basedOn w:val="Normal"/>
    <w:link w:val="FooterChar"/>
    <w:uiPriority w:val="99"/>
    <w:unhideWhenUsed/>
    <w:rsid w:val="007B0B2D"/>
    <w:pPr>
      <w:tabs>
        <w:tab w:val="center" w:pos="4153"/>
        <w:tab w:val="right" w:pos="8306"/>
      </w:tabs>
    </w:pPr>
  </w:style>
  <w:style w:type="character" w:customStyle="1" w:styleId="FooterChar">
    <w:name w:val="Footer Char"/>
    <w:basedOn w:val="DefaultParagraphFont"/>
    <w:link w:val="Footer"/>
    <w:uiPriority w:val="99"/>
    <w:rsid w:val="007B0B2D"/>
    <w:rPr>
      <w:rFonts w:ascii="Times New Roman" w:eastAsia="Times New Roman" w:hAnsi="Times New Roman" w:cs="David"/>
      <w:kern w:val="0"/>
      <w:sz w:val="18"/>
      <w:szCs w:val="26"/>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meLastClassified xmlns="58dd6d54-1ec8-4207-9e1a-cd461fb17958" xsi:nil="true"/>
    <UpdatePath xmlns="58dd6d54-1ec8-4207-9e1a-cd461fb17958">false</UpdatePath>
    <Fundamental xmlns="58dd6d54-1ec8-4207-9e1a-cd461fb17958">false</Fundamental>
    <Summarize xmlns="58dd6d54-1ec8-4207-9e1a-cd461fb17958">המסמך מציג את צו מס' 2235, שהוא תיקון מס' 89 לצו בדבר הוראות ביטחון ביהודה ושומרון. התיקון נחתם על ידי מפקד כוחות צה"ל באזור ונועד לשמור על שלום הציבור, הסדר הציבורי וביטחון האזור. התיקון נכנס לתוקף בשנת התשפ"ה-2025. המסמך לא מפרט אילו סעיפים ספציפיים מתוקנים.</Summarize>
    <Rerun xmlns="58dd6d54-1ec8-4207-9e1a-cd461fb17958">false</Rerun>
    <LastUpdated xmlns="58dd6d54-1ec8-4207-9e1a-cd461fb17958" xsi:nil="true"/>
    <_dlc_DocIdPersistId xmlns="58dd6d54-1ec8-4207-9e1a-cd461fb17958" xsi:nil="true"/>
    <Tags xmlns="58dd6d54-1ec8-4207-9e1a-cd461fb17958" xsi:nil="true"/>
    <DocType xmlns="58dd6d54-1ec8-4207-9e1a-cd461fb17958">חקיקה</DocType>
    <PrimeClassificationStatusDetails xmlns="58dd6d54-1ec8-4207-9e1a-cd461fb17958" xsi:nil="true"/>
    <_dlc_DocId xmlns="58dd6d54-1ec8-4207-9e1a-cd461fb17958">AYOSHC-956532929-502512</_dlc_DocId>
    <PrimeCorrectedByUser xmlns="58dd6d54-1ec8-4207-9e1a-cd461fb17958" xsi:nil="true"/>
    <FileStatus xmlns="58dd6d54-1ec8-4207-9e1a-cd461fb17958">עבר לקוד</FileStatus>
    <Reliable xmlns="58dd6d54-1ec8-4207-9e1a-cd461fb17958">false</Reliable>
    <_dlc_DocIdUrl xmlns="58dd6d54-1ec8-4207-9e1a-cd461fb17958">
      <Url>https://tikshuv.sharepoint.com/sites/msteams_e0b4e8/_layouts/15/DocIdRedir.aspx?ID=AYOSHC-956532929-502512</Url>
      <Description>AYOSHC-956532929-502512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IMetadata" ma:contentTypeID="0x0101008BE7302953953D47887EF54AB108BDC6006A2CF32F58ACC5479D8A403F196F9627" ma:contentTypeVersion="15" ma:contentTypeDescription="" ma:contentTypeScope="" ma:versionID="8f74a20982f078c6e1142f8d0912e0ce">
  <xsd:schema xmlns:xsd="http://www.w3.org/2001/XMLSchema" xmlns:xs="http://www.w3.org/2001/XMLSchema" xmlns:p="http://schemas.microsoft.com/office/2006/metadata/properties" xmlns:ns2="58dd6d54-1ec8-4207-9e1a-cd461fb17958" xmlns:ns3="2b14b52c-9172-4749-a385-5d23bc96e1a1" targetNamespace="http://schemas.microsoft.com/office/2006/metadata/properties" ma:root="true" ma:fieldsID="5af27b18fc0bd720b47f0468898c606b" ns2:_="" ns3:_="">
    <xsd:import namespace="58dd6d54-1ec8-4207-9e1a-cd461fb17958"/>
    <xsd:import namespace="2b14b52c-9172-4749-a385-5d23bc96e1a1"/>
    <xsd:element name="properties">
      <xsd:complexType>
        <xsd:sequence>
          <xsd:element name="documentManagement">
            <xsd:complexType>
              <xsd:all>
                <xsd:element ref="ns2:Tags" minOccurs="0"/>
                <xsd:element ref="ns2:DocType" minOccurs="0"/>
                <xsd:element ref="ns2:Summarize" minOccurs="0"/>
                <xsd:element ref="ns2:Fundamental" minOccurs="0"/>
                <xsd:element ref="ns2:Reliable" minOccurs="0"/>
                <xsd:element ref="ns2:Rerun" minOccurs="0"/>
                <xsd:element ref="ns2:_dlc_DocIdUrl" minOccurs="0"/>
                <xsd:element ref="ns2:LastUpdated" minOccurs="0"/>
                <xsd:element ref="ns2:_dlc_DocIdPersistId" minOccurs="0"/>
                <xsd:element ref="ns2:_dlc_DocId" minOccurs="0"/>
                <xsd:element ref="ns3:MediaServiceBillingMetadata" minOccurs="0"/>
                <xsd:element ref="ns2:UpdatePath" minOccurs="0"/>
                <xsd:element ref="ns2:PrimeClassificationStatusDetails" minOccurs="0"/>
                <xsd:element ref="ns2:PrimeLastClassified" minOccurs="0"/>
                <xsd:element ref="ns2:PrimeCorrectedByUser" minOccurs="0"/>
                <xsd:element ref="ns2:Fil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d6d54-1ec8-4207-9e1a-cd461fb17958" elementFormDefault="qualified">
    <xsd:import namespace="http://schemas.microsoft.com/office/2006/documentManagement/types"/>
    <xsd:import namespace="http://schemas.microsoft.com/office/infopath/2007/PartnerControls"/>
    <xsd:element name="Tags" ma:index="2" nillable="true" ma:displayName="תגיות" ma:description="עמודה לתיוגים" ma:format="Dropdown" ma:list="1f62fd0b-7b63-486b-b591-65d983537d24" ma:internalName="Tag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Type" ma:index="3" nillable="true" ma:displayName="סוג מסמך" ma:format="Dropdown" ma:internalName="DocType" ma:readOnly="false">
      <xsd:simpleType>
        <xsd:restriction base="dms:Text">
          <xsd:maxLength value="255"/>
        </xsd:restriction>
      </xsd:simpleType>
    </xsd:element>
    <xsd:element name="Summarize" ma:index="4" nillable="true" ma:displayName="סיכום" ma:format="Dropdown" ma:internalName="Summarize" ma:readOnly="false">
      <xsd:simpleType>
        <xsd:restriction base="dms:Note"/>
      </xsd:simpleType>
    </xsd:element>
    <xsd:element name="Fundamental" ma:index="5" nillable="true" ma:displayName="עקרוני" ma:default="0" ma:format="Dropdown" ma:indexed="true" ma:internalName="Fundamental">
      <xsd:simpleType>
        <xsd:restriction base="dms:Boolean"/>
      </xsd:simpleType>
    </xsd:element>
    <xsd:element name="Reliable" ma:index="6" nillable="true" ma:displayName="מהימן" ma:default="0" ma:format="Dropdown" ma:indexed="true" ma:internalName="Reliable">
      <xsd:simpleType>
        <xsd:restriction base="dms:Boolean"/>
      </xsd:simpleType>
    </xsd:element>
    <xsd:element name="Rerun" ma:index="7" nillable="true" ma:displayName="סכם מחדש" ma:default="0" ma:format="Dropdown" ma:internalName="Rerun" ma:readOnly="false">
      <xsd:simpleType>
        <xsd:restriction base="dms:Boolean"/>
      </xsd:simpleType>
    </xsd:element>
    <xsd:element name="_dlc_DocIdUrl" ma:index="8" nillable="true" ma:displayName="מזהה מסמך" ma:description="קישור קבוע למסמך זה."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astUpdated" ma:index="9" nillable="true" ma:displayName="חשוב! לא לגעת!" ma:format="Dropdown" ma:internalName="LastUpdated" ma:readOnly="false">
      <xsd:simpleType>
        <xsd:restriction base="dms:Text">
          <xsd:maxLength value="255"/>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_dlc_DocId" ma:index="17" nillable="true" ma:displayName="ערך של מזהה מסמך" ma:description="הערך של מזהה המסמך שהוקצה לפריט זה." ma:hidden="true" ma:indexed="true" ma:internalName="_dlc_DocId" ma:readOnly="false">
      <xsd:simpleType>
        <xsd:restriction base="dms:Text"/>
      </xsd:simpleType>
    </xsd:element>
    <xsd:element name="UpdatePath" ma:index="19" nillable="true" ma:displayName="UpdatePath" ma:default="0" ma:description="updating the file path in the index in case it was changed" ma:internalName="UpdatePath">
      <xsd:simpleType>
        <xsd:restriction base="dms:Boolean"/>
      </xsd:simpleType>
    </xsd:element>
    <xsd:element name="PrimeClassificationStatusDetails" ma:index="20" nillable="true" ma:displayName="מעבד פרטים" ma:internalName="PrimeClassificationStatusDetails">
      <xsd:simpleType>
        <xsd:restriction base="dms:Note">
          <xsd:maxLength value="255"/>
        </xsd:restriction>
      </xsd:simpleType>
    </xsd:element>
    <xsd:element name="PrimeLastClassified" ma:index="21" nillable="true" ma:displayName="מעובד" ma:internalName="PrimeLastClassified">
      <xsd:simpleType>
        <xsd:restriction base="dms:DateTime"/>
      </xsd:simpleType>
    </xsd:element>
    <xsd:element name="PrimeCorrectedByUser" ma:index="22" nillable="true" ma:displayName="תוקן" ma:internalName="PrimeCorrectedByUser">
      <xsd:simpleType>
        <xsd:restriction base="dms:Boolean"/>
      </xsd:simpleType>
    </xsd:element>
    <xsd:element name="FileStatus" ma:index="23" nillable="true" ma:displayName="FileStatus" ma:format="Dropdown" ma:internalName="FileStatus">
      <xsd:simpleType>
        <xsd:restriction base="dms:Choice">
          <xsd:enumeration value="קובץ לא נתמך"/>
          <xsd:enumeration value="קובץ גדול מדי"/>
          <xsd:enumeration value="עבר לקוד"/>
        </xsd:restriction>
      </xsd:simpleType>
    </xsd:element>
  </xsd:schema>
  <xsd:schema xmlns:xsd="http://www.w3.org/2001/XMLSchema" xmlns:xs="http://www.w3.org/2001/XMLSchema" xmlns:dms="http://schemas.microsoft.com/office/2006/documentManagement/types" xmlns:pc="http://schemas.microsoft.com/office/infopath/2007/PartnerControls" targetNamespace="2b14b52c-9172-4749-a385-5d23bc96e1a1" elementFormDefault="qualified">
    <xsd:import namespace="http://schemas.microsoft.com/office/2006/documentManagement/types"/>
    <xsd:import namespace="http://schemas.microsoft.com/office/infopath/2007/PartnerControls"/>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EE64DB-8301-4E2C-85C1-2FEF03DDD0B6}">
  <ds:schemaRefs>
    <ds:schemaRef ds:uri="http://schemas.microsoft.com/sharepoint/v3/contenttype/forms"/>
  </ds:schemaRefs>
</ds:datastoreItem>
</file>

<file path=customXml/itemProps2.xml><?xml version="1.0" encoding="utf-8"?>
<ds:datastoreItem xmlns:ds="http://schemas.openxmlformats.org/officeDocument/2006/customXml" ds:itemID="{CF7CD93E-03FD-4E26-92CE-C1571D673A2E}">
  <ds:schemaRefs>
    <ds:schemaRef ds:uri="http://schemas.microsoft.com/office/2006/metadata/properties"/>
    <ds:schemaRef ds:uri="http://schemas.microsoft.com/office/infopath/2007/PartnerControls"/>
    <ds:schemaRef ds:uri="58dd6d54-1ec8-4207-9e1a-cd461fb17958"/>
  </ds:schemaRefs>
</ds:datastoreItem>
</file>

<file path=customXml/itemProps3.xml><?xml version="1.0" encoding="utf-8"?>
<ds:datastoreItem xmlns:ds="http://schemas.openxmlformats.org/officeDocument/2006/customXml" ds:itemID="{91B9B221-8530-437D-8A13-56DDEEE67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dd6d54-1ec8-4207-9e1a-cd461fb17958"/>
    <ds:schemaRef ds:uri="2b14b52c-9172-4749-a385-5d23bc96e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699D7-9939-4B0D-A69B-F9C2B6947C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123</Words>
  <Characters>703</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אראל פריש</dc:creator>
  <cp:keywords/>
  <dc:description/>
  <cp:lastModifiedBy>נדב פסטר בכר</cp:lastModifiedBy>
  <cp:revision>3</cp:revision>
  <dcterms:created xsi:type="dcterms:W3CDTF">2025-10-09T21:58:00Z</dcterms:created>
  <dcterms:modified xsi:type="dcterms:W3CDTF">2025-10-19T06:32:00Z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31e09be6,32f4c1f1,14e58095</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2025-06-18T12:04:17Z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43526bd9-5d6f-4bf5-91f7-1d41a9510959</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y fmtid="{D5CDD505-2E9C-101B-9397-08002B2CF9AE}" pid="13" name="ContentTypeId">
    <vt:lpwstr>0x0101008BE7302953953D47887EF54AB108BDC6006A2CF32F58ACC5479D8A403F196F9627</vt:lpwstr>
  </property>
  <property fmtid="{D5CDD505-2E9C-101B-9397-08002B2CF9AE}" pid="14" name="_dlc_DocIdItemGuid">
    <vt:lpwstr>3f97f98a-411f-4620-a23c-948409f54696</vt:lpwstr>
  </property>
</Properties>
</file>