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International Relations - Axis of Resistance</w:t>
      </w:r>
    </w:p>
    <w:p w:rsidR="00000000" w:rsidDel="00000000" w:rsidP="00000000" w:rsidRDefault="00000000" w:rsidRPr="00000000" w14:paraId="00000002">
      <w:pPr>
        <w:spacing w:after="240" w:before="240" w:lineRule="auto"/>
        <w:rPr/>
      </w:pPr>
      <w:r w:rsidDel="00000000" w:rsidR="00000000" w:rsidRPr="00000000">
        <w:rPr>
          <w:b w:val="1"/>
          <w:rtl w:val="0"/>
        </w:rPr>
        <w:t xml:space="preserve">Axis of Resistance:</w:t>
        <w:br w:type="textWrapping"/>
      </w:r>
      <w:r w:rsidDel="00000000" w:rsidR="00000000" w:rsidRPr="00000000">
        <w:rPr>
          <w:rtl w:val="0"/>
        </w:rPr>
        <w:t xml:space="preserve">The movement’s leadership has worked on repairing relations with the Islamic Republic of Iran and Hezbollah, as these relations bring multiple benefits to the movement. The relationship has had an impact on various political, military, financial, and media levels in its current phase.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Fundamentals of the Relationship with the Axis:</w:t>
      </w:r>
    </w:p>
    <w:p w:rsidR="00000000" w:rsidDel="00000000" w:rsidP="00000000" w:rsidRDefault="00000000" w:rsidRPr="00000000" w14:paraId="00000004">
      <w:pPr>
        <w:numPr>
          <w:ilvl w:val="0"/>
          <w:numId w:val="5"/>
        </w:numPr>
        <w:spacing w:after="0" w:afterAutospacing="0" w:before="240" w:lineRule="auto"/>
        <w:ind w:left="720" w:hanging="360"/>
      </w:pPr>
      <w:r w:rsidDel="00000000" w:rsidR="00000000" w:rsidRPr="00000000">
        <w:rPr>
          <w:rtl w:val="0"/>
        </w:rPr>
        <w:t xml:space="preserve">The movement’s relationship with the axis, led by Iran, is based on strategic interests for the liberation project.</w:t>
        <w:br w:type="textWrapping"/>
      </w:r>
    </w:p>
    <w:p w:rsidR="00000000" w:rsidDel="00000000" w:rsidP="00000000" w:rsidRDefault="00000000" w:rsidRPr="00000000" w14:paraId="00000005">
      <w:pPr>
        <w:numPr>
          <w:ilvl w:val="0"/>
          <w:numId w:val="5"/>
        </w:numPr>
        <w:spacing w:after="0" w:afterAutospacing="0" w:before="0" w:beforeAutospacing="0" w:lineRule="auto"/>
        <w:ind w:left="720" w:hanging="360"/>
        <w:rPr>
          <w:highlight w:val="yellow"/>
        </w:rPr>
      </w:pPr>
      <w:r w:rsidDel="00000000" w:rsidR="00000000" w:rsidRPr="00000000">
        <w:rPr>
          <w:highlight w:val="yellow"/>
          <w:rtl w:val="0"/>
        </w:rPr>
        <w:t xml:space="preserve">Iran’s and the axis’s political stance aligns with the movement’s policy of rejecting recognition of Israel and calling for its removal from the global map, as well as rejecting peaceful solutions, including the two-state solution.</w:t>
        <w:br w:type="textWrapping"/>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rtl w:val="0"/>
        </w:rPr>
        <w:t xml:space="preserve">Iran’s regional weight in the area is a point of strength for Palestine and its resistance. Iran supports Hezbollah in Lebanon, which creates a continuous threat and drain on the enemy on the northern front. Additionally, its ongoing activities in building a front in the Golan support the resistance in Palestine.</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rtl w:val="0"/>
        </w:rPr>
        <w:t xml:space="preserve">Iran enjoys good relations with many international actors, which helps avoid the movement being classified as a terrorist group in international forums.</w:t>
        <w:br w:type="textWrapping"/>
      </w:r>
    </w:p>
    <w:p w:rsidR="00000000" w:rsidDel="00000000" w:rsidP="00000000" w:rsidRDefault="00000000" w:rsidRPr="00000000" w14:paraId="00000008">
      <w:pPr>
        <w:numPr>
          <w:ilvl w:val="0"/>
          <w:numId w:val="5"/>
        </w:numPr>
        <w:spacing w:after="240" w:before="0" w:beforeAutospacing="0" w:lineRule="auto"/>
        <w:ind w:left="720" w:hanging="360"/>
      </w:pPr>
      <w:r w:rsidDel="00000000" w:rsidR="00000000" w:rsidRPr="00000000">
        <w:rPr>
          <w:rtl w:val="0"/>
        </w:rPr>
        <w:t xml:space="preserve">Iran’s regional weight and that of the axis contribute to creating supply lines for the resistance.</w:t>
        <w:br w:type="textWrapping"/>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Achievements of the Relationship with Iran and the Axis: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Politically:</w:t>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rtl w:val="0"/>
        </w:rPr>
        <w:t xml:space="preserve">Support for the Return Marches.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Standing against the Deal of the Century, American schemes, and supporting the Palestinian position.</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Contributing to the fight against normalization with the Israeli enemy.</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Opening political horizons for the movement in terms of Arab and regional relations.</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rtl w:val="0"/>
        </w:rPr>
        <w:t xml:space="preserve">Standing by the movement and supporting it during escalations with the enemy and adopting its vision to break the siege on the Gaza Strip.</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Militarily:</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Significant contribution to the financial balance of the Izz ad-Din al-Qassam Brigades through monetary support.</w:t>
      </w:r>
    </w:p>
    <w:p w:rsidR="00000000" w:rsidDel="00000000" w:rsidP="00000000" w:rsidRDefault="00000000" w:rsidRPr="00000000" w14:paraId="00000012">
      <w:pPr>
        <w:numPr>
          <w:ilvl w:val="0"/>
          <w:numId w:val="4"/>
        </w:numPr>
        <w:spacing w:after="240" w:before="0" w:beforeAutospacing="0" w:lineRule="auto"/>
        <w:ind w:left="720" w:hanging="360"/>
      </w:pPr>
      <w:r w:rsidDel="00000000" w:rsidR="00000000" w:rsidRPr="00000000">
        <w:rPr>
          <w:rtl w:val="0"/>
        </w:rPr>
        <w:t xml:space="preserve">Adopting developmental projects that contribute to enhancing the defensive and offensive capabilities of the al-Qassam Brigades.</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Financially:</w:t>
      </w:r>
    </w:p>
    <w:p w:rsidR="00000000" w:rsidDel="00000000" w:rsidP="00000000" w:rsidRDefault="00000000" w:rsidRPr="00000000" w14:paraId="00000014">
      <w:pPr>
        <w:numPr>
          <w:ilvl w:val="0"/>
          <w:numId w:val="2"/>
        </w:numPr>
        <w:spacing w:after="240" w:before="240" w:lineRule="auto"/>
        <w:ind w:left="720" w:hanging="360"/>
        <w:rPr/>
      </w:pPr>
      <w:r w:rsidDel="00000000" w:rsidR="00000000" w:rsidRPr="00000000">
        <w:rPr>
          <w:rtl w:val="0"/>
        </w:rPr>
        <w:t xml:space="preserve">Providing financial support to the movement, which helped alleviate the severe financial crisis the movement was going through.</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Socially:</w:t>
      </w:r>
    </w:p>
    <w:p w:rsidR="00000000" w:rsidDel="00000000" w:rsidP="00000000" w:rsidRDefault="00000000" w:rsidRPr="00000000" w14:paraId="00000016">
      <w:pPr>
        <w:numPr>
          <w:ilvl w:val="0"/>
          <w:numId w:val="1"/>
        </w:numPr>
        <w:spacing w:after="0" w:afterAutospacing="0" w:before="240" w:lineRule="auto"/>
        <w:ind w:left="720" w:hanging="360"/>
        <w:rPr/>
      </w:pPr>
      <w:r w:rsidDel="00000000" w:rsidR="00000000" w:rsidRPr="00000000">
        <w:rPr>
          <w:rtl w:val="0"/>
        </w:rPr>
        <w:t xml:space="preserve">Allocating funds to support the families of martyrs of the Return Marches and providing them with regular allowances.</w:t>
      </w:r>
    </w:p>
    <w:p w:rsidR="00000000" w:rsidDel="00000000" w:rsidP="00000000" w:rsidRDefault="00000000" w:rsidRPr="00000000" w14:paraId="00000017">
      <w:pPr>
        <w:numPr>
          <w:ilvl w:val="0"/>
          <w:numId w:val="1"/>
        </w:numPr>
        <w:spacing w:after="0" w:afterAutospacing="0" w:before="0" w:beforeAutospacing="0" w:lineRule="auto"/>
        <w:ind w:left="720" w:hanging="360"/>
        <w:rPr/>
      </w:pPr>
      <w:r w:rsidDel="00000000" w:rsidR="00000000" w:rsidRPr="00000000">
        <w:rPr>
          <w:rtl w:val="0"/>
        </w:rPr>
        <w:t xml:space="preserve">Providing a financial grant of half a million dollars to the families of martyrs whose salaries have been cut.</w:t>
      </w:r>
    </w:p>
    <w:p w:rsidR="00000000" w:rsidDel="00000000" w:rsidP="00000000" w:rsidRDefault="00000000" w:rsidRPr="00000000" w14:paraId="00000018">
      <w:pPr>
        <w:numPr>
          <w:ilvl w:val="0"/>
          <w:numId w:val="1"/>
        </w:numPr>
        <w:spacing w:after="240" w:before="0" w:beforeAutospacing="0" w:lineRule="auto"/>
        <w:ind w:left="720" w:hanging="360"/>
        <w:rPr/>
      </w:pPr>
      <w:r w:rsidDel="00000000" w:rsidR="00000000" w:rsidRPr="00000000">
        <w:rPr>
          <w:rtl w:val="0"/>
        </w:rPr>
        <w:t xml:space="preserve">Providing a financial grant of 120 thousand dollars to the injured from the Return Marches.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Media:</w:t>
      </w:r>
    </w:p>
    <w:p w:rsidR="00000000" w:rsidDel="00000000" w:rsidP="00000000" w:rsidRDefault="00000000" w:rsidRPr="00000000" w14:paraId="0000001A">
      <w:pPr>
        <w:numPr>
          <w:ilvl w:val="0"/>
          <w:numId w:val="6"/>
        </w:numPr>
        <w:spacing w:after="0" w:afterAutospacing="0" w:before="240" w:lineRule="auto"/>
        <w:ind w:left="720" w:hanging="360"/>
        <w:rPr/>
      </w:pPr>
      <w:r w:rsidDel="00000000" w:rsidR="00000000" w:rsidRPr="00000000">
        <w:rPr>
          <w:rtl w:val="0"/>
        </w:rPr>
        <w:t xml:space="preserve">Extensive media coverage through satellite, electronic media, and new media outlets of the Return Marches.</w:t>
      </w:r>
    </w:p>
    <w:p w:rsidR="00000000" w:rsidDel="00000000" w:rsidP="00000000" w:rsidRDefault="00000000" w:rsidRPr="00000000" w14:paraId="0000001B">
      <w:pPr>
        <w:numPr>
          <w:ilvl w:val="0"/>
          <w:numId w:val="6"/>
        </w:numPr>
        <w:spacing w:after="0" w:afterAutospacing="0" w:before="0" w:beforeAutospacing="0" w:lineRule="auto"/>
        <w:ind w:left="720" w:hanging="360"/>
        <w:rPr/>
      </w:pPr>
      <w:r w:rsidDel="00000000" w:rsidR="00000000" w:rsidRPr="00000000">
        <w:rPr>
          <w:rtl w:val="0"/>
        </w:rPr>
        <w:t xml:space="preserve">Organizing joint media activities between the movement and resistance forces in Palestine, Iran, and the axis, most notably the anti-normalization campaign titled “Normalization is Treason,” and the “Labayk Ya Aqsa” campaign.</w:t>
      </w:r>
    </w:p>
    <w:p w:rsidR="00000000" w:rsidDel="00000000" w:rsidP="00000000" w:rsidRDefault="00000000" w:rsidRPr="00000000" w14:paraId="0000001C">
      <w:pPr>
        <w:numPr>
          <w:ilvl w:val="0"/>
          <w:numId w:val="6"/>
        </w:numPr>
        <w:spacing w:after="0" w:afterAutospacing="0" w:before="0" w:beforeAutospacing="0" w:lineRule="auto"/>
        <w:ind w:left="720" w:hanging="360"/>
        <w:rPr/>
      </w:pPr>
      <w:r w:rsidDel="00000000" w:rsidR="00000000" w:rsidRPr="00000000">
        <w:rPr>
          <w:rtl w:val="0"/>
        </w:rPr>
        <w:t xml:space="preserve">Strengthening the presence of Palestinian resistance in the Arab sphere by presenting it in a dignified manner in the media of the axis.</w:t>
      </w:r>
    </w:p>
    <w:p w:rsidR="00000000" w:rsidDel="00000000" w:rsidP="00000000" w:rsidRDefault="00000000" w:rsidRPr="00000000" w14:paraId="0000001D">
      <w:pPr>
        <w:numPr>
          <w:ilvl w:val="0"/>
          <w:numId w:val="6"/>
        </w:numPr>
        <w:spacing w:after="240" w:before="0" w:beforeAutospacing="0" w:lineRule="auto"/>
        <w:ind w:left="720" w:hanging="360"/>
        <w:rPr/>
      </w:pPr>
      <w:r w:rsidDel="00000000" w:rsidR="00000000" w:rsidRPr="00000000">
        <w:rPr>
          <w:rtl w:val="0"/>
        </w:rPr>
        <w:t xml:space="preserve">Supporting Al-Aqsa TV after it was targeted by the Israeli enemy.</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