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82A7" w14:textId="77777777" w:rsidR="00A867E7" w:rsidRDefault="00383682" w:rsidP="00E5228F">
      <w:pPr>
        <w:spacing w:line="360" w:lineRule="auto"/>
        <w:jc w:val="center"/>
        <w:rPr>
          <w:rFonts w:cs="David"/>
          <w:b/>
          <w:bCs/>
          <w:sz w:val="28"/>
          <w:szCs w:val="28"/>
          <w:u w:val="single"/>
          <w:rtl/>
        </w:rPr>
      </w:pPr>
      <w:r>
        <w:rPr>
          <w:rFonts w:cs="David" w:hint="cs"/>
          <w:b/>
          <w:bCs/>
          <w:sz w:val="28"/>
          <w:szCs w:val="28"/>
          <w:u w:val="single"/>
          <w:rtl/>
        </w:rPr>
        <w:t>בבית הדין הצבאי לערעורים</w:t>
      </w:r>
    </w:p>
    <w:p w14:paraId="0F66FD83" w14:textId="77777777" w:rsidR="00383682" w:rsidRPr="00383682" w:rsidRDefault="00383682" w:rsidP="00383682">
      <w:pPr>
        <w:spacing w:line="360" w:lineRule="auto"/>
        <w:rPr>
          <w:rFonts w:cs="David"/>
          <w:sz w:val="28"/>
          <w:szCs w:val="28"/>
          <w:rtl/>
        </w:rPr>
      </w:pPr>
      <w:r w:rsidRPr="00383682">
        <w:rPr>
          <w:rFonts w:cs="David" w:hint="cs"/>
          <w:sz w:val="28"/>
          <w:szCs w:val="28"/>
          <w:rtl/>
        </w:rPr>
        <w:t>בפני:</w:t>
      </w:r>
    </w:p>
    <w:p w14:paraId="7D1850F2" w14:textId="77777777" w:rsidR="00383682" w:rsidRPr="00383682" w:rsidRDefault="00383682" w:rsidP="00D40353">
      <w:pPr>
        <w:spacing w:line="480" w:lineRule="auto"/>
        <w:rPr>
          <w:rFonts w:cs="David"/>
          <w:b/>
          <w:bCs/>
          <w:sz w:val="28"/>
          <w:szCs w:val="28"/>
          <w:rtl/>
        </w:rPr>
      </w:pPr>
      <w:r>
        <w:rPr>
          <w:rFonts w:cs="David" w:hint="cs"/>
          <w:b/>
          <w:bCs/>
          <w:sz w:val="28"/>
          <w:szCs w:val="28"/>
          <w:rtl/>
        </w:rPr>
        <w:t xml:space="preserve">                                         </w:t>
      </w:r>
      <w:r w:rsidRPr="00383682">
        <w:rPr>
          <w:rFonts w:cs="David" w:hint="cs"/>
          <w:b/>
          <w:bCs/>
          <w:sz w:val="28"/>
          <w:szCs w:val="28"/>
          <w:rtl/>
        </w:rPr>
        <w:t xml:space="preserve">אלוף </w:t>
      </w:r>
      <w:r>
        <w:rPr>
          <w:rFonts w:cs="David" w:hint="cs"/>
          <w:b/>
          <w:bCs/>
          <w:sz w:val="28"/>
          <w:szCs w:val="28"/>
          <w:rtl/>
        </w:rPr>
        <w:t xml:space="preserve">    </w:t>
      </w:r>
      <w:r w:rsidRPr="00383682">
        <w:rPr>
          <w:rFonts w:cs="David" w:hint="cs"/>
          <w:b/>
          <w:bCs/>
          <w:sz w:val="28"/>
          <w:szCs w:val="28"/>
          <w:rtl/>
        </w:rPr>
        <w:t xml:space="preserve">דורון </w:t>
      </w:r>
      <w:r>
        <w:rPr>
          <w:rFonts w:cs="David" w:hint="cs"/>
          <w:b/>
          <w:bCs/>
          <w:sz w:val="28"/>
          <w:szCs w:val="28"/>
          <w:rtl/>
        </w:rPr>
        <w:t xml:space="preserve">  </w:t>
      </w:r>
      <w:r w:rsidRPr="00383682">
        <w:rPr>
          <w:rFonts w:cs="David" w:hint="cs"/>
          <w:b/>
          <w:bCs/>
          <w:sz w:val="28"/>
          <w:szCs w:val="28"/>
          <w:rtl/>
        </w:rPr>
        <w:t xml:space="preserve">פיילס </w:t>
      </w:r>
      <w:r>
        <w:rPr>
          <w:rFonts w:cs="David" w:hint="cs"/>
          <w:b/>
          <w:bCs/>
          <w:sz w:val="28"/>
          <w:szCs w:val="28"/>
          <w:rtl/>
        </w:rPr>
        <w:t xml:space="preserve">  -</w:t>
      </w:r>
      <w:r w:rsidRPr="00383682">
        <w:rPr>
          <w:rFonts w:cs="David" w:hint="cs"/>
          <w:b/>
          <w:bCs/>
          <w:sz w:val="28"/>
          <w:szCs w:val="28"/>
          <w:rtl/>
        </w:rPr>
        <w:t xml:space="preserve"> </w:t>
      </w:r>
      <w:r>
        <w:rPr>
          <w:rFonts w:cs="David" w:hint="cs"/>
          <w:b/>
          <w:bCs/>
          <w:sz w:val="28"/>
          <w:szCs w:val="28"/>
          <w:rtl/>
        </w:rPr>
        <w:t xml:space="preserve">    </w:t>
      </w:r>
      <w:r w:rsidRPr="00383682">
        <w:rPr>
          <w:rFonts w:cs="David" w:hint="cs"/>
          <w:sz w:val="28"/>
          <w:szCs w:val="28"/>
          <w:rtl/>
        </w:rPr>
        <w:t>הנשיא</w:t>
      </w:r>
    </w:p>
    <w:p w14:paraId="28E64342" w14:textId="77777777" w:rsidR="00383682" w:rsidRPr="00383682" w:rsidRDefault="00383682" w:rsidP="00D40353">
      <w:pPr>
        <w:spacing w:line="480" w:lineRule="auto"/>
        <w:ind w:left="720"/>
        <w:jc w:val="center"/>
        <w:rPr>
          <w:rFonts w:cs="David"/>
          <w:sz w:val="28"/>
          <w:szCs w:val="28"/>
          <w:rtl/>
        </w:rPr>
      </w:pPr>
      <w:r>
        <w:rPr>
          <w:rFonts w:cs="David" w:hint="cs"/>
          <w:b/>
          <w:bCs/>
          <w:sz w:val="28"/>
          <w:szCs w:val="28"/>
          <w:rtl/>
        </w:rPr>
        <w:t xml:space="preserve">   </w:t>
      </w:r>
      <w:r w:rsidRPr="00383682">
        <w:rPr>
          <w:rFonts w:cs="David" w:hint="cs"/>
          <w:b/>
          <w:bCs/>
          <w:sz w:val="28"/>
          <w:szCs w:val="28"/>
          <w:rtl/>
        </w:rPr>
        <w:t xml:space="preserve">תא"ל </w:t>
      </w:r>
      <w:r>
        <w:rPr>
          <w:rFonts w:cs="David" w:hint="cs"/>
          <w:b/>
          <w:bCs/>
          <w:sz w:val="28"/>
          <w:szCs w:val="28"/>
          <w:rtl/>
        </w:rPr>
        <w:t xml:space="preserve"> </w:t>
      </w:r>
      <w:r w:rsidRPr="00383682">
        <w:rPr>
          <w:rFonts w:cs="David" w:hint="cs"/>
          <w:b/>
          <w:bCs/>
          <w:sz w:val="28"/>
          <w:szCs w:val="28"/>
          <w:rtl/>
        </w:rPr>
        <w:t xml:space="preserve">אורלי </w:t>
      </w:r>
      <w:r>
        <w:rPr>
          <w:rFonts w:cs="David" w:hint="cs"/>
          <w:b/>
          <w:bCs/>
          <w:sz w:val="28"/>
          <w:szCs w:val="28"/>
          <w:rtl/>
        </w:rPr>
        <w:t xml:space="preserve"> </w:t>
      </w:r>
      <w:r w:rsidRPr="00383682">
        <w:rPr>
          <w:rFonts w:cs="David" w:hint="cs"/>
          <w:b/>
          <w:bCs/>
          <w:sz w:val="28"/>
          <w:szCs w:val="28"/>
          <w:rtl/>
        </w:rPr>
        <w:t xml:space="preserve">מרקמן </w:t>
      </w:r>
      <w:r>
        <w:rPr>
          <w:rFonts w:cs="David" w:hint="cs"/>
          <w:b/>
          <w:bCs/>
          <w:sz w:val="28"/>
          <w:szCs w:val="28"/>
          <w:rtl/>
        </w:rPr>
        <w:t xml:space="preserve">  - </w:t>
      </w:r>
      <w:r w:rsidRPr="00383682">
        <w:rPr>
          <w:rFonts w:cs="David" w:hint="cs"/>
          <w:b/>
          <w:bCs/>
          <w:sz w:val="28"/>
          <w:szCs w:val="28"/>
          <w:rtl/>
        </w:rPr>
        <w:t xml:space="preserve"> </w:t>
      </w:r>
      <w:r>
        <w:rPr>
          <w:rFonts w:cs="David" w:hint="cs"/>
          <w:b/>
          <w:bCs/>
          <w:sz w:val="28"/>
          <w:szCs w:val="28"/>
          <w:rtl/>
        </w:rPr>
        <w:t xml:space="preserve">  </w:t>
      </w:r>
      <w:r w:rsidRPr="00383682">
        <w:rPr>
          <w:rFonts w:cs="David" w:hint="cs"/>
          <w:sz w:val="28"/>
          <w:szCs w:val="28"/>
          <w:rtl/>
        </w:rPr>
        <w:t>המשנה לנשיא</w:t>
      </w:r>
    </w:p>
    <w:p w14:paraId="24AF11D2" w14:textId="77777777" w:rsidR="00383682" w:rsidRPr="00383682" w:rsidRDefault="00383682" w:rsidP="00D40353">
      <w:pPr>
        <w:spacing w:line="480" w:lineRule="auto"/>
        <w:rPr>
          <w:rFonts w:cs="David"/>
          <w:sz w:val="28"/>
          <w:szCs w:val="28"/>
          <w:rtl/>
        </w:rPr>
      </w:pPr>
      <w:r>
        <w:rPr>
          <w:rFonts w:cs="David" w:hint="cs"/>
          <w:b/>
          <w:bCs/>
          <w:sz w:val="28"/>
          <w:szCs w:val="28"/>
          <w:rtl/>
        </w:rPr>
        <w:t xml:space="preserve">                                         </w:t>
      </w:r>
      <w:r w:rsidRPr="00383682">
        <w:rPr>
          <w:rFonts w:cs="David" w:hint="cs"/>
          <w:b/>
          <w:bCs/>
          <w:sz w:val="28"/>
          <w:szCs w:val="28"/>
          <w:rtl/>
        </w:rPr>
        <w:t>אל"ם</w:t>
      </w:r>
      <w:r>
        <w:rPr>
          <w:rFonts w:cs="David" w:hint="cs"/>
          <w:b/>
          <w:bCs/>
          <w:sz w:val="28"/>
          <w:szCs w:val="28"/>
          <w:rtl/>
        </w:rPr>
        <w:t xml:space="preserve">   </w:t>
      </w:r>
      <w:r w:rsidRPr="00383682">
        <w:rPr>
          <w:rFonts w:cs="David" w:hint="cs"/>
          <w:b/>
          <w:bCs/>
          <w:sz w:val="28"/>
          <w:szCs w:val="28"/>
          <w:rtl/>
        </w:rPr>
        <w:t xml:space="preserve">נועה </w:t>
      </w:r>
      <w:r>
        <w:rPr>
          <w:rFonts w:cs="David" w:hint="cs"/>
          <w:b/>
          <w:bCs/>
          <w:sz w:val="28"/>
          <w:szCs w:val="28"/>
          <w:rtl/>
        </w:rPr>
        <w:t xml:space="preserve">    </w:t>
      </w:r>
      <w:r w:rsidRPr="00383682">
        <w:rPr>
          <w:rFonts w:cs="David" w:hint="cs"/>
          <w:b/>
          <w:bCs/>
          <w:sz w:val="28"/>
          <w:szCs w:val="28"/>
          <w:rtl/>
        </w:rPr>
        <w:t>זומר</w:t>
      </w:r>
      <w:r>
        <w:rPr>
          <w:rFonts w:cs="David" w:hint="cs"/>
          <w:b/>
          <w:bCs/>
          <w:sz w:val="28"/>
          <w:szCs w:val="28"/>
          <w:rtl/>
        </w:rPr>
        <w:t xml:space="preserve">   </w:t>
      </w:r>
      <w:r w:rsidRPr="00383682">
        <w:rPr>
          <w:rFonts w:cs="David" w:hint="cs"/>
          <w:b/>
          <w:bCs/>
          <w:sz w:val="28"/>
          <w:szCs w:val="28"/>
          <w:rtl/>
        </w:rPr>
        <w:t xml:space="preserve"> </w:t>
      </w:r>
      <w:r>
        <w:rPr>
          <w:rFonts w:cs="David" w:hint="cs"/>
          <w:b/>
          <w:bCs/>
          <w:sz w:val="28"/>
          <w:szCs w:val="28"/>
          <w:rtl/>
        </w:rPr>
        <w:t>-</w:t>
      </w:r>
      <w:r w:rsidRPr="00383682">
        <w:rPr>
          <w:rFonts w:cs="David" w:hint="cs"/>
          <w:b/>
          <w:bCs/>
          <w:sz w:val="28"/>
          <w:szCs w:val="28"/>
          <w:rtl/>
        </w:rPr>
        <w:t xml:space="preserve"> </w:t>
      </w:r>
      <w:r>
        <w:rPr>
          <w:rFonts w:cs="David" w:hint="cs"/>
          <w:b/>
          <w:bCs/>
          <w:sz w:val="28"/>
          <w:szCs w:val="28"/>
          <w:rtl/>
        </w:rPr>
        <w:t xml:space="preserve">    </w:t>
      </w:r>
      <w:r w:rsidRPr="00383682">
        <w:rPr>
          <w:rFonts w:cs="David" w:hint="cs"/>
          <w:sz w:val="28"/>
          <w:szCs w:val="28"/>
          <w:rtl/>
        </w:rPr>
        <w:t>שופטת</w:t>
      </w:r>
    </w:p>
    <w:p w14:paraId="6B4B6CC5" w14:textId="77777777" w:rsidR="00383682" w:rsidRDefault="00383682" w:rsidP="00383682">
      <w:pPr>
        <w:spacing w:line="360" w:lineRule="auto"/>
        <w:rPr>
          <w:rFonts w:cs="David"/>
          <w:sz w:val="28"/>
          <w:szCs w:val="28"/>
          <w:rtl/>
        </w:rPr>
      </w:pPr>
      <w:r w:rsidRPr="00383682">
        <w:rPr>
          <w:rFonts w:cs="David" w:hint="cs"/>
          <w:sz w:val="28"/>
          <w:szCs w:val="28"/>
          <w:rtl/>
        </w:rPr>
        <w:t>בעניין:</w:t>
      </w:r>
    </w:p>
    <w:p w14:paraId="4798A658" w14:textId="77777777" w:rsidR="00DE18BF" w:rsidRPr="00383682" w:rsidRDefault="00DE18BF" w:rsidP="00383682">
      <w:pPr>
        <w:spacing w:line="360" w:lineRule="auto"/>
        <w:rPr>
          <w:rFonts w:cs="David"/>
          <w:sz w:val="28"/>
          <w:szCs w:val="28"/>
          <w:rtl/>
        </w:rPr>
      </w:pPr>
    </w:p>
    <w:p w14:paraId="463263A5" w14:textId="093C7630" w:rsidR="00383682" w:rsidRDefault="00383682" w:rsidP="00383682">
      <w:pPr>
        <w:spacing w:line="360" w:lineRule="auto"/>
        <w:jc w:val="center"/>
        <w:rPr>
          <w:rFonts w:cs="David"/>
          <w:b/>
          <w:bCs/>
          <w:sz w:val="28"/>
          <w:szCs w:val="28"/>
          <w:rtl/>
        </w:rPr>
      </w:pPr>
      <w:r w:rsidRPr="00383682">
        <w:rPr>
          <w:rFonts w:cs="David" w:hint="cs"/>
          <w:b/>
          <w:bCs/>
          <w:sz w:val="28"/>
          <w:szCs w:val="28"/>
          <w:rtl/>
        </w:rPr>
        <w:t>מ/</w:t>
      </w:r>
      <w:r w:rsidR="0007318B">
        <w:rPr>
          <w:rFonts w:cs="David" w:hint="cs"/>
          <w:b/>
          <w:bCs/>
          <w:sz w:val="28"/>
          <w:szCs w:val="28"/>
          <w:rtl/>
        </w:rPr>
        <w:t>*******</w:t>
      </w:r>
      <w:r w:rsidRPr="00383682">
        <w:rPr>
          <w:rFonts w:cs="David" w:hint="cs"/>
          <w:b/>
          <w:bCs/>
          <w:sz w:val="28"/>
          <w:szCs w:val="28"/>
          <w:rtl/>
        </w:rPr>
        <w:t xml:space="preserve"> סגן </w:t>
      </w:r>
      <w:r w:rsidR="0007318B">
        <w:rPr>
          <w:rFonts w:cs="David" w:hint="cs"/>
          <w:b/>
          <w:bCs/>
          <w:sz w:val="28"/>
          <w:szCs w:val="28"/>
          <w:rtl/>
        </w:rPr>
        <w:t xml:space="preserve">ו' ש' </w:t>
      </w:r>
      <w:r w:rsidRPr="00383682">
        <w:rPr>
          <w:rFonts w:cs="David" w:hint="cs"/>
          <w:b/>
          <w:bCs/>
          <w:sz w:val="28"/>
          <w:szCs w:val="28"/>
          <w:rtl/>
        </w:rPr>
        <w:t xml:space="preserve"> </w:t>
      </w:r>
      <w:r w:rsidRPr="00383682">
        <w:rPr>
          <w:rFonts w:cs="David"/>
          <w:b/>
          <w:bCs/>
          <w:sz w:val="28"/>
          <w:szCs w:val="28"/>
          <w:rtl/>
        </w:rPr>
        <w:t>–</w:t>
      </w:r>
      <w:r w:rsidRPr="00383682">
        <w:rPr>
          <w:rFonts w:cs="David" w:hint="cs"/>
          <w:b/>
          <w:bCs/>
          <w:sz w:val="28"/>
          <w:szCs w:val="28"/>
          <w:rtl/>
        </w:rPr>
        <w:t xml:space="preserve"> </w:t>
      </w:r>
      <w:r w:rsidRPr="00383682">
        <w:rPr>
          <w:rFonts w:cs="David" w:hint="cs"/>
          <w:sz w:val="28"/>
          <w:szCs w:val="28"/>
          <w:rtl/>
        </w:rPr>
        <w:t>המערער (ע"י ב"כ,</w:t>
      </w:r>
      <w:r w:rsidR="00941555">
        <w:rPr>
          <w:rFonts w:cs="David" w:hint="cs"/>
          <w:sz w:val="28"/>
          <w:szCs w:val="28"/>
          <w:rtl/>
        </w:rPr>
        <w:t xml:space="preserve"> רס"ן (מיל') </w:t>
      </w:r>
      <w:r w:rsidR="00941555" w:rsidRPr="00941555">
        <w:rPr>
          <w:rFonts w:cs="David"/>
          <w:sz w:val="28"/>
          <w:szCs w:val="28"/>
          <w:rtl/>
        </w:rPr>
        <w:t>עדי אייזנר</w:t>
      </w:r>
      <w:r w:rsidR="00941555">
        <w:rPr>
          <w:rFonts w:cs="David" w:hint="cs"/>
          <w:sz w:val="28"/>
          <w:szCs w:val="28"/>
          <w:rtl/>
        </w:rPr>
        <w:t>;</w:t>
      </w:r>
      <w:r w:rsidRPr="00383682">
        <w:rPr>
          <w:rFonts w:cs="David" w:hint="cs"/>
          <w:sz w:val="28"/>
          <w:szCs w:val="28"/>
          <w:rtl/>
        </w:rPr>
        <w:t xml:space="preserve"> סרן איתי המר)</w:t>
      </w:r>
    </w:p>
    <w:p w14:paraId="16259D71" w14:textId="77777777" w:rsidR="00DE18BF" w:rsidRPr="00383682" w:rsidRDefault="00DE18BF" w:rsidP="00383682">
      <w:pPr>
        <w:spacing w:line="360" w:lineRule="auto"/>
        <w:jc w:val="center"/>
        <w:rPr>
          <w:rFonts w:cs="David"/>
          <w:b/>
          <w:bCs/>
          <w:sz w:val="28"/>
          <w:szCs w:val="28"/>
          <w:rtl/>
        </w:rPr>
      </w:pPr>
    </w:p>
    <w:p w14:paraId="3C15AC20" w14:textId="77777777" w:rsidR="00383682" w:rsidRPr="008B4D03" w:rsidRDefault="00383682" w:rsidP="00383682">
      <w:pPr>
        <w:spacing w:line="360" w:lineRule="auto"/>
        <w:jc w:val="center"/>
        <w:rPr>
          <w:rFonts w:cs="David"/>
          <w:b/>
          <w:bCs/>
          <w:sz w:val="28"/>
          <w:szCs w:val="28"/>
          <w:rtl/>
        </w:rPr>
      </w:pPr>
      <w:r w:rsidRPr="008B4D03">
        <w:rPr>
          <w:rFonts w:cs="David" w:hint="cs"/>
          <w:b/>
          <w:bCs/>
          <w:sz w:val="28"/>
          <w:szCs w:val="28"/>
          <w:rtl/>
        </w:rPr>
        <w:t>נ ג ד</w:t>
      </w:r>
    </w:p>
    <w:p w14:paraId="26792AAF" w14:textId="77777777" w:rsidR="00DE18BF" w:rsidRPr="00383682" w:rsidRDefault="00DE18BF" w:rsidP="00383682">
      <w:pPr>
        <w:spacing w:line="360" w:lineRule="auto"/>
        <w:jc w:val="center"/>
        <w:rPr>
          <w:rFonts w:cs="David"/>
          <w:sz w:val="28"/>
          <w:szCs w:val="28"/>
          <w:rtl/>
        </w:rPr>
      </w:pPr>
    </w:p>
    <w:p w14:paraId="11673400" w14:textId="77777777" w:rsidR="00383682" w:rsidRDefault="00383682" w:rsidP="00383682">
      <w:pPr>
        <w:spacing w:line="360" w:lineRule="auto"/>
        <w:jc w:val="center"/>
        <w:rPr>
          <w:rFonts w:cs="David"/>
          <w:b/>
          <w:bCs/>
          <w:sz w:val="28"/>
          <w:szCs w:val="28"/>
          <w:rtl/>
        </w:rPr>
      </w:pPr>
      <w:r w:rsidRPr="00383682">
        <w:rPr>
          <w:rFonts w:cs="David" w:hint="cs"/>
          <w:b/>
          <w:bCs/>
          <w:sz w:val="28"/>
          <w:szCs w:val="28"/>
          <w:rtl/>
        </w:rPr>
        <w:t xml:space="preserve">התובע הצבאי הראשי </w:t>
      </w:r>
      <w:r w:rsidRPr="00383682">
        <w:rPr>
          <w:rFonts w:cs="David"/>
          <w:b/>
          <w:bCs/>
          <w:sz w:val="28"/>
          <w:szCs w:val="28"/>
          <w:rtl/>
        </w:rPr>
        <w:t>–</w:t>
      </w:r>
      <w:r w:rsidRPr="00383682">
        <w:rPr>
          <w:rFonts w:cs="David" w:hint="cs"/>
          <w:b/>
          <w:bCs/>
          <w:sz w:val="28"/>
          <w:szCs w:val="28"/>
          <w:rtl/>
        </w:rPr>
        <w:t xml:space="preserve"> </w:t>
      </w:r>
      <w:r w:rsidRPr="00383682">
        <w:rPr>
          <w:rFonts w:cs="David" w:hint="cs"/>
          <w:sz w:val="28"/>
          <w:szCs w:val="28"/>
          <w:rtl/>
        </w:rPr>
        <w:t>המשיב (ע"י ב"כ, רס"ן מאשה יודשקין</w:t>
      </w:r>
      <w:r w:rsidR="00941555">
        <w:rPr>
          <w:rFonts w:cs="David" w:hint="cs"/>
          <w:sz w:val="28"/>
          <w:szCs w:val="28"/>
          <w:rtl/>
        </w:rPr>
        <w:t>; סרן עינב אוראל כהן</w:t>
      </w:r>
      <w:r w:rsidRPr="00383682">
        <w:rPr>
          <w:rFonts w:cs="David" w:hint="cs"/>
          <w:sz w:val="28"/>
          <w:szCs w:val="28"/>
          <w:rtl/>
        </w:rPr>
        <w:t>)</w:t>
      </w:r>
    </w:p>
    <w:p w14:paraId="3F428EDC" w14:textId="77777777" w:rsidR="00DE18BF" w:rsidRPr="00383682" w:rsidRDefault="00DE18BF" w:rsidP="00383682">
      <w:pPr>
        <w:spacing w:line="360" w:lineRule="auto"/>
        <w:jc w:val="center"/>
        <w:rPr>
          <w:rFonts w:cs="David"/>
          <w:b/>
          <w:bCs/>
          <w:sz w:val="28"/>
          <w:szCs w:val="28"/>
          <w:rtl/>
        </w:rPr>
      </w:pPr>
    </w:p>
    <w:p w14:paraId="776F63DD" w14:textId="77777777" w:rsidR="00383682" w:rsidRPr="00D8283A" w:rsidRDefault="00DE18BF" w:rsidP="00D8283A">
      <w:pPr>
        <w:spacing w:line="360" w:lineRule="auto"/>
        <w:jc w:val="both"/>
        <w:outlineLvl w:val="0"/>
        <w:rPr>
          <w:rFonts w:cs="David"/>
          <w:sz w:val="28"/>
          <w:szCs w:val="28"/>
          <w:rtl/>
        </w:rPr>
      </w:pPr>
      <w:r w:rsidRPr="00DE18BF">
        <w:rPr>
          <w:rFonts w:cs="David" w:hint="cs"/>
          <w:sz w:val="28"/>
          <w:szCs w:val="28"/>
          <w:rtl/>
        </w:rPr>
        <w:t xml:space="preserve">ערעור על פסק דין של בית הדין הצבאי המחוזי במחוז שיפוטי </w:t>
      </w:r>
      <w:r>
        <w:rPr>
          <w:rFonts w:cs="David" w:hint="cs"/>
          <w:sz w:val="28"/>
          <w:szCs w:val="28"/>
          <w:rtl/>
        </w:rPr>
        <w:t>חיל האוויר שניתן בתיק ח"א</w:t>
      </w:r>
      <w:r w:rsidRPr="00DE18BF">
        <w:rPr>
          <w:rFonts w:cs="David" w:hint="cs"/>
          <w:sz w:val="28"/>
          <w:szCs w:val="28"/>
          <w:rtl/>
        </w:rPr>
        <w:t xml:space="preserve"> (מחוזי) </w:t>
      </w:r>
      <w:r>
        <w:rPr>
          <w:rFonts w:cs="David" w:hint="cs"/>
          <w:sz w:val="28"/>
          <w:szCs w:val="28"/>
          <w:rtl/>
        </w:rPr>
        <w:t>120</w:t>
      </w:r>
      <w:r w:rsidRPr="00DE18BF">
        <w:rPr>
          <w:rFonts w:cs="David" w:hint="cs"/>
          <w:sz w:val="28"/>
          <w:szCs w:val="28"/>
          <w:rtl/>
        </w:rPr>
        <w:t>/</w:t>
      </w:r>
      <w:r>
        <w:rPr>
          <w:rFonts w:cs="David" w:hint="cs"/>
          <w:sz w:val="28"/>
          <w:szCs w:val="28"/>
          <w:rtl/>
        </w:rPr>
        <w:t>19</w:t>
      </w:r>
      <w:r w:rsidRPr="00DE18BF">
        <w:rPr>
          <w:rFonts w:cs="David" w:hint="cs"/>
          <w:sz w:val="28"/>
          <w:szCs w:val="28"/>
          <w:rtl/>
        </w:rPr>
        <w:t xml:space="preserve"> (</w:t>
      </w:r>
      <w:r>
        <w:rPr>
          <w:rFonts w:cs="David" w:hint="cs"/>
          <w:sz w:val="28"/>
          <w:szCs w:val="28"/>
          <w:rtl/>
        </w:rPr>
        <w:t>סא"ל שחר גרינברג</w:t>
      </w:r>
      <w:r w:rsidRPr="00DE18BF">
        <w:rPr>
          <w:rFonts w:cs="David" w:hint="cs"/>
          <w:sz w:val="28"/>
          <w:szCs w:val="28"/>
          <w:rtl/>
        </w:rPr>
        <w:t xml:space="preserve"> </w:t>
      </w:r>
      <w:r w:rsidRPr="00DE18BF">
        <w:rPr>
          <w:rFonts w:cs="David"/>
          <w:sz w:val="28"/>
          <w:szCs w:val="28"/>
          <w:rtl/>
        </w:rPr>
        <w:t>–</w:t>
      </w:r>
      <w:r w:rsidRPr="00DE18BF">
        <w:rPr>
          <w:rFonts w:cs="David" w:hint="cs"/>
          <w:sz w:val="28"/>
          <w:szCs w:val="28"/>
          <w:rtl/>
        </w:rPr>
        <w:t xml:space="preserve"> </w:t>
      </w:r>
      <w:r>
        <w:rPr>
          <w:rFonts w:cs="David" w:hint="cs"/>
          <w:sz w:val="28"/>
          <w:szCs w:val="28"/>
          <w:rtl/>
        </w:rPr>
        <w:t>סגן הנשיא</w:t>
      </w:r>
      <w:r w:rsidRPr="00DE18BF">
        <w:rPr>
          <w:rFonts w:cs="David" w:hint="cs"/>
          <w:sz w:val="28"/>
          <w:szCs w:val="28"/>
          <w:rtl/>
        </w:rPr>
        <w:t xml:space="preserve">) ביום </w:t>
      </w:r>
      <w:r>
        <w:rPr>
          <w:rFonts w:cs="David" w:hint="cs"/>
          <w:sz w:val="28"/>
          <w:szCs w:val="28"/>
          <w:rtl/>
        </w:rPr>
        <w:t>30</w:t>
      </w:r>
      <w:r w:rsidRPr="00DE18BF">
        <w:rPr>
          <w:rFonts w:cs="David" w:hint="cs"/>
          <w:sz w:val="28"/>
          <w:szCs w:val="28"/>
          <w:rtl/>
        </w:rPr>
        <w:t>.</w:t>
      </w:r>
      <w:r>
        <w:rPr>
          <w:rFonts w:cs="David" w:hint="cs"/>
          <w:sz w:val="28"/>
          <w:szCs w:val="28"/>
          <w:rtl/>
        </w:rPr>
        <w:t>4</w:t>
      </w:r>
      <w:r w:rsidR="00D40353">
        <w:rPr>
          <w:rFonts w:cs="David" w:hint="cs"/>
          <w:sz w:val="28"/>
          <w:szCs w:val="28"/>
          <w:rtl/>
        </w:rPr>
        <w:t>.2020. הערעור (הכרעת הדין) נדחה</w:t>
      </w:r>
      <w:r w:rsidRPr="00DE18BF">
        <w:rPr>
          <w:rFonts w:cs="David" w:hint="cs"/>
          <w:sz w:val="28"/>
          <w:szCs w:val="28"/>
          <w:rtl/>
        </w:rPr>
        <w:t>.</w:t>
      </w:r>
    </w:p>
    <w:p w14:paraId="0756FC3E" w14:textId="77777777" w:rsidR="00A867E7" w:rsidRDefault="00E5228F" w:rsidP="00D8283A">
      <w:pPr>
        <w:spacing w:line="360" w:lineRule="auto"/>
        <w:jc w:val="center"/>
        <w:rPr>
          <w:rFonts w:cs="David"/>
          <w:b/>
          <w:bCs/>
          <w:sz w:val="28"/>
          <w:szCs w:val="28"/>
          <w:u w:val="single"/>
          <w:rtl/>
        </w:rPr>
      </w:pPr>
      <w:r>
        <w:rPr>
          <w:rFonts w:cs="David" w:hint="cs"/>
          <w:b/>
          <w:bCs/>
          <w:sz w:val="28"/>
          <w:szCs w:val="28"/>
          <w:u w:val="single"/>
          <w:rtl/>
        </w:rPr>
        <w:t>פ ס ק - ד י ן</w:t>
      </w:r>
    </w:p>
    <w:p w14:paraId="2F1779D1" w14:textId="77777777" w:rsidR="00E5228F" w:rsidRDefault="007C223E" w:rsidP="007C223E">
      <w:pPr>
        <w:tabs>
          <w:tab w:val="left" w:pos="368"/>
        </w:tabs>
        <w:spacing w:line="360" w:lineRule="auto"/>
        <w:ind w:left="-58"/>
        <w:jc w:val="both"/>
        <w:rPr>
          <w:rFonts w:cs="David"/>
          <w:b/>
          <w:bCs/>
          <w:sz w:val="28"/>
          <w:szCs w:val="28"/>
          <w:u w:val="single"/>
          <w:rtl/>
        </w:rPr>
      </w:pPr>
      <w:r>
        <w:rPr>
          <w:rFonts w:cs="David" w:hint="cs"/>
          <w:b/>
          <w:bCs/>
          <w:sz w:val="28"/>
          <w:szCs w:val="28"/>
          <w:u w:val="single"/>
          <w:rtl/>
        </w:rPr>
        <w:t>רקע</w:t>
      </w:r>
    </w:p>
    <w:p w14:paraId="32A90F9B" w14:textId="5DDA7C58" w:rsidR="004D4599" w:rsidRDefault="007C223E" w:rsidP="00145C90">
      <w:pPr>
        <w:numPr>
          <w:ilvl w:val="0"/>
          <w:numId w:val="4"/>
        </w:numPr>
        <w:tabs>
          <w:tab w:val="left" w:pos="226"/>
        </w:tabs>
        <w:spacing w:line="360" w:lineRule="auto"/>
        <w:ind w:left="-58" w:firstLine="0"/>
        <w:jc w:val="both"/>
        <w:rPr>
          <w:rFonts w:cs="David"/>
          <w:sz w:val="28"/>
          <w:szCs w:val="28"/>
        </w:rPr>
      </w:pPr>
      <w:r>
        <w:rPr>
          <w:rFonts w:cs="David" w:hint="cs"/>
          <w:sz w:val="28"/>
          <w:szCs w:val="28"/>
          <w:rtl/>
        </w:rPr>
        <w:t>המערער</w:t>
      </w:r>
      <w:r w:rsidR="004D4599">
        <w:rPr>
          <w:rFonts w:cs="David" w:hint="cs"/>
          <w:sz w:val="28"/>
          <w:szCs w:val="28"/>
          <w:rtl/>
        </w:rPr>
        <w:t>,</w:t>
      </w:r>
      <w:r w:rsidR="00E5228F" w:rsidRPr="007B3C61">
        <w:rPr>
          <w:rFonts w:cs="David" w:hint="cs"/>
          <w:sz w:val="28"/>
          <w:szCs w:val="28"/>
          <w:rtl/>
        </w:rPr>
        <w:t xml:space="preserve"> </w:t>
      </w:r>
      <w:r>
        <w:rPr>
          <w:rFonts w:cs="David" w:hint="cs"/>
          <w:sz w:val="28"/>
          <w:szCs w:val="28"/>
          <w:rtl/>
        </w:rPr>
        <w:t xml:space="preserve">סגן </w:t>
      </w:r>
      <w:r w:rsidR="0007318B">
        <w:rPr>
          <w:rFonts w:cs="David" w:hint="cs"/>
          <w:sz w:val="28"/>
          <w:szCs w:val="28"/>
          <w:rtl/>
        </w:rPr>
        <w:t xml:space="preserve">ו' ש' </w:t>
      </w:r>
      <w:r w:rsidR="00E5228F">
        <w:rPr>
          <w:rFonts w:cs="David" w:hint="cs"/>
          <w:sz w:val="28"/>
          <w:szCs w:val="28"/>
          <w:rtl/>
        </w:rPr>
        <w:t xml:space="preserve">, </w:t>
      </w:r>
      <w:r>
        <w:rPr>
          <w:rFonts w:cs="David" w:hint="cs"/>
          <w:sz w:val="28"/>
          <w:szCs w:val="28"/>
          <w:rtl/>
        </w:rPr>
        <w:t xml:space="preserve">שירת </w:t>
      </w:r>
      <w:r w:rsidRPr="007C223E">
        <w:rPr>
          <w:rFonts w:cs="David" w:hint="cs"/>
          <w:sz w:val="28"/>
          <w:szCs w:val="28"/>
          <w:rtl/>
        </w:rPr>
        <w:t xml:space="preserve">כמפקד מחלקת כוננות ואבטחה </w:t>
      </w:r>
      <w:r>
        <w:rPr>
          <w:rFonts w:cs="David" w:hint="cs"/>
          <w:sz w:val="28"/>
          <w:szCs w:val="28"/>
          <w:rtl/>
        </w:rPr>
        <w:t xml:space="preserve">וכמפקד פלגת אבטחה בבסיסים של חיל האוויר. </w:t>
      </w:r>
      <w:r w:rsidR="000D23DC">
        <w:rPr>
          <w:rFonts w:cs="David" w:hint="cs"/>
          <w:sz w:val="28"/>
          <w:szCs w:val="28"/>
          <w:rtl/>
        </w:rPr>
        <w:t xml:space="preserve">בחודש </w:t>
      </w:r>
      <w:r>
        <w:rPr>
          <w:rFonts w:cs="David" w:hint="cs"/>
          <w:sz w:val="28"/>
          <w:szCs w:val="28"/>
          <w:rtl/>
        </w:rPr>
        <w:t xml:space="preserve">אפריל 2019 </w:t>
      </w:r>
      <w:r w:rsidR="00E5228F">
        <w:rPr>
          <w:rFonts w:cs="David" w:hint="cs"/>
          <w:sz w:val="28"/>
          <w:szCs w:val="28"/>
          <w:rtl/>
        </w:rPr>
        <w:t xml:space="preserve">הוגש </w:t>
      </w:r>
      <w:r w:rsidR="000D23DC">
        <w:rPr>
          <w:rFonts w:cs="David" w:hint="cs"/>
          <w:sz w:val="28"/>
          <w:szCs w:val="28"/>
          <w:rtl/>
        </w:rPr>
        <w:t xml:space="preserve">נגדו </w:t>
      </w:r>
      <w:r w:rsidR="00E5228F">
        <w:rPr>
          <w:rFonts w:cs="David" w:hint="cs"/>
          <w:sz w:val="28"/>
          <w:szCs w:val="28"/>
          <w:rtl/>
        </w:rPr>
        <w:t xml:space="preserve">כתב אישום </w:t>
      </w:r>
      <w:r>
        <w:rPr>
          <w:rFonts w:cs="David" w:hint="cs"/>
          <w:sz w:val="28"/>
          <w:szCs w:val="28"/>
          <w:rtl/>
        </w:rPr>
        <w:t xml:space="preserve">בגין עבירה של </w:t>
      </w:r>
      <w:r w:rsidR="00E5228F">
        <w:rPr>
          <w:rFonts w:cs="David" w:hint="cs"/>
          <w:sz w:val="28"/>
          <w:szCs w:val="28"/>
          <w:rtl/>
        </w:rPr>
        <w:t>שימוש בסם מסוכן, לפי סעיפים 7(א) ו-(ג) סיפ</w:t>
      </w:r>
      <w:r w:rsidR="00145C90">
        <w:rPr>
          <w:rFonts w:cs="David" w:hint="cs"/>
          <w:sz w:val="28"/>
          <w:szCs w:val="28"/>
          <w:rtl/>
        </w:rPr>
        <w:t>ה</w:t>
      </w:r>
      <w:r w:rsidR="00E5228F">
        <w:rPr>
          <w:rFonts w:cs="David" w:hint="cs"/>
          <w:sz w:val="28"/>
          <w:szCs w:val="28"/>
          <w:rtl/>
        </w:rPr>
        <w:t xml:space="preserve"> לפקודת הסמים המסוכנים [נוסח חדש]</w:t>
      </w:r>
      <w:r w:rsidR="004D4599">
        <w:rPr>
          <w:rFonts w:cs="David" w:hint="cs"/>
          <w:sz w:val="28"/>
          <w:szCs w:val="28"/>
          <w:rtl/>
        </w:rPr>
        <w:t>, התשל"ג</w:t>
      </w:r>
      <w:r w:rsidR="004D4599">
        <w:rPr>
          <w:rFonts w:cs="David"/>
          <w:sz w:val="28"/>
          <w:szCs w:val="28"/>
          <w:rtl/>
        </w:rPr>
        <w:t>–</w:t>
      </w:r>
      <w:r w:rsidR="004D4599">
        <w:rPr>
          <w:rFonts w:cs="David" w:hint="cs"/>
          <w:sz w:val="28"/>
          <w:szCs w:val="28"/>
          <w:rtl/>
        </w:rPr>
        <w:t>1973</w:t>
      </w:r>
      <w:r>
        <w:rPr>
          <w:rFonts w:cs="David" w:hint="cs"/>
          <w:sz w:val="28"/>
          <w:szCs w:val="28"/>
          <w:rtl/>
        </w:rPr>
        <w:t xml:space="preserve">. נטען, כי המערער ביצע שלושה מעשי שימוש בסם המסוכן, בנסיבות אזרחיות, </w:t>
      </w:r>
      <w:r w:rsidR="009611A9">
        <w:rPr>
          <w:rFonts w:cs="David" w:hint="cs"/>
          <w:sz w:val="28"/>
          <w:szCs w:val="28"/>
          <w:rtl/>
        </w:rPr>
        <w:t xml:space="preserve">האחד </w:t>
      </w:r>
      <w:r>
        <w:rPr>
          <w:rFonts w:cs="David" w:hint="cs"/>
          <w:sz w:val="28"/>
          <w:szCs w:val="28"/>
          <w:rtl/>
        </w:rPr>
        <w:t xml:space="preserve">במהלך שנת 2016, </w:t>
      </w:r>
      <w:r w:rsidR="009611A9">
        <w:rPr>
          <w:rFonts w:cs="David" w:hint="cs"/>
          <w:sz w:val="28"/>
          <w:szCs w:val="28"/>
          <w:rtl/>
        </w:rPr>
        <w:t xml:space="preserve">השני </w:t>
      </w:r>
      <w:r>
        <w:rPr>
          <w:rFonts w:cs="David" w:hint="cs"/>
          <w:sz w:val="28"/>
          <w:szCs w:val="28"/>
          <w:rtl/>
        </w:rPr>
        <w:t>בחודש ינואר 2017, ו</w:t>
      </w:r>
      <w:r w:rsidR="009611A9">
        <w:rPr>
          <w:rFonts w:cs="David" w:hint="cs"/>
          <w:sz w:val="28"/>
          <w:szCs w:val="28"/>
          <w:rtl/>
        </w:rPr>
        <w:t xml:space="preserve">השלישי </w:t>
      </w:r>
      <w:r>
        <w:rPr>
          <w:rFonts w:cs="David" w:hint="cs"/>
          <w:sz w:val="28"/>
          <w:szCs w:val="28"/>
          <w:rtl/>
        </w:rPr>
        <w:t>בחודש פברואר</w:t>
      </w:r>
      <w:r w:rsidR="00635841">
        <w:rPr>
          <w:rFonts w:cs="David" w:hint="cs"/>
          <w:sz w:val="28"/>
          <w:szCs w:val="28"/>
          <w:rtl/>
        </w:rPr>
        <w:t xml:space="preserve"> 2019.</w:t>
      </w:r>
      <w:r>
        <w:rPr>
          <w:rFonts w:cs="David" w:hint="cs"/>
          <w:sz w:val="28"/>
          <w:szCs w:val="28"/>
          <w:rtl/>
        </w:rPr>
        <w:t xml:space="preserve"> </w:t>
      </w:r>
    </w:p>
    <w:p w14:paraId="1AC88E7E" w14:textId="77777777" w:rsidR="00635841" w:rsidRPr="00295D49" w:rsidRDefault="007C223E" w:rsidP="009611A9">
      <w:pPr>
        <w:numPr>
          <w:ilvl w:val="0"/>
          <w:numId w:val="4"/>
        </w:numPr>
        <w:tabs>
          <w:tab w:val="left" w:pos="226"/>
        </w:tabs>
        <w:spacing w:line="360" w:lineRule="auto"/>
        <w:ind w:left="-58" w:firstLine="0"/>
        <w:jc w:val="both"/>
        <w:rPr>
          <w:rFonts w:cs="David"/>
          <w:sz w:val="28"/>
          <w:szCs w:val="28"/>
        </w:rPr>
      </w:pPr>
      <w:r w:rsidRPr="00295D49">
        <w:rPr>
          <w:rFonts w:cs="David" w:hint="cs"/>
          <w:sz w:val="28"/>
          <w:szCs w:val="28"/>
          <w:rtl/>
        </w:rPr>
        <w:t>המערער</w:t>
      </w:r>
      <w:r w:rsidR="004D4599" w:rsidRPr="00295D49">
        <w:rPr>
          <w:rFonts w:cs="David" w:hint="cs"/>
          <w:sz w:val="28"/>
          <w:szCs w:val="28"/>
          <w:rtl/>
        </w:rPr>
        <w:t xml:space="preserve"> </w:t>
      </w:r>
      <w:r w:rsidRPr="00295D49">
        <w:rPr>
          <w:rFonts w:cs="David" w:hint="cs"/>
          <w:sz w:val="28"/>
          <w:szCs w:val="28"/>
          <w:rtl/>
        </w:rPr>
        <w:t xml:space="preserve">כפר באשמה </w:t>
      </w:r>
      <w:r w:rsidR="00635841" w:rsidRPr="00295D49">
        <w:rPr>
          <w:rFonts w:cs="David" w:hint="cs"/>
          <w:sz w:val="28"/>
          <w:szCs w:val="28"/>
          <w:rtl/>
        </w:rPr>
        <w:t>ו</w:t>
      </w:r>
      <w:r w:rsidR="00295D49" w:rsidRPr="00295D49">
        <w:rPr>
          <w:rFonts w:cs="David" w:hint="cs"/>
          <w:sz w:val="28"/>
          <w:szCs w:val="28"/>
          <w:rtl/>
        </w:rPr>
        <w:t>משפטו החל מתנהל. ל</w:t>
      </w:r>
      <w:r w:rsidR="00635841" w:rsidRPr="00295D49">
        <w:rPr>
          <w:rFonts w:cs="David" w:hint="cs"/>
          <w:sz w:val="28"/>
          <w:szCs w:val="28"/>
          <w:rtl/>
        </w:rPr>
        <w:t xml:space="preserve">אחר שמיעת הראיות וטיעוני הצדדים, הורשע </w:t>
      </w:r>
      <w:r w:rsidR="00295D49" w:rsidRPr="00295D49">
        <w:rPr>
          <w:rFonts w:cs="David" w:hint="cs"/>
          <w:sz w:val="28"/>
          <w:szCs w:val="28"/>
          <w:rtl/>
        </w:rPr>
        <w:t xml:space="preserve">המערער </w:t>
      </w:r>
      <w:r w:rsidR="00635841" w:rsidRPr="00295D49">
        <w:rPr>
          <w:rFonts w:cs="David" w:hint="cs"/>
          <w:sz w:val="28"/>
          <w:szCs w:val="28"/>
          <w:rtl/>
        </w:rPr>
        <w:t>בעבירה שיוחסה לו. בית הדין קמא השית על</w:t>
      </w:r>
      <w:r w:rsidR="00295D49" w:rsidRPr="00295D49">
        <w:rPr>
          <w:rFonts w:cs="David" w:hint="cs"/>
          <w:sz w:val="28"/>
          <w:szCs w:val="28"/>
          <w:rtl/>
        </w:rPr>
        <w:t xml:space="preserve">יו </w:t>
      </w:r>
      <w:r w:rsidR="00635841" w:rsidRPr="00295D49">
        <w:rPr>
          <w:rFonts w:cs="David" w:hint="cs"/>
          <w:sz w:val="28"/>
          <w:szCs w:val="28"/>
          <w:rtl/>
        </w:rPr>
        <w:t>עונש של מאסר על תנאי</w:t>
      </w:r>
      <w:r w:rsidR="00295D49" w:rsidRPr="00295D49">
        <w:rPr>
          <w:rFonts w:cs="David" w:hint="cs"/>
          <w:sz w:val="28"/>
          <w:szCs w:val="28"/>
          <w:rtl/>
        </w:rPr>
        <w:t xml:space="preserve">, לצד </w:t>
      </w:r>
      <w:r w:rsidR="00635841" w:rsidRPr="00295D49">
        <w:rPr>
          <w:rFonts w:cs="David" w:hint="cs"/>
          <w:sz w:val="28"/>
          <w:szCs w:val="28"/>
          <w:rtl/>
        </w:rPr>
        <w:t xml:space="preserve">קנס בסך 1,000 </w:t>
      </w:r>
      <w:r w:rsidR="00295D49">
        <w:rPr>
          <w:rFonts w:cs="David" w:hint="cs"/>
          <w:sz w:val="28"/>
          <w:szCs w:val="28"/>
          <w:rtl/>
        </w:rPr>
        <w:t>ש"ח</w:t>
      </w:r>
      <w:r w:rsidR="00295D49" w:rsidRPr="00295D49">
        <w:rPr>
          <w:rFonts w:cs="David" w:hint="cs"/>
          <w:sz w:val="28"/>
          <w:szCs w:val="28"/>
          <w:rtl/>
        </w:rPr>
        <w:t xml:space="preserve"> ו</w:t>
      </w:r>
      <w:r w:rsidR="00635841" w:rsidRPr="00295D49">
        <w:rPr>
          <w:rFonts w:cs="David" w:hint="cs"/>
          <w:sz w:val="28"/>
          <w:szCs w:val="28"/>
          <w:rtl/>
        </w:rPr>
        <w:t xml:space="preserve">הורדה לדרגת טוראי. </w:t>
      </w:r>
    </w:p>
    <w:p w14:paraId="1B0F41CE" w14:textId="21E126BE" w:rsidR="00A95CF8" w:rsidRDefault="00295D49" w:rsidP="00476AA1">
      <w:pPr>
        <w:numPr>
          <w:ilvl w:val="0"/>
          <w:numId w:val="4"/>
        </w:numPr>
        <w:tabs>
          <w:tab w:val="left" w:pos="226"/>
        </w:tabs>
        <w:spacing w:line="360" w:lineRule="auto"/>
        <w:ind w:left="-58" w:firstLine="0"/>
        <w:jc w:val="both"/>
        <w:rPr>
          <w:rFonts w:cs="David"/>
          <w:sz w:val="28"/>
          <w:szCs w:val="28"/>
        </w:rPr>
      </w:pPr>
      <w:r>
        <w:rPr>
          <w:rFonts w:cs="David" w:hint="cs"/>
          <w:sz w:val="28"/>
          <w:szCs w:val="28"/>
          <w:rtl/>
        </w:rPr>
        <w:t xml:space="preserve">ההגנה לא השלימה עם הרשעתו של המערער בעבירה שיוחסה לו בכתב האישום ומכאן הערעור שלפנינו. </w:t>
      </w:r>
    </w:p>
    <w:p w14:paraId="55981AA4" w14:textId="77777777" w:rsidR="0007318B" w:rsidRPr="00476AA1" w:rsidRDefault="0007318B" w:rsidP="0007318B">
      <w:pPr>
        <w:tabs>
          <w:tab w:val="left" w:pos="226"/>
        </w:tabs>
        <w:spacing w:line="360" w:lineRule="auto"/>
        <w:ind w:left="-58"/>
        <w:jc w:val="both"/>
        <w:rPr>
          <w:rFonts w:cs="David"/>
          <w:sz w:val="28"/>
          <w:szCs w:val="28"/>
          <w:rtl/>
        </w:rPr>
      </w:pPr>
    </w:p>
    <w:p w14:paraId="335C40FF" w14:textId="77777777" w:rsidR="00A95CF8" w:rsidRPr="00A95CF8" w:rsidRDefault="00A95CF8" w:rsidP="009611A9">
      <w:pPr>
        <w:tabs>
          <w:tab w:val="left" w:pos="226"/>
        </w:tabs>
        <w:spacing w:line="360" w:lineRule="auto"/>
        <w:jc w:val="both"/>
        <w:rPr>
          <w:rFonts w:cs="David"/>
          <w:b/>
          <w:bCs/>
          <w:sz w:val="28"/>
          <w:szCs w:val="28"/>
          <w:u w:val="single"/>
        </w:rPr>
      </w:pPr>
      <w:r w:rsidRPr="00A95CF8">
        <w:rPr>
          <w:rFonts w:cs="David" w:hint="cs"/>
          <w:b/>
          <w:bCs/>
          <w:sz w:val="28"/>
          <w:szCs w:val="28"/>
          <w:u w:val="single"/>
          <w:rtl/>
        </w:rPr>
        <w:lastRenderedPageBreak/>
        <w:t>השתלשלות ההליכים בבית הדין קמא</w:t>
      </w:r>
      <w:r>
        <w:rPr>
          <w:rFonts w:cs="David" w:hint="cs"/>
          <w:b/>
          <w:bCs/>
          <w:sz w:val="28"/>
          <w:szCs w:val="28"/>
          <w:u w:val="single"/>
          <w:rtl/>
        </w:rPr>
        <w:t xml:space="preserve"> </w:t>
      </w:r>
    </w:p>
    <w:p w14:paraId="75364336" w14:textId="77777777" w:rsidR="007F5170" w:rsidRDefault="009611A9" w:rsidP="007C01B2">
      <w:pPr>
        <w:numPr>
          <w:ilvl w:val="0"/>
          <w:numId w:val="4"/>
        </w:numPr>
        <w:tabs>
          <w:tab w:val="left" w:pos="226"/>
        </w:tabs>
        <w:spacing w:line="360" w:lineRule="auto"/>
        <w:ind w:left="-58" w:firstLine="0"/>
        <w:jc w:val="both"/>
        <w:rPr>
          <w:rFonts w:cs="David"/>
          <w:sz w:val="28"/>
          <w:szCs w:val="28"/>
        </w:rPr>
      </w:pPr>
      <w:r>
        <w:rPr>
          <w:rFonts w:cs="David" w:hint="cs"/>
          <w:sz w:val="28"/>
          <w:szCs w:val="28"/>
          <w:rtl/>
        </w:rPr>
        <w:t xml:space="preserve">עובר לשמיעת הראיות, פרטה </w:t>
      </w:r>
      <w:r w:rsidR="001A6EE1">
        <w:rPr>
          <w:rFonts w:cs="David" w:hint="cs"/>
          <w:sz w:val="28"/>
          <w:szCs w:val="28"/>
          <w:rtl/>
        </w:rPr>
        <w:t>ההגנה בכתב</w:t>
      </w:r>
      <w:r>
        <w:rPr>
          <w:rFonts w:cs="David" w:hint="cs"/>
          <w:sz w:val="28"/>
          <w:szCs w:val="28"/>
          <w:rtl/>
        </w:rPr>
        <w:t>,</w:t>
      </w:r>
      <w:r w:rsidR="001A6EE1">
        <w:rPr>
          <w:rFonts w:cs="David" w:hint="cs"/>
          <w:sz w:val="28"/>
          <w:szCs w:val="28"/>
          <w:rtl/>
        </w:rPr>
        <w:t xml:space="preserve"> כי "טענות של הגנה מן הצדק מצדיקות את המרת סעיף האישום לסעיף שאינו נושא רישום פלילי". נטען, כי "חוקרי מצ"ח פגעו בזכויותיו באופן המצדיק אף את פסילתן של כלל הראיות. </w:t>
      </w:r>
      <w:r w:rsidR="001A6EE1" w:rsidRPr="001A6EE1">
        <w:rPr>
          <w:rFonts w:cs="David" w:hint="cs"/>
          <w:b/>
          <w:bCs/>
          <w:sz w:val="28"/>
          <w:szCs w:val="28"/>
          <w:rtl/>
        </w:rPr>
        <w:t>אולם הנאשם מבקש לקחת אחריות על מעשיו ולכן לא מתבקשת פסילת הראיות אלא סעד בדמות המרת סעיף האישום</w:t>
      </w:r>
      <w:r w:rsidR="001A6EE1">
        <w:rPr>
          <w:rFonts w:cs="David" w:hint="cs"/>
          <w:sz w:val="28"/>
          <w:szCs w:val="28"/>
          <w:rtl/>
        </w:rPr>
        <w:t>" (הדגשות הוספו)</w:t>
      </w:r>
      <w:r w:rsidR="007F5170">
        <w:rPr>
          <w:rFonts w:cs="David" w:hint="cs"/>
          <w:sz w:val="28"/>
          <w:szCs w:val="28"/>
          <w:rtl/>
        </w:rPr>
        <w:t>.</w:t>
      </w:r>
      <w:r w:rsidR="001A6EE1">
        <w:rPr>
          <w:rFonts w:cs="David" w:hint="cs"/>
          <w:sz w:val="28"/>
          <w:szCs w:val="28"/>
          <w:rtl/>
        </w:rPr>
        <w:t xml:space="preserve"> כמו כן, נטען, כי "לאור מדיניות ההעמדה לדין החדשה של התביעה הצבאית, העבירות המיוחסות לנאשם מצדיקות, לכל היותר, היקשרות בהסדר הקפאה עם הנאשם חלף הרשעתו בדין. נוכח הפער שנוצר בין החיילים לקצינים יש מקום להמיר את סעיף האישום לסעיף שאינו נושא רישום פלילי". </w:t>
      </w:r>
      <w:r w:rsidR="00A95CF8">
        <w:rPr>
          <w:rFonts w:cs="David" w:hint="cs"/>
          <w:sz w:val="28"/>
          <w:szCs w:val="28"/>
          <w:rtl/>
        </w:rPr>
        <w:t>בפתח ישיבת ההוכחות הראשונה, מסרה ההגנה</w:t>
      </w:r>
      <w:r>
        <w:rPr>
          <w:rFonts w:cs="David" w:hint="cs"/>
          <w:sz w:val="28"/>
          <w:szCs w:val="28"/>
          <w:rtl/>
        </w:rPr>
        <w:t xml:space="preserve"> שוב</w:t>
      </w:r>
      <w:r w:rsidR="00A95CF8">
        <w:rPr>
          <w:rFonts w:cs="David" w:hint="cs"/>
          <w:sz w:val="28"/>
          <w:szCs w:val="28"/>
          <w:rtl/>
        </w:rPr>
        <w:t>, כי "</w:t>
      </w:r>
      <w:r w:rsidR="00A95CF8" w:rsidRPr="009611A9">
        <w:rPr>
          <w:rFonts w:cs="David" w:hint="cs"/>
          <w:b/>
          <w:bCs/>
          <w:sz w:val="28"/>
          <w:szCs w:val="28"/>
          <w:rtl/>
        </w:rPr>
        <w:t>כפי שציינו</w:t>
      </w:r>
      <w:r w:rsidR="00145C90">
        <w:rPr>
          <w:rFonts w:cs="David" w:hint="cs"/>
          <w:b/>
          <w:bCs/>
          <w:sz w:val="28"/>
          <w:szCs w:val="28"/>
          <w:rtl/>
        </w:rPr>
        <w:t>,</w:t>
      </w:r>
      <w:r w:rsidR="00A95CF8" w:rsidRPr="009611A9">
        <w:rPr>
          <w:rFonts w:cs="David" w:hint="cs"/>
          <w:b/>
          <w:bCs/>
          <w:sz w:val="28"/>
          <w:szCs w:val="28"/>
          <w:rtl/>
        </w:rPr>
        <w:t xml:space="preserve"> הנאשם לוקח אחריות על מעשיו והוא לא מכחיש מעורבותו בדברים</w:t>
      </w:r>
      <w:r>
        <w:rPr>
          <w:rFonts w:cs="David" w:hint="cs"/>
          <w:sz w:val="28"/>
          <w:szCs w:val="28"/>
          <w:rtl/>
        </w:rPr>
        <w:t>,</w:t>
      </w:r>
      <w:r w:rsidR="00A95CF8">
        <w:rPr>
          <w:rFonts w:cs="David" w:hint="cs"/>
          <w:sz w:val="28"/>
          <w:szCs w:val="28"/>
          <w:rtl/>
        </w:rPr>
        <w:t xml:space="preserve"> אלא, ההגנה תטען שלנאשם קמה טענה של הגנה מן הצדק הנשענת על שני פגמים, כאשר לטעמנו כל פגם יכול וצריך להוביל לסעד של המרת סעיף האישום לכזה שאינו גורר רישום פלילי...</w:t>
      </w:r>
      <w:r w:rsidR="00145C90">
        <w:rPr>
          <w:rFonts w:cs="David" w:hint="cs"/>
          <w:sz w:val="28"/>
          <w:szCs w:val="28"/>
          <w:rtl/>
        </w:rPr>
        <w:t xml:space="preserve">" (הדגשות הוספו). נטען, כי </w:t>
      </w:r>
      <w:r w:rsidR="00A95CF8">
        <w:rPr>
          <w:rFonts w:cs="David" w:hint="cs"/>
          <w:sz w:val="28"/>
          <w:szCs w:val="28"/>
          <w:rtl/>
        </w:rPr>
        <w:t xml:space="preserve">הפגם הראשון </w:t>
      </w:r>
      <w:r w:rsidR="00145C90">
        <w:rPr>
          <w:rFonts w:cs="David" w:hint="cs"/>
          <w:sz w:val="28"/>
          <w:szCs w:val="28"/>
          <w:rtl/>
        </w:rPr>
        <w:t>עולה מ</w:t>
      </w:r>
      <w:r w:rsidR="00A95CF8">
        <w:rPr>
          <w:rFonts w:cs="David" w:hint="cs"/>
          <w:sz w:val="28"/>
          <w:szCs w:val="28"/>
          <w:rtl/>
        </w:rPr>
        <w:t>חקירת</w:t>
      </w:r>
      <w:r w:rsidR="00145C90">
        <w:rPr>
          <w:rFonts w:cs="David" w:hint="cs"/>
          <w:sz w:val="28"/>
          <w:szCs w:val="28"/>
          <w:rtl/>
        </w:rPr>
        <w:t xml:space="preserve">ו של </w:t>
      </w:r>
      <w:r w:rsidR="00A95CF8">
        <w:rPr>
          <w:rFonts w:cs="David" w:hint="cs"/>
          <w:sz w:val="28"/>
          <w:szCs w:val="28"/>
          <w:rtl/>
        </w:rPr>
        <w:t>ה</w:t>
      </w:r>
      <w:r w:rsidR="00145C90">
        <w:rPr>
          <w:rFonts w:cs="David" w:hint="cs"/>
          <w:sz w:val="28"/>
          <w:szCs w:val="28"/>
          <w:rtl/>
        </w:rPr>
        <w:t xml:space="preserve">מערער במצ"ח </w:t>
      </w:r>
      <w:r w:rsidR="00145C90">
        <w:rPr>
          <w:rFonts w:cs="David"/>
          <w:sz w:val="28"/>
          <w:szCs w:val="28"/>
          <w:rtl/>
        </w:rPr>
        <w:t>–</w:t>
      </w:r>
      <w:r w:rsidR="00145C90">
        <w:rPr>
          <w:rFonts w:cs="David" w:hint="cs"/>
          <w:sz w:val="28"/>
          <w:szCs w:val="28"/>
          <w:rtl/>
        </w:rPr>
        <w:t xml:space="preserve"> "</w:t>
      </w:r>
      <w:r w:rsidR="00A95CF8">
        <w:rPr>
          <w:rFonts w:cs="David" w:hint="cs"/>
          <w:sz w:val="28"/>
          <w:szCs w:val="28"/>
          <w:rtl/>
        </w:rPr>
        <w:t>הוצג לנאשם צו בית משפט ... המאפשר לגורמי החקירה לערוך חדירה אל המכשיר הסלולארי. בעת הצגת הצו נאמר לנאשם כי הצו מחייב אותו לאפשר לגורמי החקירה לערוך עיון במכשיר ורק בשל ההצגה המוטעית ... נמסרה סיסמתו למכשיר הסלולארי ורק בשל הצגת הצו והצגה שהצו מחייב הוא הסכים לעיון ידני". לעניין הפגם השני, שבה ההגנה על טענת</w:t>
      </w:r>
      <w:r w:rsidR="00145C90">
        <w:rPr>
          <w:rFonts w:cs="David" w:hint="cs"/>
          <w:sz w:val="28"/>
          <w:szCs w:val="28"/>
          <w:rtl/>
        </w:rPr>
        <w:t xml:space="preserve"> ההפליה בעקבות </w:t>
      </w:r>
      <w:r w:rsidR="00A95CF8">
        <w:rPr>
          <w:rFonts w:cs="David" w:hint="cs"/>
          <w:sz w:val="28"/>
          <w:szCs w:val="28"/>
          <w:rtl/>
        </w:rPr>
        <w:t>ה</w:t>
      </w:r>
      <w:r w:rsidR="00145C90">
        <w:rPr>
          <w:rFonts w:cs="David" w:hint="cs"/>
          <w:sz w:val="28"/>
          <w:szCs w:val="28"/>
          <w:rtl/>
        </w:rPr>
        <w:t xml:space="preserve">שוני </w:t>
      </w:r>
      <w:r w:rsidR="00A95CF8">
        <w:rPr>
          <w:rFonts w:cs="David" w:hint="cs"/>
          <w:sz w:val="28"/>
          <w:szCs w:val="28"/>
          <w:rtl/>
        </w:rPr>
        <w:t>בין מדיניות ההעמדה לדין של חיילים בשירות חובה לעומת קצינים ומשרתי קבע, שאינם קצינים</w:t>
      </w:r>
      <w:r w:rsidR="00145C90">
        <w:rPr>
          <w:rFonts w:cs="David" w:hint="cs"/>
          <w:sz w:val="28"/>
          <w:szCs w:val="28"/>
          <w:rtl/>
        </w:rPr>
        <w:t>, בעבירות סמים</w:t>
      </w:r>
      <w:r w:rsidR="00A95CF8">
        <w:rPr>
          <w:rFonts w:cs="David" w:hint="cs"/>
          <w:sz w:val="28"/>
          <w:szCs w:val="28"/>
          <w:rtl/>
        </w:rPr>
        <w:t xml:space="preserve">.  </w:t>
      </w:r>
      <w:r w:rsidR="007F5170">
        <w:rPr>
          <w:rFonts w:cs="David" w:hint="cs"/>
          <w:sz w:val="28"/>
          <w:szCs w:val="28"/>
          <w:rtl/>
        </w:rPr>
        <w:t xml:space="preserve"> </w:t>
      </w:r>
    </w:p>
    <w:p w14:paraId="3DBD60E2" w14:textId="77777777" w:rsidR="00A95CF8" w:rsidRDefault="009611A9" w:rsidP="0066481D">
      <w:pPr>
        <w:numPr>
          <w:ilvl w:val="0"/>
          <w:numId w:val="4"/>
        </w:numPr>
        <w:tabs>
          <w:tab w:val="left" w:pos="226"/>
        </w:tabs>
        <w:spacing w:line="360" w:lineRule="auto"/>
        <w:ind w:left="-58" w:firstLine="0"/>
        <w:jc w:val="both"/>
        <w:rPr>
          <w:rFonts w:cs="David"/>
          <w:sz w:val="28"/>
          <w:szCs w:val="28"/>
        </w:rPr>
      </w:pPr>
      <w:r>
        <w:rPr>
          <w:rFonts w:cs="David" w:hint="cs"/>
          <w:sz w:val="28"/>
          <w:szCs w:val="28"/>
          <w:rtl/>
        </w:rPr>
        <w:t xml:space="preserve">לאחר האמור, </w:t>
      </w:r>
      <w:r w:rsidR="00A95CF8">
        <w:rPr>
          <w:rFonts w:cs="David" w:hint="cs"/>
          <w:sz w:val="28"/>
          <w:szCs w:val="28"/>
          <w:rtl/>
        </w:rPr>
        <w:t xml:space="preserve">במסגרת פרשת התביעה, נשמעו עדויותיהן של שתי החוקרות אשר גבו את הודייתו של המערער בעבירה שיוחסה לו. </w:t>
      </w:r>
      <w:r>
        <w:rPr>
          <w:rFonts w:cs="David" w:hint="cs"/>
          <w:sz w:val="28"/>
          <w:szCs w:val="28"/>
          <w:rtl/>
        </w:rPr>
        <w:t>בפרשת ההגנה נשמעה עדותו של המערער</w:t>
      </w:r>
      <w:r w:rsidR="007C01B2">
        <w:rPr>
          <w:rFonts w:cs="David" w:hint="cs"/>
          <w:sz w:val="28"/>
          <w:szCs w:val="28"/>
          <w:rtl/>
        </w:rPr>
        <w:t>, אשר</w:t>
      </w:r>
      <w:r w:rsidR="00784E5E">
        <w:rPr>
          <w:rFonts w:cs="David" w:hint="cs"/>
          <w:sz w:val="28"/>
          <w:szCs w:val="28"/>
          <w:rtl/>
        </w:rPr>
        <w:t>, בין היתר,</w:t>
      </w:r>
      <w:r w:rsidR="007C01B2">
        <w:rPr>
          <w:rFonts w:cs="David" w:hint="cs"/>
          <w:sz w:val="28"/>
          <w:szCs w:val="28"/>
          <w:rtl/>
        </w:rPr>
        <w:t xml:space="preserve"> שב על דבריו בחקירה</w:t>
      </w:r>
      <w:r w:rsidR="0066481D">
        <w:rPr>
          <w:rFonts w:cs="David" w:hint="cs"/>
          <w:sz w:val="28"/>
          <w:szCs w:val="28"/>
          <w:rtl/>
        </w:rPr>
        <w:t xml:space="preserve"> ו</w:t>
      </w:r>
      <w:r w:rsidR="007C01B2">
        <w:rPr>
          <w:rFonts w:cs="David" w:hint="cs"/>
          <w:sz w:val="28"/>
          <w:szCs w:val="28"/>
          <w:rtl/>
        </w:rPr>
        <w:t>הודה במעשים ש</w:t>
      </w:r>
      <w:r w:rsidR="0066481D">
        <w:rPr>
          <w:rFonts w:cs="David" w:hint="cs"/>
          <w:sz w:val="28"/>
          <w:szCs w:val="28"/>
          <w:rtl/>
        </w:rPr>
        <w:t xml:space="preserve">יוחסו לו </w:t>
      </w:r>
      <w:r w:rsidR="007C01B2">
        <w:rPr>
          <w:rFonts w:cs="David" w:hint="cs"/>
          <w:sz w:val="28"/>
          <w:szCs w:val="28"/>
          <w:rtl/>
        </w:rPr>
        <w:t>בכתב האישום</w:t>
      </w:r>
      <w:r w:rsidR="0066481D">
        <w:rPr>
          <w:rFonts w:cs="David" w:hint="cs"/>
          <w:sz w:val="28"/>
          <w:szCs w:val="28"/>
          <w:rtl/>
        </w:rPr>
        <w:t>.</w:t>
      </w:r>
      <w:r>
        <w:rPr>
          <w:rFonts w:cs="David" w:hint="cs"/>
          <w:sz w:val="28"/>
          <w:szCs w:val="28"/>
          <w:rtl/>
        </w:rPr>
        <w:t xml:space="preserve"> במהלך שמיעת הראיות הוצגו לבית הדין</w:t>
      </w:r>
      <w:r w:rsidR="00C217D3">
        <w:rPr>
          <w:rFonts w:cs="David" w:hint="cs"/>
          <w:sz w:val="28"/>
          <w:szCs w:val="28"/>
          <w:rtl/>
        </w:rPr>
        <w:t xml:space="preserve">, בין היתר, </w:t>
      </w:r>
      <w:r>
        <w:rPr>
          <w:rFonts w:cs="David" w:hint="cs"/>
          <w:sz w:val="28"/>
          <w:szCs w:val="28"/>
          <w:rtl/>
        </w:rPr>
        <w:t>אמרתו של המערער במצ"ח ומזכרים המתעדים את מהלך החקירה, "ציר שימושים" שהמערער ערך במהלך החקירה, צילומי מסך של שיחות</w:t>
      </w:r>
      <w:r w:rsidR="008B68B6">
        <w:rPr>
          <w:rFonts w:cs="David" w:hint="cs"/>
          <w:sz w:val="28"/>
          <w:szCs w:val="28"/>
          <w:rtl/>
        </w:rPr>
        <w:t xml:space="preserve"> שניהל המערער באמצעות יישומון </w:t>
      </w:r>
      <w:r w:rsidR="008B68B6">
        <w:rPr>
          <w:rFonts w:cs="David"/>
          <w:sz w:val="28"/>
          <w:szCs w:val="28"/>
        </w:rPr>
        <w:t>whatsApp</w:t>
      </w:r>
      <w:r>
        <w:rPr>
          <w:rFonts w:cs="David" w:hint="cs"/>
          <w:sz w:val="28"/>
          <w:szCs w:val="28"/>
          <w:rtl/>
        </w:rPr>
        <w:t xml:space="preserve"> ממכשיר הטלפון הנייד שלו, צו שיפוטי המתיר חדירה למכשיר זה וכן טופס, ש</w:t>
      </w:r>
      <w:r w:rsidR="008B68B6">
        <w:rPr>
          <w:rFonts w:cs="David" w:hint="cs"/>
          <w:sz w:val="28"/>
          <w:szCs w:val="28"/>
          <w:rtl/>
        </w:rPr>
        <w:t xml:space="preserve">על גביו </w:t>
      </w:r>
      <w:r>
        <w:rPr>
          <w:rFonts w:cs="David" w:hint="cs"/>
          <w:sz w:val="28"/>
          <w:szCs w:val="28"/>
          <w:rtl/>
        </w:rPr>
        <w:t xml:space="preserve">הביע המערער סירוב לעיון במכשיר </w:t>
      </w:r>
      <w:r w:rsidR="008B68B6">
        <w:rPr>
          <w:rFonts w:cs="David" w:hint="cs"/>
          <w:sz w:val="28"/>
          <w:szCs w:val="28"/>
          <w:rtl/>
        </w:rPr>
        <w:t xml:space="preserve">הטלפון הנייד שלו </w:t>
      </w:r>
      <w:r>
        <w:rPr>
          <w:rFonts w:cs="David" w:hint="cs"/>
          <w:sz w:val="28"/>
          <w:szCs w:val="28"/>
          <w:rtl/>
        </w:rPr>
        <w:t xml:space="preserve">(מיום 14.4.2019, שעה 14:15) וטופס </w:t>
      </w:r>
      <w:r w:rsidR="008B68B6">
        <w:rPr>
          <w:rFonts w:cs="David" w:hint="cs"/>
          <w:sz w:val="28"/>
          <w:szCs w:val="28"/>
          <w:rtl/>
        </w:rPr>
        <w:t xml:space="preserve">שבו הביע </w:t>
      </w:r>
      <w:r>
        <w:rPr>
          <w:rFonts w:cs="David" w:hint="cs"/>
          <w:sz w:val="28"/>
          <w:szCs w:val="28"/>
          <w:rtl/>
        </w:rPr>
        <w:t xml:space="preserve">הסכמה לעיון במכשיר (מיום 14.4.2019, שעה </w:t>
      </w:r>
      <w:r w:rsidR="00C217D3">
        <w:rPr>
          <w:rFonts w:cs="David" w:hint="cs"/>
          <w:sz w:val="28"/>
          <w:szCs w:val="28"/>
          <w:rtl/>
        </w:rPr>
        <w:t xml:space="preserve">14:35). </w:t>
      </w:r>
    </w:p>
    <w:p w14:paraId="253A9818" w14:textId="77777777" w:rsidR="002670A7" w:rsidRPr="0066481D" w:rsidRDefault="002670A7" w:rsidP="00C217D3">
      <w:pPr>
        <w:tabs>
          <w:tab w:val="left" w:pos="226"/>
        </w:tabs>
        <w:spacing w:line="360" w:lineRule="auto"/>
        <w:ind w:left="-58"/>
        <w:jc w:val="both"/>
        <w:rPr>
          <w:rFonts w:cs="David"/>
          <w:sz w:val="28"/>
          <w:szCs w:val="28"/>
          <w:rtl/>
        </w:rPr>
      </w:pPr>
    </w:p>
    <w:p w14:paraId="53E989F7" w14:textId="77777777" w:rsidR="00DE18BF" w:rsidRDefault="00DE18BF" w:rsidP="002670A7">
      <w:pPr>
        <w:tabs>
          <w:tab w:val="left" w:pos="226"/>
        </w:tabs>
        <w:spacing w:line="360" w:lineRule="auto"/>
        <w:jc w:val="both"/>
        <w:rPr>
          <w:rFonts w:cs="David"/>
          <w:b/>
          <w:bCs/>
          <w:sz w:val="28"/>
          <w:szCs w:val="28"/>
          <w:u w:val="single"/>
          <w:rtl/>
        </w:rPr>
      </w:pPr>
    </w:p>
    <w:p w14:paraId="415E99E1" w14:textId="77777777" w:rsidR="0045196A" w:rsidRPr="002670A7" w:rsidRDefault="002670A7" w:rsidP="002670A7">
      <w:pPr>
        <w:tabs>
          <w:tab w:val="left" w:pos="226"/>
        </w:tabs>
        <w:spacing w:line="360" w:lineRule="auto"/>
        <w:jc w:val="both"/>
        <w:rPr>
          <w:rFonts w:cs="David"/>
          <w:b/>
          <w:bCs/>
          <w:sz w:val="28"/>
          <w:szCs w:val="28"/>
          <w:u w:val="single"/>
        </w:rPr>
      </w:pPr>
      <w:r w:rsidRPr="002670A7">
        <w:rPr>
          <w:rFonts w:cs="David" w:hint="cs"/>
          <w:b/>
          <w:bCs/>
          <w:sz w:val="28"/>
          <w:szCs w:val="28"/>
          <w:u w:val="single"/>
          <w:rtl/>
        </w:rPr>
        <w:lastRenderedPageBreak/>
        <w:t xml:space="preserve">עיקרי הכרעת הדין </w:t>
      </w:r>
      <w:r w:rsidR="000726C6" w:rsidRPr="002670A7">
        <w:rPr>
          <w:rFonts w:cs="David" w:hint="cs"/>
          <w:b/>
          <w:bCs/>
          <w:sz w:val="28"/>
          <w:szCs w:val="28"/>
          <w:u w:val="single"/>
          <w:rtl/>
        </w:rPr>
        <w:t xml:space="preserve"> </w:t>
      </w:r>
    </w:p>
    <w:p w14:paraId="65421BB6" w14:textId="77777777" w:rsidR="00C217D3" w:rsidRDefault="00C217D3" w:rsidP="008B68B6">
      <w:pPr>
        <w:numPr>
          <w:ilvl w:val="0"/>
          <w:numId w:val="4"/>
        </w:numPr>
        <w:tabs>
          <w:tab w:val="left" w:pos="226"/>
        </w:tabs>
        <w:spacing w:line="360" w:lineRule="auto"/>
        <w:ind w:left="-58" w:firstLine="0"/>
        <w:jc w:val="both"/>
        <w:rPr>
          <w:rFonts w:cs="David"/>
          <w:sz w:val="28"/>
          <w:szCs w:val="28"/>
        </w:rPr>
      </w:pPr>
      <w:r>
        <w:rPr>
          <w:rFonts w:cs="David" w:hint="cs"/>
          <w:sz w:val="28"/>
          <w:szCs w:val="28"/>
          <w:rtl/>
        </w:rPr>
        <w:t>בית הדין קמא הנכבד עמד בהרחבה על מסד הראיות לכאורה וסקר את טענות הצדדים. לאחר האמור, קבע, כי</w:t>
      </w:r>
      <w:r w:rsidRPr="00C217D3">
        <w:rPr>
          <w:rFonts w:cs="David" w:hint="cs"/>
          <w:sz w:val="28"/>
          <w:szCs w:val="28"/>
          <w:rtl/>
        </w:rPr>
        <w:t xml:space="preserve"> </w:t>
      </w:r>
      <w:r>
        <w:rPr>
          <w:rFonts w:cs="David" w:hint="cs"/>
          <w:sz w:val="28"/>
          <w:szCs w:val="28"/>
          <w:rtl/>
        </w:rPr>
        <w:t>"</w:t>
      </w:r>
      <w:r w:rsidRPr="00C217D3">
        <w:rPr>
          <w:rFonts w:cs="David" w:hint="cs"/>
          <w:sz w:val="28"/>
          <w:szCs w:val="28"/>
          <w:rtl/>
        </w:rPr>
        <w:t xml:space="preserve">עדויות חוקרת מצ"ח וקצינת מצ"ח </w:t>
      </w:r>
      <w:r w:rsidRPr="00C217D3">
        <w:rPr>
          <w:rFonts w:cs="David" w:hint="cs"/>
          <w:b/>
          <w:bCs/>
          <w:sz w:val="28"/>
          <w:szCs w:val="28"/>
          <w:rtl/>
        </w:rPr>
        <w:t>הותירו עלי רושם מהימן ומשכנע. מצאתי להעדיפן על פני עדות הנאשם</w:t>
      </w:r>
      <w:r w:rsidRPr="00C217D3">
        <w:rPr>
          <w:rFonts w:cs="David" w:hint="cs"/>
          <w:sz w:val="28"/>
          <w:szCs w:val="28"/>
          <w:rtl/>
        </w:rPr>
        <w:t>, בכל הנוגע לטענות הנאשם החלופיות אשר נגעו להתנהלות החקירה: החיפוש שנערך במכשיר הטלפון שלו, והלחץ שהופעל עליו לכאורה, באופן שלטענתו הוביל למסירת הודאתו</w:t>
      </w:r>
      <w:r>
        <w:rPr>
          <w:rFonts w:cs="David" w:hint="cs"/>
          <w:sz w:val="28"/>
          <w:szCs w:val="28"/>
          <w:rtl/>
        </w:rPr>
        <w:t>" (הדגשות ה</w:t>
      </w:r>
      <w:r w:rsidR="008B68B6">
        <w:rPr>
          <w:rFonts w:cs="David" w:hint="cs"/>
          <w:sz w:val="28"/>
          <w:szCs w:val="28"/>
          <w:rtl/>
        </w:rPr>
        <w:t>ו</w:t>
      </w:r>
      <w:r>
        <w:rPr>
          <w:rFonts w:cs="David" w:hint="cs"/>
          <w:sz w:val="28"/>
          <w:szCs w:val="28"/>
          <w:rtl/>
        </w:rPr>
        <w:t>ספו)</w:t>
      </w:r>
      <w:r w:rsidRPr="00C217D3">
        <w:rPr>
          <w:rFonts w:cs="David" w:hint="cs"/>
          <w:sz w:val="28"/>
          <w:szCs w:val="28"/>
          <w:rtl/>
        </w:rPr>
        <w:t>.</w:t>
      </w:r>
    </w:p>
    <w:p w14:paraId="342E0031" w14:textId="77777777" w:rsidR="00C217D3" w:rsidRPr="00C217D3" w:rsidRDefault="00C217D3" w:rsidP="00BE4D87">
      <w:pPr>
        <w:numPr>
          <w:ilvl w:val="0"/>
          <w:numId w:val="4"/>
        </w:numPr>
        <w:tabs>
          <w:tab w:val="left" w:pos="226"/>
        </w:tabs>
        <w:spacing w:line="360" w:lineRule="auto"/>
        <w:ind w:left="-58" w:firstLine="0"/>
        <w:jc w:val="both"/>
        <w:rPr>
          <w:rFonts w:cs="David"/>
          <w:b/>
          <w:bCs/>
          <w:sz w:val="28"/>
          <w:szCs w:val="28"/>
          <w:rtl/>
        </w:rPr>
      </w:pPr>
      <w:r w:rsidRPr="00C217D3">
        <w:rPr>
          <w:rFonts w:cs="David" w:hint="cs"/>
          <w:sz w:val="28"/>
          <w:szCs w:val="28"/>
          <w:rtl/>
        </w:rPr>
        <w:t>לאור ממצאי המהימנות, נקבע</w:t>
      </w:r>
      <w:r w:rsidR="00BE4D87">
        <w:rPr>
          <w:rFonts w:cs="David" w:hint="cs"/>
          <w:sz w:val="28"/>
          <w:szCs w:val="28"/>
          <w:rtl/>
        </w:rPr>
        <w:t xml:space="preserve"> כי הוכחו העובדות </w:t>
      </w:r>
      <w:r>
        <w:rPr>
          <w:rFonts w:cs="David" w:hint="cs"/>
          <w:sz w:val="28"/>
          <w:szCs w:val="28"/>
          <w:rtl/>
        </w:rPr>
        <w:t>הבא</w:t>
      </w:r>
      <w:r w:rsidR="00BE4D87">
        <w:rPr>
          <w:rFonts w:cs="David" w:hint="cs"/>
          <w:sz w:val="28"/>
          <w:szCs w:val="28"/>
          <w:rtl/>
        </w:rPr>
        <w:t>ות</w:t>
      </w:r>
      <w:r w:rsidRPr="00C217D3">
        <w:rPr>
          <w:rFonts w:cs="David" w:hint="cs"/>
          <w:sz w:val="28"/>
          <w:szCs w:val="28"/>
          <w:rtl/>
        </w:rPr>
        <w:t xml:space="preserve">:  </w:t>
      </w:r>
    </w:p>
    <w:p w14:paraId="63CA20EE" w14:textId="77777777" w:rsidR="00C217D3" w:rsidRDefault="00C217D3" w:rsidP="00C217D3">
      <w:pPr>
        <w:tabs>
          <w:tab w:val="left" w:pos="226"/>
        </w:tabs>
        <w:ind w:left="1418" w:right="1418"/>
        <w:jc w:val="both"/>
        <w:rPr>
          <w:rFonts w:cs="David"/>
          <w:sz w:val="28"/>
          <w:szCs w:val="28"/>
          <w:rtl/>
        </w:rPr>
      </w:pPr>
      <w:r>
        <w:rPr>
          <w:rFonts w:cs="David" w:hint="cs"/>
          <w:sz w:val="28"/>
          <w:szCs w:val="28"/>
          <w:rtl/>
        </w:rPr>
        <w:t>"</w:t>
      </w:r>
      <w:r w:rsidRPr="00305FB7">
        <w:rPr>
          <w:rFonts w:cs="David" w:hint="eastAsia"/>
          <w:sz w:val="28"/>
          <w:szCs w:val="28"/>
          <w:rtl/>
        </w:rPr>
        <w:t>בית</w:t>
      </w:r>
      <w:r w:rsidRPr="00305FB7">
        <w:rPr>
          <w:rFonts w:cs="David"/>
          <w:sz w:val="28"/>
          <w:szCs w:val="28"/>
          <w:rtl/>
        </w:rPr>
        <w:t xml:space="preserve"> </w:t>
      </w:r>
      <w:r w:rsidRPr="00305FB7">
        <w:rPr>
          <w:rFonts w:cs="David" w:hint="eastAsia"/>
          <w:sz w:val="28"/>
          <w:szCs w:val="28"/>
          <w:rtl/>
        </w:rPr>
        <w:t>הדין</w:t>
      </w:r>
      <w:r w:rsidRPr="00305FB7">
        <w:rPr>
          <w:rFonts w:cs="David"/>
          <w:sz w:val="28"/>
          <w:szCs w:val="28"/>
          <w:rtl/>
        </w:rPr>
        <w:t xml:space="preserve"> </w:t>
      </w:r>
      <w:r w:rsidRPr="00305FB7">
        <w:rPr>
          <w:rFonts w:cs="David" w:hint="eastAsia"/>
          <w:sz w:val="28"/>
          <w:szCs w:val="28"/>
          <w:rtl/>
        </w:rPr>
        <w:t>מצא</w:t>
      </w:r>
      <w:r w:rsidRPr="00305FB7">
        <w:rPr>
          <w:rFonts w:cs="David"/>
          <w:sz w:val="28"/>
          <w:szCs w:val="28"/>
          <w:rtl/>
        </w:rPr>
        <w:t xml:space="preserve"> </w:t>
      </w:r>
      <w:r w:rsidRPr="00305FB7">
        <w:rPr>
          <w:rFonts w:cs="David" w:hint="eastAsia"/>
          <w:sz w:val="28"/>
          <w:szCs w:val="28"/>
          <w:rtl/>
        </w:rPr>
        <w:t>כי</w:t>
      </w:r>
      <w:r w:rsidRPr="00C217D3">
        <w:rPr>
          <w:rFonts w:cs="David" w:hint="cs"/>
          <w:b/>
          <w:bCs/>
          <w:sz w:val="28"/>
          <w:szCs w:val="28"/>
          <w:rtl/>
        </w:rPr>
        <w:t xml:space="preserve"> </w:t>
      </w:r>
      <w:r w:rsidRPr="00C217D3">
        <w:rPr>
          <w:rFonts w:cs="David" w:hint="cs"/>
          <w:sz w:val="28"/>
          <w:szCs w:val="28"/>
          <w:rtl/>
        </w:rPr>
        <w:t>הנאשם</w:t>
      </w:r>
      <w:r w:rsidRPr="00C217D3">
        <w:rPr>
          <w:rFonts w:cs="David" w:hint="cs"/>
          <w:b/>
          <w:bCs/>
          <w:sz w:val="28"/>
          <w:szCs w:val="28"/>
          <w:rtl/>
        </w:rPr>
        <w:t xml:space="preserve"> מסר את הדברים בחקירתו מרצונו הטוב והחופשי, לאחר שהבין את זכויותיו, ומדובר בהודאה קבילה בעלת משקל מלא</w:t>
      </w:r>
      <w:r w:rsidRPr="00C217D3">
        <w:rPr>
          <w:rFonts w:cs="David" w:hint="cs"/>
          <w:sz w:val="28"/>
          <w:szCs w:val="28"/>
          <w:rtl/>
        </w:rPr>
        <w:t>.</w:t>
      </w:r>
      <w:r>
        <w:rPr>
          <w:rFonts w:cs="David" w:hint="cs"/>
          <w:sz w:val="28"/>
          <w:szCs w:val="28"/>
          <w:rtl/>
        </w:rPr>
        <w:t xml:space="preserve">.. </w:t>
      </w:r>
    </w:p>
    <w:p w14:paraId="5C5E2F17" w14:textId="77777777" w:rsidR="00653BDF" w:rsidRDefault="00C217D3" w:rsidP="00BE4D87">
      <w:pPr>
        <w:tabs>
          <w:tab w:val="left" w:pos="226"/>
        </w:tabs>
        <w:ind w:left="1418" w:right="1418"/>
        <w:jc w:val="both"/>
        <w:rPr>
          <w:rFonts w:cs="David"/>
          <w:sz w:val="28"/>
          <w:szCs w:val="28"/>
          <w:rtl/>
        </w:rPr>
      </w:pPr>
      <w:r w:rsidRPr="00C217D3">
        <w:rPr>
          <w:rFonts w:cs="David" w:hint="cs"/>
          <w:sz w:val="28"/>
          <w:szCs w:val="28"/>
          <w:rtl/>
        </w:rPr>
        <w:t xml:space="preserve">בית הדין מצא לדחות את גרסת הנאשם לפיה לא מסר את סיסמתו לחוקרת מצ"ח בטרם הוצג לו הצו השיפוטי המתיר עריכת חיפוש במכשיר הטלפון שלו. קריאת אמרת הנאשם מצביעה על כך כי בשעה 14:07 נשאל הנאשם למספר הטלפון שלו, </w:t>
      </w:r>
      <w:r w:rsidRPr="00C217D3">
        <w:rPr>
          <w:rFonts w:cs="David" w:hint="cs"/>
          <w:b/>
          <w:bCs/>
          <w:sz w:val="28"/>
          <w:szCs w:val="28"/>
          <w:rtl/>
        </w:rPr>
        <w:t>מסר את מספר הטלפון</w:t>
      </w:r>
      <w:r w:rsidRPr="00C217D3">
        <w:rPr>
          <w:rFonts w:cs="David" w:hint="cs"/>
          <w:sz w:val="28"/>
          <w:szCs w:val="28"/>
          <w:rtl/>
        </w:rPr>
        <w:t xml:space="preserve">, בהמשך נשאל הנאשם מהו סוג מכשיר הטלפון, הנאשם </w:t>
      </w:r>
      <w:r w:rsidRPr="00C217D3">
        <w:rPr>
          <w:rFonts w:cs="David" w:hint="cs"/>
          <w:b/>
          <w:bCs/>
          <w:sz w:val="28"/>
          <w:szCs w:val="28"/>
          <w:rtl/>
        </w:rPr>
        <w:t>מסר את סוג מכשיר הטלפון</w:t>
      </w:r>
      <w:r w:rsidRPr="00C217D3">
        <w:rPr>
          <w:rFonts w:cs="David" w:hint="cs"/>
          <w:sz w:val="28"/>
          <w:szCs w:val="28"/>
          <w:rtl/>
        </w:rPr>
        <w:t xml:space="preserve">,  ולאחר מכן נשאל </w:t>
      </w:r>
      <w:r w:rsidR="00BE4D87">
        <w:rPr>
          <w:rFonts w:cs="David" w:hint="cs"/>
          <w:sz w:val="28"/>
          <w:szCs w:val="28"/>
          <w:rtl/>
        </w:rPr>
        <w:t>'</w:t>
      </w:r>
      <w:r w:rsidRPr="00C217D3">
        <w:rPr>
          <w:rFonts w:cs="David" w:hint="cs"/>
          <w:sz w:val="28"/>
          <w:szCs w:val="28"/>
          <w:rtl/>
        </w:rPr>
        <w:t xml:space="preserve">האם למכשירך יש </w:t>
      </w:r>
      <w:r w:rsidR="00722A5D">
        <w:rPr>
          <w:rFonts w:cs="David" w:hint="cs"/>
          <w:sz w:val="28"/>
          <w:szCs w:val="28"/>
          <w:rtl/>
        </w:rPr>
        <w:t>סיסמה</w:t>
      </w:r>
      <w:r w:rsidRPr="00C217D3">
        <w:rPr>
          <w:rFonts w:cs="David" w:hint="cs"/>
          <w:sz w:val="28"/>
          <w:szCs w:val="28"/>
          <w:rtl/>
        </w:rPr>
        <w:t>? אם כן מהי?</w:t>
      </w:r>
      <w:r w:rsidR="00BE4D87">
        <w:rPr>
          <w:rFonts w:cs="David" w:hint="cs"/>
          <w:sz w:val="28"/>
          <w:szCs w:val="28"/>
          <w:rtl/>
        </w:rPr>
        <w:t>'</w:t>
      </w:r>
      <w:r w:rsidRPr="00C217D3">
        <w:rPr>
          <w:rFonts w:cs="David" w:hint="cs"/>
          <w:sz w:val="28"/>
          <w:szCs w:val="28"/>
          <w:rtl/>
        </w:rPr>
        <w:t xml:space="preserve"> ועל פי הרשום באמרה, השיב הנאשם </w:t>
      </w:r>
      <w:r w:rsidR="00BE4D87">
        <w:rPr>
          <w:rFonts w:cs="David" w:hint="cs"/>
          <w:sz w:val="28"/>
          <w:szCs w:val="28"/>
          <w:rtl/>
        </w:rPr>
        <w:t>'</w:t>
      </w:r>
      <w:r w:rsidRPr="00C217D3">
        <w:rPr>
          <w:rFonts w:cs="David" w:hint="cs"/>
          <w:b/>
          <w:bCs/>
          <w:sz w:val="28"/>
          <w:szCs w:val="28"/>
          <w:rtl/>
        </w:rPr>
        <w:t>כן</w:t>
      </w:r>
      <w:r w:rsidR="00BE4D87">
        <w:rPr>
          <w:rFonts w:cs="David" w:hint="cs"/>
          <w:sz w:val="28"/>
          <w:szCs w:val="28"/>
          <w:rtl/>
        </w:rPr>
        <w:t>'</w:t>
      </w:r>
      <w:r w:rsidRPr="00C217D3">
        <w:rPr>
          <w:rFonts w:cs="David" w:hint="cs"/>
          <w:sz w:val="28"/>
          <w:szCs w:val="28"/>
          <w:rtl/>
        </w:rPr>
        <w:t xml:space="preserve"> ו</w:t>
      </w:r>
      <w:r w:rsidRPr="00C217D3">
        <w:rPr>
          <w:rFonts w:cs="David" w:hint="cs"/>
          <w:b/>
          <w:bCs/>
          <w:sz w:val="28"/>
          <w:szCs w:val="28"/>
          <w:rtl/>
        </w:rPr>
        <w:t>מסר את סיסמתו</w:t>
      </w:r>
      <w:r w:rsidRPr="00C217D3">
        <w:rPr>
          <w:rFonts w:cs="David" w:hint="cs"/>
          <w:sz w:val="28"/>
          <w:szCs w:val="28"/>
          <w:rtl/>
        </w:rPr>
        <w:t xml:space="preserve">. בהמשך, נשאל הנאשם למי יש גישה למכשירו הסלולרי, והשיב </w:t>
      </w:r>
      <w:r w:rsidR="00BE4D87">
        <w:rPr>
          <w:rFonts w:cs="David" w:hint="cs"/>
          <w:sz w:val="28"/>
          <w:szCs w:val="28"/>
          <w:rtl/>
        </w:rPr>
        <w:t>'</w:t>
      </w:r>
      <w:r w:rsidRPr="00C217D3">
        <w:rPr>
          <w:rFonts w:cs="David" w:hint="cs"/>
          <w:b/>
          <w:bCs/>
          <w:sz w:val="28"/>
          <w:szCs w:val="28"/>
          <w:rtl/>
        </w:rPr>
        <w:t>רק לי</w:t>
      </w:r>
      <w:r w:rsidR="00BE4D87">
        <w:rPr>
          <w:rFonts w:cs="David" w:hint="cs"/>
          <w:b/>
          <w:bCs/>
          <w:sz w:val="28"/>
          <w:szCs w:val="28"/>
          <w:rtl/>
        </w:rPr>
        <w:t>'</w:t>
      </w:r>
      <w:r w:rsidRPr="00C217D3">
        <w:rPr>
          <w:rFonts w:cs="David" w:hint="cs"/>
          <w:sz w:val="28"/>
          <w:szCs w:val="28"/>
          <w:rtl/>
        </w:rPr>
        <w:t xml:space="preserve">, ולאחר מכן כשנשאל האם הינו נוהג לתת לאנשים זרים גישה למכשירו הסלולרי, השיב הנאשם </w:t>
      </w:r>
      <w:r w:rsidR="00BE4D87">
        <w:rPr>
          <w:rFonts w:cs="David" w:hint="cs"/>
          <w:sz w:val="28"/>
          <w:szCs w:val="28"/>
          <w:rtl/>
        </w:rPr>
        <w:t>'</w:t>
      </w:r>
      <w:r w:rsidRPr="00C217D3">
        <w:rPr>
          <w:rFonts w:cs="David" w:hint="cs"/>
          <w:b/>
          <w:bCs/>
          <w:sz w:val="28"/>
          <w:szCs w:val="28"/>
          <w:rtl/>
        </w:rPr>
        <w:t>לא</w:t>
      </w:r>
      <w:r w:rsidR="00BE4D87">
        <w:rPr>
          <w:rFonts w:cs="David" w:hint="cs"/>
          <w:b/>
          <w:bCs/>
          <w:sz w:val="28"/>
          <w:szCs w:val="28"/>
          <w:rtl/>
        </w:rPr>
        <w:t>'</w:t>
      </w:r>
      <w:r w:rsidRPr="00C217D3">
        <w:rPr>
          <w:rFonts w:cs="David" w:hint="cs"/>
          <w:sz w:val="28"/>
          <w:szCs w:val="28"/>
          <w:rtl/>
        </w:rPr>
        <w:t>.</w:t>
      </w:r>
      <w:r>
        <w:rPr>
          <w:rFonts w:cs="David" w:hint="cs"/>
          <w:sz w:val="28"/>
          <w:szCs w:val="28"/>
          <w:rtl/>
        </w:rPr>
        <w:t>..</w:t>
      </w:r>
      <w:r w:rsidRPr="00C217D3">
        <w:rPr>
          <w:rFonts w:cs="David" w:hint="cs"/>
          <w:sz w:val="28"/>
          <w:szCs w:val="28"/>
          <w:rtl/>
        </w:rPr>
        <w:t xml:space="preserve"> עדותה של  חוקרת מצ"ח, רב"ט חדד, הותירה רושם חיובי ומשכנע על בית הדין, והחוקרת מסרה כי היא </w:t>
      </w:r>
      <w:r>
        <w:rPr>
          <w:rFonts w:cs="David" w:hint="cs"/>
          <w:sz w:val="28"/>
          <w:szCs w:val="28"/>
          <w:rtl/>
        </w:rPr>
        <w:t>'</w:t>
      </w:r>
      <w:r w:rsidRPr="00C217D3">
        <w:rPr>
          <w:rFonts w:cs="David" w:hint="cs"/>
          <w:sz w:val="28"/>
          <w:szCs w:val="28"/>
          <w:rtl/>
        </w:rPr>
        <w:t>נוהגת לשאול שאלות כלליות לגבי מכשיר טלפון סלולארי של חשוד בטרם העיון הידני, על מנת להבין האם המכשיר אכן שייך לחשוד</w:t>
      </w:r>
      <w:r>
        <w:rPr>
          <w:rFonts w:cs="David" w:hint="cs"/>
          <w:sz w:val="28"/>
          <w:szCs w:val="28"/>
          <w:rtl/>
        </w:rPr>
        <w:t>'</w:t>
      </w:r>
      <w:r w:rsidRPr="00C217D3">
        <w:rPr>
          <w:rFonts w:cs="David" w:hint="cs"/>
          <w:sz w:val="28"/>
          <w:szCs w:val="28"/>
          <w:rtl/>
        </w:rPr>
        <w:t>. ואכן, לאחר ששאלה החוקרת את הנאשם את השאלות האמורות בנוגע למכשיר הטלפון הנייד, פנתה לברר את הסכמתו לעריכת עיון ידני.</w:t>
      </w:r>
      <w:r>
        <w:rPr>
          <w:rFonts w:cs="David" w:hint="cs"/>
          <w:sz w:val="28"/>
          <w:szCs w:val="28"/>
          <w:rtl/>
        </w:rPr>
        <w:t xml:space="preserve">.. </w:t>
      </w:r>
      <w:r w:rsidRPr="00C217D3">
        <w:rPr>
          <w:rFonts w:cs="David" w:hint="cs"/>
          <w:sz w:val="28"/>
          <w:szCs w:val="28"/>
          <w:rtl/>
        </w:rPr>
        <w:t>הנני קובע כי הנאשם מסר לחוקרת את ה</w:t>
      </w:r>
      <w:r w:rsidR="00722A5D">
        <w:rPr>
          <w:rFonts w:cs="David" w:hint="cs"/>
          <w:sz w:val="28"/>
          <w:szCs w:val="28"/>
          <w:rtl/>
        </w:rPr>
        <w:t>סיסמה</w:t>
      </w:r>
      <w:r w:rsidRPr="00C217D3">
        <w:rPr>
          <w:rFonts w:cs="David" w:hint="cs"/>
          <w:sz w:val="28"/>
          <w:szCs w:val="28"/>
          <w:rtl/>
        </w:rPr>
        <w:t xml:space="preserve"> לטלפון הנייד שלו באותו שלב</w:t>
      </w:r>
      <w:r>
        <w:rPr>
          <w:rFonts w:cs="David" w:hint="cs"/>
          <w:sz w:val="28"/>
          <w:szCs w:val="28"/>
          <w:rtl/>
        </w:rPr>
        <w:t xml:space="preserve">... </w:t>
      </w:r>
    </w:p>
    <w:p w14:paraId="24415D06" w14:textId="77777777" w:rsidR="00C217D3" w:rsidRPr="00C217D3" w:rsidRDefault="00C217D3" w:rsidP="00653BDF">
      <w:pPr>
        <w:tabs>
          <w:tab w:val="left" w:pos="226"/>
        </w:tabs>
        <w:ind w:left="1418" w:right="1418"/>
        <w:jc w:val="both"/>
        <w:rPr>
          <w:rFonts w:cs="David"/>
          <w:b/>
          <w:bCs/>
          <w:sz w:val="28"/>
          <w:szCs w:val="28"/>
        </w:rPr>
      </w:pPr>
      <w:r w:rsidRPr="00C217D3">
        <w:rPr>
          <w:rFonts w:cs="David" w:hint="cs"/>
          <w:sz w:val="28"/>
          <w:szCs w:val="28"/>
          <w:rtl/>
        </w:rPr>
        <w:t xml:space="preserve">לאחר שסירב הנאשם לערוך חיפוש ידני במכשיר הטלפון הנייד שלו </w:t>
      </w:r>
      <w:r>
        <w:rPr>
          <w:rFonts w:cs="David" w:hint="cs"/>
          <w:sz w:val="28"/>
          <w:szCs w:val="28"/>
          <w:rtl/>
        </w:rPr>
        <w:t>'</w:t>
      </w:r>
      <w:r w:rsidRPr="00C217D3">
        <w:rPr>
          <w:rFonts w:cs="David" w:hint="cs"/>
          <w:sz w:val="28"/>
          <w:szCs w:val="28"/>
          <w:rtl/>
        </w:rPr>
        <w:t>מסיבות אישיות</w:t>
      </w:r>
      <w:r>
        <w:rPr>
          <w:rFonts w:cs="David" w:hint="cs"/>
          <w:sz w:val="28"/>
          <w:szCs w:val="28"/>
          <w:rtl/>
        </w:rPr>
        <w:t>'</w:t>
      </w:r>
      <w:r w:rsidRPr="00C217D3">
        <w:rPr>
          <w:rFonts w:cs="David" w:hint="cs"/>
          <w:sz w:val="28"/>
          <w:szCs w:val="28"/>
          <w:rtl/>
        </w:rPr>
        <w:t>, נכנסה לחדר החקירות סגן שיאון, שהציגה לנאשם צו בית משפט (</w:t>
      </w:r>
      <w:r w:rsidRPr="00C217D3">
        <w:rPr>
          <w:rFonts w:cs="David" w:hint="cs"/>
          <w:b/>
          <w:bCs/>
          <w:sz w:val="28"/>
          <w:szCs w:val="28"/>
          <w:rtl/>
        </w:rPr>
        <w:t>ת/12</w:t>
      </w:r>
      <w:r w:rsidRPr="00C217D3">
        <w:rPr>
          <w:rFonts w:cs="David" w:hint="cs"/>
          <w:sz w:val="28"/>
          <w:szCs w:val="28"/>
          <w:rtl/>
        </w:rPr>
        <w:t xml:space="preserve">) המתיר לחוקרי מצ"ח לבצע חדירה לחומר מחשב כולל טלפון סלולרי, לצורך הפקת פלטים לטובת איתור ראיות ומיצוי החקירה. תגובת הנאשם הייתה </w:t>
      </w:r>
      <w:r>
        <w:rPr>
          <w:rFonts w:cs="David" w:hint="cs"/>
          <w:sz w:val="28"/>
          <w:szCs w:val="28"/>
          <w:rtl/>
        </w:rPr>
        <w:t>'</w:t>
      </w:r>
      <w:r w:rsidRPr="00C217D3">
        <w:rPr>
          <w:rFonts w:cs="David" w:hint="cs"/>
          <w:b/>
          <w:bCs/>
          <w:sz w:val="28"/>
          <w:szCs w:val="28"/>
          <w:rtl/>
        </w:rPr>
        <w:t>קיבלתי, אני מסכים לעיון</w:t>
      </w:r>
      <w:r>
        <w:rPr>
          <w:rFonts w:cs="David" w:hint="cs"/>
          <w:sz w:val="28"/>
          <w:szCs w:val="28"/>
          <w:rtl/>
        </w:rPr>
        <w:t>'</w:t>
      </w:r>
      <w:r w:rsidRPr="00C217D3">
        <w:rPr>
          <w:rFonts w:cs="David" w:hint="cs"/>
          <w:sz w:val="28"/>
          <w:szCs w:val="28"/>
          <w:rtl/>
        </w:rPr>
        <w:t xml:space="preserve">. יצוין, כי בשלב זה הופסקה האמרה לצורך מילוי </w:t>
      </w:r>
      <w:r w:rsidRPr="00C217D3">
        <w:rPr>
          <w:rFonts w:cs="David" w:hint="cs"/>
          <w:b/>
          <w:bCs/>
          <w:sz w:val="28"/>
          <w:szCs w:val="28"/>
          <w:rtl/>
        </w:rPr>
        <w:t>טופס הסכמה</w:t>
      </w:r>
      <w:r w:rsidRPr="00C217D3">
        <w:rPr>
          <w:rFonts w:cs="David" w:hint="cs"/>
          <w:sz w:val="28"/>
          <w:szCs w:val="28"/>
          <w:rtl/>
        </w:rPr>
        <w:t xml:space="preserve"> של הנאשם לעריכת עיון במכשיר הטלפון שלו (</w:t>
      </w:r>
      <w:r w:rsidRPr="00C217D3">
        <w:rPr>
          <w:rFonts w:cs="David" w:hint="cs"/>
          <w:b/>
          <w:bCs/>
          <w:sz w:val="28"/>
          <w:szCs w:val="28"/>
          <w:rtl/>
        </w:rPr>
        <w:t>ת/8</w:t>
      </w:r>
      <w:r w:rsidRPr="00C217D3">
        <w:rPr>
          <w:rFonts w:cs="David" w:hint="cs"/>
          <w:sz w:val="28"/>
          <w:szCs w:val="28"/>
          <w:rtl/>
        </w:rPr>
        <w:t xml:space="preserve">), לאחר שקודם לכן חתם על </w:t>
      </w:r>
      <w:r w:rsidRPr="00C217D3">
        <w:rPr>
          <w:rFonts w:cs="David" w:hint="cs"/>
          <w:b/>
          <w:bCs/>
          <w:sz w:val="28"/>
          <w:szCs w:val="28"/>
          <w:rtl/>
        </w:rPr>
        <w:t>טופס אי הסכמה</w:t>
      </w:r>
      <w:r w:rsidRPr="00C217D3">
        <w:rPr>
          <w:rFonts w:cs="David" w:hint="cs"/>
          <w:sz w:val="28"/>
          <w:szCs w:val="28"/>
          <w:rtl/>
        </w:rPr>
        <w:t xml:space="preserve"> (</w:t>
      </w:r>
      <w:r w:rsidRPr="00C217D3">
        <w:rPr>
          <w:rFonts w:cs="David" w:hint="cs"/>
          <w:b/>
          <w:bCs/>
          <w:sz w:val="28"/>
          <w:szCs w:val="28"/>
          <w:rtl/>
        </w:rPr>
        <w:t>ת/7</w:t>
      </w:r>
      <w:r w:rsidRPr="00C217D3">
        <w:rPr>
          <w:rFonts w:cs="David" w:hint="cs"/>
          <w:sz w:val="28"/>
          <w:szCs w:val="28"/>
          <w:rtl/>
        </w:rPr>
        <w:t xml:space="preserve">) משסירב לעיון ידני. טענת הנאשם, לפיה לא קרא את הטפסים האמורים, וחתם עליהם רק לבקשת החוקרת, אינה יכולה להתקבל כטענה רצינית משהיא נאמרת על ידי </w:t>
      </w:r>
      <w:r w:rsidRPr="00C217D3">
        <w:rPr>
          <w:rFonts w:cs="David" w:hint="cs"/>
          <w:b/>
          <w:bCs/>
          <w:sz w:val="28"/>
          <w:szCs w:val="28"/>
          <w:rtl/>
        </w:rPr>
        <w:t>קצין,</w:t>
      </w:r>
      <w:r w:rsidRPr="00C217D3">
        <w:rPr>
          <w:rFonts w:cs="David" w:hint="cs"/>
          <w:sz w:val="28"/>
          <w:szCs w:val="28"/>
          <w:rtl/>
        </w:rPr>
        <w:t xml:space="preserve"> שבעדותו </w:t>
      </w:r>
      <w:r w:rsidRPr="00C217D3">
        <w:rPr>
          <w:rFonts w:cs="David" w:hint="cs"/>
          <w:sz w:val="28"/>
          <w:szCs w:val="28"/>
          <w:rtl/>
        </w:rPr>
        <w:lastRenderedPageBreak/>
        <w:t>בבית הדין הותיר רושם של אדם נבון, משכיל ואינטליגנטי, שחזקה עליו כי חתם על מסמכים רק לאחר שקרא אותם והבין את משמעותם, וזאת בהתאם להלכה הפסוקה לפיה חתימה על מסמך מקימה חזקה שבעובדה ש</w:t>
      </w:r>
      <w:r w:rsidR="00653BDF">
        <w:rPr>
          <w:rFonts w:cs="David" w:hint="cs"/>
          <w:sz w:val="28"/>
          <w:szCs w:val="28"/>
          <w:rtl/>
        </w:rPr>
        <w:t>'</w:t>
      </w:r>
      <w:r w:rsidRPr="00C217D3">
        <w:rPr>
          <w:rFonts w:cs="David" w:hint="cs"/>
          <w:sz w:val="28"/>
          <w:szCs w:val="28"/>
          <w:rtl/>
        </w:rPr>
        <w:t>אדם יודע את תוכן המסמך שעליו הוא חותם</w:t>
      </w:r>
      <w:r w:rsidR="00653BDF">
        <w:rPr>
          <w:rFonts w:cs="David" w:hint="cs"/>
          <w:sz w:val="28"/>
          <w:szCs w:val="28"/>
          <w:rtl/>
        </w:rPr>
        <w:t>'</w:t>
      </w:r>
      <w:r w:rsidRPr="00C217D3">
        <w:rPr>
          <w:rFonts w:cs="David" w:hint="cs"/>
          <w:sz w:val="28"/>
          <w:szCs w:val="28"/>
          <w:rtl/>
        </w:rPr>
        <w:t xml:space="preserve"> (ע/17/19 </w:t>
      </w:r>
      <w:r w:rsidRPr="00C217D3">
        <w:rPr>
          <w:rFonts w:cs="David" w:hint="cs"/>
          <w:b/>
          <w:bCs/>
          <w:sz w:val="28"/>
          <w:szCs w:val="28"/>
          <w:rtl/>
        </w:rPr>
        <w:t>רס"ל יפרח נ' התובע הצבאי הראשי</w:t>
      </w:r>
      <w:r w:rsidRPr="00C217D3">
        <w:rPr>
          <w:rFonts w:cs="David" w:hint="cs"/>
          <w:sz w:val="28"/>
          <w:szCs w:val="28"/>
          <w:rtl/>
        </w:rPr>
        <w:t>, פסקה 28 (2019)). הנאשם לא הצליח לעורר ספק סביר שיש בו כדי לכרסם בחזקה האמורה</w:t>
      </w:r>
      <w:r w:rsidR="00653BDF">
        <w:rPr>
          <w:rFonts w:cs="David" w:hint="cs"/>
          <w:sz w:val="28"/>
          <w:szCs w:val="28"/>
          <w:rtl/>
        </w:rPr>
        <w:t>" (הדגשות במקור)</w:t>
      </w:r>
      <w:r w:rsidR="008B4D03">
        <w:rPr>
          <w:rFonts w:cs="David" w:hint="cs"/>
          <w:sz w:val="28"/>
          <w:szCs w:val="28"/>
          <w:rtl/>
        </w:rPr>
        <w:t>.</w:t>
      </w:r>
    </w:p>
    <w:p w14:paraId="7A9A7695" w14:textId="77777777" w:rsidR="00C217D3" w:rsidRPr="00C217D3" w:rsidRDefault="00C217D3" w:rsidP="00653BDF">
      <w:pPr>
        <w:tabs>
          <w:tab w:val="left" w:pos="226"/>
        </w:tabs>
        <w:spacing w:line="360" w:lineRule="auto"/>
        <w:ind w:left="-58"/>
        <w:jc w:val="both"/>
        <w:rPr>
          <w:rFonts w:cs="David"/>
          <w:sz w:val="28"/>
          <w:szCs w:val="28"/>
          <w:rtl/>
        </w:rPr>
      </w:pPr>
    </w:p>
    <w:p w14:paraId="12C4364E" w14:textId="77777777" w:rsidR="00653BDF" w:rsidRPr="00653BDF" w:rsidRDefault="00653BDF" w:rsidP="0003207E">
      <w:pPr>
        <w:numPr>
          <w:ilvl w:val="0"/>
          <w:numId w:val="4"/>
        </w:numPr>
        <w:tabs>
          <w:tab w:val="left" w:pos="226"/>
        </w:tabs>
        <w:spacing w:line="360" w:lineRule="auto"/>
        <w:ind w:left="-58" w:firstLine="0"/>
        <w:jc w:val="both"/>
        <w:rPr>
          <w:rFonts w:cs="David"/>
          <w:sz w:val="28"/>
          <w:szCs w:val="28"/>
          <w:u w:val="single"/>
        </w:rPr>
      </w:pPr>
      <w:r>
        <w:rPr>
          <w:rFonts w:cs="David" w:hint="cs"/>
          <w:sz w:val="28"/>
          <w:szCs w:val="28"/>
          <w:rtl/>
        </w:rPr>
        <w:t>לאחר מכן, נדרש בית הדין קמא לשאלות המשפטיות שעוררה ההגנה. תחי</w:t>
      </w:r>
      <w:r w:rsidR="0003207E">
        <w:rPr>
          <w:rFonts w:cs="David" w:hint="cs"/>
          <w:sz w:val="28"/>
          <w:szCs w:val="28"/>
          <w:rtl/>
        </w:rPr>
        <w:t>ל</w:t>
      </w:r>
      <w:r>
        <w:rPr>
          <w:rFonts w:cs="David" w:hint="cs"/>
          <w:sz w:val="28"/>
          <w:szCs w:val="28"/>
          <w:rtl/>
        </w:rPr>
        <w:t>ה, דן בית הדין בשאלה "</w:t>
      </w:r>
      <w:r w:rsidR="00C217D3" w:rsidRPr="00C217D3">
        <w:rPr>
          <w:rFonts w:cs="David" w:hint="cs"/>
          <w:sz w:val="28"/>
          <w:szCs w:val="28"/>
          <w:rtl/>
        </w:rPr>
        <w:t>האם הצגת צו בית משפט המתיר חדירה לטלפון נייד של נחקר באופן המביא את הנחקר להסכים לעריכת חיפוש ידני במכשיר הטלפון שלו מהווה חיפוש לא חוקי, המביא לפסילת הראיות שנמצאו בחיפוש?</w:t>
      </w:r>
      <w:r>
        <w:rPr>
          <w:rFonts w:cs="David" w:hint="cs"/>
          <w:sz w:val="28"/>
          <w:szCs w:val="28"/>
          <w:rtl/>
        </w:rPr>
        <w:t xml:space="preserve">" וקבע כדלקמן: </w:t>
      </w:r>
    </w:p>
    <w:p w14:paraId="0C6411B3" w14:textId="77777777" w:rsidR="00C217D3" w:rsidRPr="00C217D3" w:rsidRDefault="00653BDF" w:rsidP="0003207E">
      <w:pPr>
        <w:tabs>
          <w:tab w:val="left" w:pos="226"/>
        </w:tabs>
        <w:ind w:left="1418" w:right="1418"/>
        <w:jc w:val="both"/>
        <w:rPr>
          <w:rFonts w:cs="David"/>
          <w:sz w:val="28"/>
          <w:szCs w:val="28"/>
          <w:u w:val="single"/>
        </w:rPr>
      </w:pPr>
      <w:r>
        <w:rPr>
          <w:rFonts w:cs="David" w:hint="cs"/>
          <w:sz w:val="28"/>
          <w:szCs w:val="28"/>
          <w:rtl/>
        </w:rPr>
        <w:t>"</w:t>
      </w:r>
      <w:r w:rsidR="00C217D3" w:rsidRPr="00C217D3">
        <w:rPr>
          <w:rFonts w:cs="David" w:hint="cs"/>
          <w:sz w:val="28"/>
          <w:szCs w:val="28"/>
          <w:rtl/>
        </w:rPr>
        <w:t>לטעמי, בנסיבות שעלו בתיק זה, התשובה לכך היא שלילית.</w:t>
      </w:r>
      <w:r>
        <w:rPr>
          <w:rFonts w:cs="David" w:hint="cs"/>
          <w:sz w:val="28"/>
          <w:szCs w:val="28"/>
          <w:rtl/>
        </w:rPr>
        <w:t xml:space="preserve"> </w:t>
      </w:r>
      <w:r w:rsidR="00C217D3" w:rsidRPr="00C217D3">
        <w:rPr>
          <w:rFonts w:cs="David" w:hint="cs"/>
          <w:sz w:val="28"/>
          <w:szCs w:val="28"/>
          <w:rtl/>
        </w:rPr>
        <w:t xml:space="preserve">אקדים מסקנה להסבר - הצגת צו שיפוטי לנחקר, המאיר בפניו את המצב המשפטי לאשורו, לפיו גורמי החקירה פנו לבית משפט לשם קבלת צו חיפוש במכשיר הטלפון הנייד של הנאשם, אינה עולה כדי תחבולה או הטעיית הנאשם </w:t>
      </w:r>
      <w:r>
        <w:rPr>
          <w:rFonts w:cs="David" w:hint="cs"/>
          <w:sz w:val="28"/>
          <w:szCs w:val="28"/>
          <w:rtl/>
        </w:rPr>
        <w:t xml:space="preserve">... </w:t>
      </w:r>
      <w:r w:rsidR="00C217D3" w:rsidRPr="00C217D3">
        <w:rPr>
          <w:rFonts w:cs="David" w:hint="cs"/>
          <w:sz w:val="28"/>
          <w:szCs w:val="28"/>
          <w:rtl/>
        </w:rPr>
        <w:t>נהפוך הוא. מקובלת עלי עמדת גורמי החקירה לפיה הצגת הצו השיפוטי המתיר חיפוש מעמיק במכשיר הטלפון הנייד של הנאשם, טרם יערך בו חיפוש כאמור, מטרתה לאפשר לנאשם להימנע מחיפוש מעמיק שכזה, ולהסתפק בחיפוש באמצעותו ובנוכחותו</w:t>
      </w:r>
      <w:r>
        <w:rPr>
          <w:rFonts w:cs="David" w:hint="cs"/>
          <w:sz w:val="28"/>
          <w:szCs w:val="28"/>
          <w:rtl/>
        </w:rPr>
        <w:t xml:space="preserve">... </w:t>
      </w:r>
      <w:r w:rsidR="00C217D3" w:rsidRPr="00C217D3">
        <w:rPr>
          <w:rFonts w:cs="David" w:hint="cs"/>
          <w:sz w:val="28"/>
          <w:szCs w:val="28"/>
          <w:rtl/>
        </w:rPr>
        <w:t xml:space="preserve">בפסיקה נקבע כי אף בטרם הוצאת הצו </w:t>
      </w:r>
      <w:r>
        <w:rPr>
          <w:rFonts w:cs="David" w:hint="cs"/>
          <w:sz w:val="28"/>
          <w:szCs w:val="28"/>
          <w:rtl/>
        </w:rPr>
        <w:t>'</w:t>
      </w:r>
      <w:r w:rsidR="00C217D3" w:rsidRPr="00C217D3">
        <w:rPr>
          <w:rFonts w:cs="David" w:hint="cs"/>
          <w:b/>
          <w:bCs/>
          <w:sz w:val="28"/>
          <w:szCs w:val="28"/>
          <w:rtl/>
        </w:rPr>
        <w:t>אין מניעה, כי החוקר יציין בפני הנחקר כי אם יסרב לחיפוש, צפויים החוקרים לפנות לבית המשפט המוסמך בבקשה למתן צו שופט, שיתיר את עריכת החיפוש</w:t>
      </w:r>
      <w:r>
        <w:rPr>
          <w:rFonts w:cs="David" w:hint="cs"/>
          <w:sz w:val="28"/>
          <w:szCs w:val="28"/>
          <w:rtl/>
        </w:rPr>
        <w:t>'</w:t>
      </w:r>
      <w:r w:rsidR="00C217D3" w:rsidRPr="00C217D3">
        <w:rPr>
          <w:rFonts w:cs="David" w:hint="cs"/>
          <w:sz w:val="28"/>
          <w:szCs w:val="28"/>
          <w:rtl/>
        </w:rPr>
        <w:t xml:space="preserve"> (עניין </w:t>
      </w:r>
      <w:r w:rsidR="00C217D3" w:rsidRPr="00C217D3">
        <w:rPr>
          <w:rFonts w:cs="David" w:hint="cs"/>
          <w:b/>
          <w:bCs/>
          <w:sz w:val="28"/>
          <w:szCs w:val="28"/>
          <w:rtl/>
        </w:rPr>
        <w:t>פלח</w:t>
      </w:r>
      <w:r w:rsidR="00C217D3" w:rsidRPr="00C217D3">
        <w:rPr>
          <w:rFonts w:cs="David" w:hint="cs"/>
          <w:sz w:val="28"/>
          <w:szCs w:val="28"/>
          <w:rtl/>
        </w:rPr>
        <w:t xml:space="preserve">, פסקה 27). מקל וחומר, אם נמצא כי ראוי שגורמי החקירה יסבירו לנחקר שבסמכותם לפנות לבית משפט לשם קבלת צו חיפוש, הרי שעה שכבר יש בידם צו כאמור, הרי שבהצגתו לנחקר, בטרם עריכת החיפוש המבוקש, אין כל פסול, אלא דווקא שקיפות ואף </w:t>
      </w:r>
      <w:r>
        <w:rPr>
          <w:rFonts w:cs="David" w:hint="cs"/>
          <w:sz w:val="28"/>
          <w:szCs w:val="28"/>
          <w:rtl/>
        </w:rPr>
        <w:t>'</w:t>
      </w:r>
      <w:r w:rsidR="00C217D3" w:rsidRPr="00C217D3">
        <w:rPr>
          <w:rFonts w:cs="David" w:hint="cs"/>
          <w:sz w:val="28"/>
          <w:szCs w:val="28"/>
          <w:rtl/>
        </w:rPr>
        <w:t>גילוי נאות</w:t>
      </w:r>
      <w:r>
        <w:rPr>
          <w:rFonts w:cs="David" w:hint="cs"/>
          <w:sz w:val="28"/>
          <w:szCs w:val="28"/>
          <w:rtl/>
        </w:rPr>
        <w:t>'</w:t>
      </w:r>
      <w:r w:rsidR="00C217D3" w:rsidRPr="00C217D3">
        <w:rPr>
          <w:rFonts w:cs="David" w:hint="cs"/>
          <w:sz w:val="28"/>
          <w:szCs w:val="28"/>
          <w:rtl/>
        </w:rPr>
        <w:t xml:space="preserve"> כלפי הנחקר</w:t>
      </w:r>
      <w:r>
        <w:rPr>
          <w:rFonts w:cs="David" w:hint="cs"/>
          <w:sz w:val="28"/>
          <w:szCs w:val="28"/>
          <w:rtl/>
        </w:rPr>
        <w:t xml:space="preserve">" (הדגשות </w:t>
      </w:r>
      <w:r w:rsidR="0003207E">
        <w:rPr>
          <w:rFonts w:cs="David" w:hint="cs"/>
          <w:sz w:val="28"/>
          <w:szCs w:val="28"/>
          <w:rtl/>
        </w:rPr>
        <w:t>במקור</w:t>
      </w:r>
      <w:r>
        <w:rPr>
          <w:rFonts w:cs="David" w:hint="cs"/>
          <w:sz w:val="28"/>
          <w:szCs w:val="28"/>
          <w:rtl/>
        </w:rPr>
        <w:t xml:space="preserve">). </w:t>
      </w:r>
      <w:r w:rsidR="00C217D3" w:rsidRPr="00C217D3">
        <w:rPr>
          <w:rFonts w:cs="David" w:hint="cs"/>
          <w:sz w:val="28"/>
          <w:szCs w:val="28"/>
          <w:rtl/>
        </w:rPr>
        <w:t xml:space="preserve"> </w:t>
      </w:r>
    </w:p>
    <w:p w14:paraId="7607BED0" w14:textId="77777777" w:rsidR="00C217D3" w:rsidRPr="00C217D3" w:rsidRDefault="00C217D3" w:rsidP="0003207E">
      <w:pPr>
        <w:tabs>
          <w:tab w:val="left" w:pos="226"/>
        </w:tabs>
        <w:spacing w:line="360" w:lineRule="auto"/>
        <w:ind w:left="-58"/>
        <w:jc w:val="both"/>
        <w:rPr>
          <w:rFonts w:cs="David"/>
          <w:sz w:val="28"/>
          <w:szCs w:val="28"/>
          <w:u w:val="single"/>
          <w:rtl/>
        </w:rPr>
      </w:pPr>
    </w:p>
    <w:p w14:paraId="22303A02" w14:textId="77777777" w:rsidR="00C217D3" w:rsidRPr="00C217D3" w:rsidRDefault="0003207E" w:rsidP="0003207E">
      <w:pPr>
        <w:numPr>
          <w:ilvl w:val="0"/>
          <w:numId w:val="4"/>
        </w:numPr>
        <w:tabs>
          <w:tab w:val="left" w:pos="226"/>
        </w:tabs>
        <w:spacing w:line="360" w:lineRule="auto"/>
        <w:ind w:left="-58" w:firstLine="0"/>
        <w:jc w:val="both"/>
        <w:rPr>
          <w:rFonts w:cs="David"/>
          <w:sz w:val="28"/>
          <w:szCs w:val="28"/>
          <w:rtl/>
        </w:rPr>
      </w:pPr>
      <w:r w:rsidRPr="0003207E">
        <w:rPr>
          <w:rFonts w:cs="David" w:hint="cs"/>
          <w:sz w:val="28"/>
          <w:szCs w:val="28"/>
          <w:rtl/>
        </w:rPr>
        <w:t>כמו כן, נקבע, כי "</w:t>
      </w:r>
      <w:r w:rsidR="00C217D3" w:rsidRPr="0003207E">
        <w:rPr>
          <w:rFonts w:cs="David" w:hint="cs"/>
          <w:sz w:val="28"/>
          <w:szCs w:val="28"/>
          <w:rtl/>
        </w:rPr>
        <w:t xml:space="preserve">לאחר שקבעתי כי </w:t>
      </w:r>
      <w:r w:rsidR="00C217D3" w:rsidRPr="0003207E">
        <w:rPr>
          <w:rFonts w:cs="David" w:hint="cs"/>
          <w:b/>
          <w:bCs/>
          <w:sz w:val="28"/>
          <w:szCs w:val="28"/>
          <w:rtl/>
        </w:rPr>
        <w:t>הנאשם היה מודע והבין את תוכן המסמכים עליהם חתם</w:t>
      </w:r>
      <w:r w:rsidR="00C217D3" w:rsidRPr="0003207E">
        <w:rPr>
          <w:rFonts w:cs="David" w:hint="cs"/>
          <w:sz w:val="28"/>
          <w:szCs w:val="28"/>
          <w:rtl/>
        </w:rPr>
        <w:t xml:space="preserve">, הרי שאין לקבל את טענת הנאשם לפיה לא ידע כי אינו חייב להסכים לעריכת החיפוש, שזכותו לסרב, להפסיק את החיפוש בכל עת עד להשלמתו, ושסירובו לא ישמש לחובתו, שעה שחתם </w:t>
      </w:r>
      <w:r w:rsidR="00C217D3" w:rsidRPr="0003207E">
        <w:rPr>
          <w:rFonts w:cs="David" w:hint="cs"/>
          <w:b/>
          <w:bCs/>
          <w:sz w:val="28"/>
          <w:szCs w:val="28"/>
          <w:rtl/>
        </w:rPr>
        <w:t>פעמיים</w:t>
      </w:r>
      <w:r w:rsidR="00C217D3" w:rsidRPr="0003207E">
        <w:rPr>
          <w:rFonts w:cs="David" w:hint="cs"/>
          <w:sz w:val="28"/>
          <w:szCs w:val="28"/>
          <w:rtl/>
        </w:rPr>
        <w:t xml:space="preserve"> על מסמכים שפירטו את זכויותיו האמורות</w:t>
      </w:r>
      <w:r w:rsidR="00BE4D87">
        <w:rPr>
          <w:rFonts w:cs="David" w:hint="cs"/>
          <w:sz w:val="28"/>
          <w:szCs w:val="28"/>
          <w:rtl/>
        </w:rPr>
        <w:t>...</w:t>
      </w:r>
      <w:r w:rsidR="00C217D3" w:rsidRPr="0003207E">
        <w:rPr>
          <w:rFonts w:cs="David" w:hint="cs"/>
          <w:sz w:val="28"/>
          <w:szCs w:val="28"/>
          <w:rtl/>
        </w:rPr>
        <w:t xml:space="preserve"> (</w:t>
      </w:r>
      <w:r w:rsidR="00C217D3" w:rsidRPr="0003207E">
        <w:rPr>
          <w:rFonts w:cs="David" w:hint="cs"/>
          <w:b/>
          <w:bCs/>
          <w:sz w:val="28"/>
          <w:szCs w:val="28"/>
          <w:rtl/>
        </w:rPr>
        <w:t>ת/7</w:t>
      </w:r>
      <w:r w:rsidR="00C217D3" w:rsidRPr="0003207E">
        <w:rPr>
          <w:rFonts w:cs="David" w:hint="cs"/>
          <w:sz w:val="28"/>
          <w:szCs w:val="28"/>
          <w:rtl/>
        </w:rPr>
        <w:t xml:space="preserve">, </w:t>
      </w:r>
      <w:r w:rsidR="00C217D3" w:rsidRPr="0003207E">
        <w:rPr>
          <w:rFonts w:cs="David" w:hint="cs"/>
          <w:b/>
          <w:bCs/>
          <w:sz w:val="28"/>
          <w:szCs w:val="28"/>
          <w:rtl/>
        </w:rPr>
        <w:t>ת/8</w:t>
      </w:r>
      <w:r w:rsidR="00C217D3" w:rsidRPr="0003207E">
        <w:rPr>
          <w:rFonts w:cs="David" w:hint="cs"/>
          <w:sz w:val="28"/>
          <w:szCs w:val="28"/>
          <w:rtl/>
        </w:rPr>
        <w:t xml:space="preserve">), קל וחומר כאשר לפי </w:t>
      </w:r>
      <w:r w:rsidR="00C217D3" w:rsidRPr="0003207E">
        <w:rPr>
          <w:rFonts w:cs="David" w:hint="cs"/>
          <w:b/>
          <w:bCs/>
          <w:sz w:val="28"/>
          <w:szCs w:val="28"/>
          <w:rtl/>
        </w:rPr>
        <w:t>ת/7</w:t>
      </w:r>
      <w:r w:rsidR="00C217D3" w:rsidRPr="0003207E">
        <w:rPr>
          <w:rFonts w:cs="David" w:hint="cs"/>
          <w:sz w:val="28"/>
          <w:szCs w:val="28"/>
          <w:rtl/>
        </w:rPr>
        <w:t xml:space="preserve"> </w:t>
      </w:r>
      <w:r w:rsidR="00C217D3" w:rsidRPr="0003207E">
        <w:rPr>
          <w:rFonts w:cs="David" w:hint="cs"/>
          <w:b/>
          <w:bCs/>
          <w:sz w:val="28"/>
          <w:szCs w:val="28"/>
          <w:rtl/>
        </w:rPr>
        <w:t>סירב</w:t>
      </w:r>
      <w:r w:rsidR="00C217D3" w:rsidRPr="0003207E">
        <w:rPr>
          <w:rFonts w:cs="David" w:hint="cs"/>
          <w:sz w:val="28"/>
          <w:szCs w:val="28"/>
          <w:rtl/>
        </w:rPr>
        <w:t xml:space="preserve"> לעריכת עיון, ולפי </w:t>
      </w:r>
      <w:r w:rsidR="00C217D3" w:rsidRPr="0003207E">
        <w:rPr>
          <w:rFonts w:cs="David" w:hint="cs"/>
          <w:b/>
          <w:bCs/>
          <w:sz w:val="28"/>
          <w:szCs w:val="28"/>
          <w:rtl/>
        </w:rPr>
        <w:t xml:space="preserve">ת/8 הסכים </w:t>
      </w:r>
      <w:r w:rsidR="00C217D3" w:rsidRPr="0003207E">
        <w:rPr>
          <w:rFonts w:cs="David" w:hint="cs"/>
          <w:sz w:val="28"/>
          <w:szCs w:val="28"/>
          <w:rtl/>
        </w:rPr>
        <w:t>לעריכת עיון</w:t>
      </w:r>
      <w:r w:rsidRPr="0003207E">
        <w:rPr>
          <w:rFonts w:cs="David" w:hint="cs"/>
          <w:sz w:val="28"/>
          <w:szCs w:val="28"/>
          <w:rtl/>
        </w:rPr>
        <w:t xml:space="preserve"> (הדגשות במקור)</w:t>
      </w:r>
      <w:r w:rsidR="00C217D3" w:rsidRPr="0003207E">
        <w:rPr>
          <w:rFonts w:cs="David" w:hint="cs"/>
          <w:sz w:val="28"/>
          <w:szCs w:val="28"/>
          <w:rtl/>
        </w:rPr>
        <w:t>.</w:t>
      </w:r>
      <w:r w:rsidR="00C217D3" w:rsidRPr="0003207E">
        <w:rPr>
          <w:rFonts w:cs="David" w:hint="cs"/>
          <w:b/>
          <w:bCs/>
          <w:sz w:val="28"/>
          <w:szCs w:val="28"/>
          <w:rtl/>
        </w:rPr>
        <w:t xml:space="preserve"> </w:t>
      </w:r>
      <w:r w:rsidR="00C217D3" w:rsidRPr="0003207E">
        <w:rPr>
          <w:rFonts w:cs="David" w:hint="cs"/>
          <w:sz w:val="28"/>
          <w:szCs w:val="28"/>
          <w:rtl/>
        </w:rPr>
        <w:t xml:space="preserve">זאת ועוד, נמצא כי גורמי החקירה </w:t>
      </w:r>
      <w:r w:rsidR="00C217D3" w:rsidRPr="0003207E">
        <w:rPr>
          <w:rFonts w:cs="David" w:hint="cs"/>
          <w:b/>
          <w:bCs/>
          <w:sz w:val="28"/>
          <w:szCs w:val="28"/>
          <w:rtl/>
        </w:rPr>
        <w:t>פעלו בהתאם להוראות קמצ"ר</w:t>
      </w:r>
      <w:r w:rsidR="00C217D3" w:rsidRPr="0003207E">
        <w:rPr>
          <w:rFonts w:cs="David" w:hint="cs"/>
          <w:sz w:val="28"/>
          <w:szCs w:val="28"/>
          <w:rtl/>
        </w:rPr>
        <w:t xml:space="preserve">. לפי </w:t>
      </w:r>
      <w:r w:rsidR="00C217D3" w:rsidRPr="0003207E">
        <w:rPr>
          <w:rFonts w:cs="David" w:hint="cs"/>
          <w:b/>
          <w:bCs/>
          <w:sz w:val="28"/>
          <w:szCs w:val="28"/>
          <w:rtl/>
        </w:rPr>
        <w:t xml:space="preserve">הוראה מס' 5008 להוראות קמצ"ר </w:t>
      </w:r>
      <w:r w:rsidR="00C217D3" w:rsidRPr="0003207E">
        <w:rPr>
          <w:rFonts w:cs="David"/>
          <w:b/>
          <w:bCs/>
          <w:sz w:val="28"/>
          <w:szCs w:val="28"/>
          <w:rtl/>
        </w:rPr>
        <w:t>–</w:t>
      </w:r>
      <w:r w:rsidR="00C217D3" w:rsidRPr="0003207E">
        <w:rPr>
          <w:rFonts w:cs="David" w:hint="cs"/>
          <w:b/>
          <w:bCs/>
          <w:sz w:val="28"/>
          <w:szCs w:val="28"/>
          <w:rtl/>
        </w:rPr>
        <w:t xml:space="preserve"> חיפוש בחומרי מחשב - </w:t>
      </w:r>
      <w:r w:rsidR="00C217D3" w:rsidRPr="0003207E">
        <w:rPr>
          <w:rFonts w:cs="David" w:hint="cs"/>
          <w:sz w:val="28"/>
          <w:szCs w:val="28"/>
          <w:rtl/>
        </w:rPr>
        <w:t xml:space="preserve"> </w:t>
      </w:r>
      <w:r w:rsidRPr="0003207E">
        <w:rPr>
          <w:rFonts w:cs="David" w:hint="cs"/>
          <w:sz w:val="28"/>
          <w:szCs w:val="28"/>
          <w:rtl/>
        </w:rPr>
        <w:t>'</w:t>
      </w:r>
      <w:r w:rsidR="00C217D3" w:rsidRPr="0003207E">
        <w:rPr>
          <w:rFonts w:cs="David" w:hint="cs"/>
          <w:sz w:val="28"/>
          <w:szCs w:val="28"/>
          <w:rtl/>
        </w:rPr>
        <w:t xml:space="preserve">לאחר הוצאת צו חדירה לחומר מחשב, </w:t>
      </w:r>
      <w:r w:rsidR="00C217D3" w:rsidRPr="0003207E">
        <w:rPr>
          <w:rFonts w:cs="David" w:hint="cs"/>
          <w:b/>
          <w:bCs/>
          <w:sz w:val="28"/>
          <w:szCs w:val="28"/>
          <w:rtl/>
        </w:rPr>
        <w:t>יש להציגו לחשוד</w:t>
      </w:r>
      <w:r w:rsidR="00C217D3" w:rsidRPr="0003207E">
        <w:rPr>
          <w:rFonts w:cs="David" w:hint="cs"/>
          <w:sz w:val="28"/>
          <w:szCs w:val="28"/>
          <w:rtl/>
        </w:rPr>
        <w:t xml:space="preserve">, ולהבהיר לו כי עליו לאפשר </w:t>
      </w:r>
      <w:r w:rsidR="00C217D3" w:rsidRPr="0003207E">
        <w:rPr>
          <w:rFonts w:cs="David" w:hint="cs"/>
          <w:sz w:val="28"/>
          <w:szCs w:val="28"/>
          <w:rtl/>
        </w:rPr>
        <w:lastRenderedPageBreak/>
        <w:t xml:space="preserve">למצ"ח לקיים את הצו השיפוטי </w:t>
      </w:r>
      <w:r w:rsidR="00C217D3" w:rsidRPr="0003207E">
        <w:rPr>
          <w:rFonts w:cs="David"/>
          <w:sz w:val="28"/>
          <w:szCs w:val="28"/>
          <w:rtl/>
        </w:rPr>
        <w:t>–</w:t>
      </w:r>
      <w:r w:rsidR="00C217D3" w:rsidRPr="0003207E">
        <w:rPr>
          <w:rFonts w:cs="David" w:hint="cs"/>
          <w:sz w:val="28"/>
          <w:szCs w:val="28"/>
          <w:rtl/>
        </w:rPr>
        <w:t xml:space="preserve"> בין אם ימסור מרצונו את הסיסמה למכשירו הסלולארי ובין אם ימסור את המכשיר לידי מצ"ח כשהוא 'פתוח לשימוש' ללא צורך בסיסמה</w:t>
      </w:r>
      <w:r w:rsidRPr="0003207E">
        <w:rPr>
          <w:rFonts w:cs="David" w:hint="cs"/>
          <w:sz w:val="28"/>
          <w:szCs w:val="28"/>
          <w:rtl/>
        </w:rPr>
        <w:t>'"</w:t>
      </w:r>
      <w:r w:rsidR="001B63D8">
        <w:rPr>
          <w:rFonts w:cs="David" w:hint="cs"/>
          <w:sz w:val="28"/>
          <w:szCs w:val="28"/>
          <w:rtl/>
        </w:rPr>
        <w:t xml:space="preserve"> (הדגשות במקור)</w:t>
      </w:r>
      <w:r>
        <w:rPr>
          <w:rFonts w:cs="David" w:hint="cs"/>
          <w:sz w:val="28"/>
          <w:szCs w:val="28"/>
          <w:rtl/>
        </w:rPr>
        <w:t>.</w:t>
      </w:r>
    </w:p>
    <w:p w14:paraId="2F2E2FBA" w14:textId="77777777" w:rsidR="00430D49" w:rsidRDefault="0003207E" w:rsidP="00430D49">
      <w:pPr>
        <w:numPr>
          <w:ilvl w:val="0"/>
          <w:numId w:val="4"/>
        </w:numPr>
        <w:tabs>
          <w:tab w:val="left" w:pos="226"/>
        </w:tabs>
        <w:spacing w:line="360" w:lineRule="auto"/>
        <w:ind w:left="-58" w:firstLine="0"/>
        <w:jc w:val="both"/>
        <w:rPr>
          <w:rFonts w:cs="David"/>
          <w:sz w:val="28"/>
          <w:szCs w:val="28"/>
        </w:rPr>
      </w:pPr>
      <w:r w:rsidRPr="00430D49">
        <w:rPr>
          <w:rFonts w:cs="David" w:hint="cs"/>
          <w:sz w:val="28"/>
          <w:szCs w:val="28"/>
          <w:rtl/>
        </w:rPr>
        <w:t>אף בנוגע ל</w:t>
      </w:r>
      <w:r w:rsidR="00C217D3" w:rsidRPr="00430D49">
        <w:rPr>
          <w:rFonts w:cs="David" w:hint="cs"/>
          <w:sz w:val="28"/>
          <w:szCs w:val="28"/>
          <w:rtl/>
        </w:rPr>
        <w:t xml:space="preserve">טענת </w:t>
      </w:r>
      <w:r w:rsidR="001B63D8">
        <w:rPr>
          <w:rFonts w:cs="David" w:hint="cs"/>
          <w:sz w:val="28"/>
          <w:szCs w:val="28"/>
          <w:rtl/>
        </w:rPr>
        <w:t>ה</w:t>
      </w:r>
      <w:r w:rsidR="00C217D3" w:rsidRPr="00430D49">
        <w:rPr>
          <w:rFonts w:cs="David" w:hint="cs"/>
          <w:sz w:val="28"/>
          <w:szCs w:val="28"/>
          <w:rtl/>
        </w:rPr>
        <w:t>ה</w:t>
      </w:r>
      <w:r w:rsidRPr="00430D49">
        <w:rPr>
          <w:rFonts w:cs="David" w:hint="cs"/>
          <w:sz w:val="28"/>
          <w:szCs w:val="28"/>
          <w:rtl/>
        </w:rPr>
        <w:t>גנה</w:t>
      </w:r>
      <w:r w:rsidR="00C217D3" w:rsidRPr="00430D49">
        <w:rPr>
          <w:rFonts w:cs="David" w:hint="cs"/>
          <w:sz w:val="28"/>
          <w:szCs w:val="28"/>
          <w:rtl/>
        </w:rPr>
        <w:t xml:space="preserve">, </w:t>
      </w:r>
      <w:r w:rsidRPr="00430D49">
        <w:rPr>
          <w:rFonts w:cs="David" w:hint="cs"/>
          <w:sz w:val="28"/>
          <w:szCs w:val="28"/>
          <w:rtl/>
        </w:rPr>
        <w:t>ש</w:t>
      </w:r>
      <w:r w:rsidR="00C217D3" w:rsidRPr="00430D49">
        <w:rPr>
          <w:rFonts w:cs="David" w:hint="cs"/>
          <w:sz w:val="28"/>
          <w:szCs w:val="28"/>
          <w:rtl/>
        </w:rPr>
        <w:t>לפיה לא היה מקום לבקש מ</w:t>
      </w:r>
      <w:r w:rsidRPr="00430D49">
        <w:rPr>
          <w:rFonts w:cs="David" w:hint="cs"/>
          <w:sz w:val="28"/>
          <w:szCs w:val="28"/>
          <w:rtl/>
        </w:rPr>
        <w:t xml:space="preserve">ן המערער </w:t>
      </w:r>
      <w:r w:rsidR="00C217D3" w:rsidRPr="00430D49">
        <w:rPr>
          <w:rFonts w:cs="David" w:hint="cs"/>
          <w:sz w:val="28"/>
          <w:szCs w:val="28"/>
          <w:rtl/>
        </w:rPr>
        <w:t>את ה</w:t>
      </w:r>
      <w:r w:rsidR="00722A5D">
        <w:rPr>
          <w:rFonts w:cs="David" w:hint="cs"/>
          <w:sz w:val="28"/>
          <w:szCs w:val="28"/>
          <w:rtl/>
        </w:rPr>
        <w:t>סיסמה</w:t>
      </w:r>
      <w:r w:rsidR="00C217D3" w:rsidRPr="00430D49">
        <w:rPr>
          <w:rFonts w:cs="David" w:hint="cs"/>
          <w:sz w:val="28"/>
          <w:szCs w:val="28"/>
          <w:rtl/>
        </w:rPr>
        <w:t xml:space="preserve"> למכשיר הטלפון שלו, ובכך לפגוע בזכותו לאי הפללה עצמית, אלא </w:t>
      </w:r>
      <w:r w:rsidRPr="00430D49">
        <w:rPr>
          <w:rFonts w:cs="David" w:hint="cs"/>
          <w:sz w:val="28"/>
          <w:szCs w:val="28"/>
          <w:rtl/>
        </w:rPr>
        <w:t>א</w:t>
      </w:r>
      <w:r w:rsidR="00C217D3" w:rsidRPr="00430D49">
        <w:rPr>
          <w:rFonts w:cs="David" w:hint="cs"/>
          <w:sz w:val="28"/>
          <w:szCs w:val="28"/>
          <w:rtl/>
        </w:rPr>
        <w:t xml:space="preserve">ם </w:t>
      </w:r>
      <w:r w:rsidRPr="00430D49">
        <w:rPr>
          <w:rFonts w:cs="David" w:hint="cs"/>
          <w:sz w:val="28"/>
          <w:szCs w:val="28"/>
          <w:rtl/>
        </w:rPr>
        <w:t xml:space="preserve">מצוין </w:t>
      </w:r>
      <w:r w:rsidR="00C217D3" w:rsidRPr="00430D49">
        <w:rPr>
          <w:rFonts w:cs="David" w:hint="cs"/>
          <w:sz w:val="28"/>
          <w:szCs w:val="28"/>
          <w:rtl/>
        </w:rPr>
        <w:t>הדבר בצו שניתן על ידי בית המשפט</w:t>
      </w:r>
      <w:r w:rsidRPr="00430D49">
        <w:rPr>
          <w:rFonts w:cs="David" w:hint="cs"/>
          <w:sz w:val="28"/>
          <w:szCs w:val="28"/>
          <w:rtl/>
        </w:rPr>
        <w:t xml:space="preserve"> </w:t>
      </w:r>
      <w:r w:rsidRPr="00430D49">
        <w:rPr>
          <w:rFonts w:cs="David"/>
          <w:sz w:val="28"/>
          <w:szCs w:val="28"/>
          <w:rtl/>
        </w:rPr>
        <w:t>–</w:t>
      </w:r>
      <w:r w:rsidRPr="00430D49">
        <w:rPr>
          <w:rFonts w:cs="David" w:hint="cs"/>
          <w:sz w:val="28"/>
          <w:szCs w:val="28"/>
          <w:rtl/>
        </w:rPr>
        <w:t xml:space="preserve"> </w:t>
      </w:r>
      <w:r w:rsidR="00E91A64">
        <w:rPr>
          <w:rFonts w:cs="David" w:hint="cs"/>
          <w:sz w:val="28"/>
          <w:szCs w:val="28"/>
          <w:rtl/>
        </w:rPr>
        <w:t>צוין</w:t>
      </w:r>
      <w:r w:rsidRPr="00430D49">
        <w:rPr>
          <w:rFonts w:cs="David" w:hint="cs"/>
          <w:sz w:val="28"/>
          <w:szCs w:val="28"/>
          <w:rtl/>
        </w:rPr>
        <w:t>, כי "</w:t>
      </w:r>
      <w:r w:rsidR="00C217D3" w:rsidRPr="00430D49">
        <w:rPr>
          <w:rFonts w:cs="David" w:hint="cs"/>
          <w:sz w:val="28"/>
          <w:szCs w:val="28"/>
          <w:rtl/>
        </w:rPr>
        <w:t>משקבעתי כאמור כי הנאשם מסר את ה</w:t>
      </w:r>
      <w:r w:rsidR="00722A5D">
        <w:rPr>
          <w:rFonts w:cs="David" w:hint="cs"/>
          <w:sz w:val="28"/>
          <w:szCs w:val="28"/>
          <w:rtl/>
        </w:rPr>
        <w:t>סיסמה</w:t>
      </w:r>
      <w:r w:rsidR="00C217D3" w:rsidRPr="00430D49">
        <w:rPr>
          <w:rFonts w:cs="David" w:hint="cs"/>
          <w:sz w:val="28"/>
          <w:szCs w:val="28"/>
          <w:rtl/>
        </w:rPr>
        <w:t xml:space="preserve"> למכשיר הטלפון הנייד שלו מרצונו הטוב והחופשי, אין כל נפקות לטענה שהעלתה ההגנה בנוגע לכך שצו החיפוש שהתבקש מבית המשפט לא כלל הוראה לחייב את החשוד למסור את ה</w:t>
      </w:r>
      <w:r w:rsidR="00722A5D">
        <w:rPr>
          <w:rFonts w:cs="David" w:hint="cs"/>
          <w:sz w:val="28"/>
          <w:szCs w:val="28"/>
          <w:rtl/>
        </w:rPr>
        <w:t>סיסמה</w:t>
      </w:r>
      <w:r w:rsidR="00C217D3" w:rsidRPr="00430D49">
        <w:rPr>
          <w:rFonts w:cs="David" w:hint="cs"/>
          <w:sz w:val="28"/>
          <w:szCs w:val="28"/>
          <w:rtl/>
        </w:rPr>
        <w:t xml:space="preserve"> למכשיר הטלפון שלו</w:t>
      </w:r>
      <w:r w:rsidRPr="00430D49">
        <w:rPr>
          <w:rFonts w:cs="David" w:hint="cs"/>
          <w:sz w:val="28"/>
          <w:szCs w:val="28"/>
          <w:rtl/>
        </w:rPr>
        <w:t>"</w:t>
      </w:r>
      <w:r w:rsidR="00C217D3" w:rsidRPr="00430D49">
        <w:rPr>
          <w:rFonts w:cs="David" w:hint="cs"/>
          <w:sz w:val="28"/>
          <w:szCs w:val="28"/>
          <w:rtl/>
        </w:rPr>
        <w:t>.</w:t>
      </w:r>
      <w:r w:rsidRPr="00430D49">
        <w:rPr>
          <w:rFonts w:cs="David" w:hint="cs"/>
          <w:sz w:val="28"/>
          <w:szCs w:val="28"/>
          <w:rtl/>
        </w:rPr>
        <w:t xml:space="preserve"> בית הדין שב והבהיר, כי "</w:t>
      </w:r>
      <w:r w:rsidR="00C217D3" w:rsidRPr="00430D49">
        <w:rPr>
          <w:rFonts w:cs="David" w:hint="cs"/>
          <w:sz w:val="28"/>
          <w:szCs w:val="28"/>
          <w:rtl/>
        </w:rPr>
        <w:t>עדותה של קצינת החקירות נמצאה אמינה ומהימנה בעיני. הקצינה העידה עדות מפורטת ורצינית, שהצביעה עליה כקצינה מקצועית ומנוסה המקפידה על נהלי החקירה של המשטרה הצבאית לצד שמירת זכויות הנחקרים, תוך שחזרה והדגישה כי הצגת צו החיפוש לנחקר נועדה כדי לאפשר לו להביע הסכמתו לעריכת עיון ידני במכשיר הטלפון הנייד, באופן שעשוי לאיין את הצורך בשליחת מכשיר הטלפון לחיפוש מעמיק במעבדה, שהוא חיפוש הפוגע בפרטיות במידה רבה יותר</w:t>
      </w:r>
      <w:r w:rsidRPr="00430D49">
        <w:rPr>
          <w:rFonts w:cs="David" w:hint="cs"/>
          <w:sz w:val="28"/>
          <w:szCs w:val="28"/>
          <w:rtl/>
        </w:rPr>
        <w:t>". בהתאם, סיכם בית הדין את הטענות בהקשר זה והבהיר</w:t>
      </w:r>
      <w:r w:rsidR="00430D49" w:rsidRPr="00430D49">
        <w:rPr>
          <w:rFonts w:cs="David" w:hint="cs"/>
          <w:sz w:val="28"/>
          <w:szCs w:val="28"/>
          <w:rtl/>
        </w:rPr>
        <w:t>,</w:t>
      </w:r>
      <w:r w:rsidR="00C217D3" w:rsidRPr="00430D49">
        <w:rPr>
          <w:rFonts w:cs="David" w:hint="cs"/>
          <w:sz w:val="28"/>
          <w:szCs w:val="28"/>
          <w:rtl/>
        </w:rPr>
        <w:t xml:space="preserve"> </w:t>
      </w:r>
      <w:r w:rsidR="00430D49" w:rsidRPr="00430D49">
        <w:rPr>
          <w:rFonts w:cs="David" w:hint="cs"/>
          <w:sz w:val="28"/>
          <w:szCs w:val="28"/>
          <w:rtl/>
        </w:rPr>
        <w:t xml:space="preserve">כי </w:t>
      </w:r>
      <w:r w:rsidR="00C217D3" w:rsidRPr="00430D49">
        <w:rPr>
          <w:rFonts w:cs="David" w:hint="cs"/>
          <w:sz w:val="28"/>
          <w:szCs w:val="28"/>
          <w:rtl/>
        </w:rPr>
        <w:t xml:space="preserve">לא </w:t>
      </w:r>
      <w:r w:rsidR="00430D49" w:rsidRPr="00430D49">
        <w:rPr>
          <w:rFonts w:cs="David" w:hint="cs"/>
          <w:sz w:val="28"/>
          <w:szCs w:val="28"/>
          <w:rtl/>
        </w:rPr>
        <w:t>נ</w:t>
      </w:r>
      <w:r w:rsidR="00C217D3" w:rsidRPr="00430D49">
        <w:rPr>
          <w:rFonts w:cs="David" w:hint="cs"/>
          <w:sz w:val="28"/>
          <w:szCs w:val="28"/>
          <w:rtl/>
        </w:rPr>
        <w:t>מצא פגם בחוקיות החיפוש שנערך במכשיר הטלפון הנייד של ה</w:t>
      </w:r>
      <w:r w:rsidR="00430D49" w:rsidRPr="00430D49">
        <w:rPr>
          <w:rFonts w:cs="David" w:hint="cs"/>
          <w:sz w:val="28"/>
          <w:szCs w:val="28"/>
          <w:rtl/>
        </w:rPr>
        <w:t xml:space="preserve">מערער. </w:t>
      </w:r>
    </w:p>
    <w:p w14:paraId="19E9B39C" w14:textId="77777777" w:rsidR="00C217D3" w:rsidRPr="00C217D3" w:rsidRDefault="00430D49" w:rsidP="006E1930">
      <w:pPr>
        <w:numPr>
          <w:ilvl w:val="0"/>
          <w:numId w:val="4"/>
        </w:numPr>
        <w:tabs>
          <w:tab w:val="left" w:pos="226"/>
        </w:tabs>
        <w:spacing w:line="360" w:lineRule="auto"/>
        <w:ind w:left="-58" w:firstLine="0"/>
        <w:jc w:val="both"/>
        <w:rPr>
          <w:rFonts w:cs="David"/>
          <w:sz w:val="28"/>
          <w:szCs w:val="28"/>
          <w:rtl/>
        </w:rPr>
      </w:pPr>
      <w:r w:rsidRPr="00430D49">
        <w:rPr>
          <w:rFonts w:cs="David" w:hint="cs"/>
          <w:sz w:val="28"/>
          <w:szCs w:val="28"/>
          <w:rtl/>
        </w:rPr>
        <w:t xml:space="preserve">מטעמים דומים דחה </w:t>
      </w:r>
      <w:r w:rsidR="00BE4D87">
        <w:rPr>
          <w:rFonts w:cs="David" w:hint="cs"/>
          <w:sz w:val="28"/>
          <w:szCs w:val="28"/>
          <w:rtl/>
        </w:rPr>
        <w:t xml:space="preserve">בית הדין </w:t>
      </w:r>
      <w:r w:rsidRPr="00430D49">
        <w:rPr>
          <w:rFonts w:cs="David" w:hint="cs"/>
          <w:sz w:val="28"/>
          <w:szCs w:val="28"/>
          <w:rtl/>
        </w:rPr>
        <w:t xml:space="preserve">גם </w:t>
      </w:r>
      <w:r w:rsidR="00C217D3" w:rsidRPr="00430D49">
        <w:rPr>
          <w:rFonts w:cs="David" w:hint="cs"/>
          <w:sz w:val="28"/>
          <w:szCs w:val="28"/>
          <w:rtl/>
        </w:rPr>
        <w:t xml:space="preserve">טענה נוספת של ההגנה, </w:t>
      </w:r>
      <w:r>
        <w:rPr>
          <w:rFonts w:cs="David" w:hint="cs"/>
          <w:sz w:val="28"/>
          <w:szCs w:val="28"/>
          <w:rtl/>
        </w:rPr>
        <w:t>ש</w:t>
      </w:r>
      <w:r w:rsidR="00C217D3" w:rsidRPr="00430D49">
        <w:rPr>
          <w:rFonts w:cs="David" w:hint="cs"/>
          <w:sz w:val="28"/>
          <w:szCs w:val="28"/>
          <w:rtl/>
        </w:rPr>
        <w:t>לפיה הודאת ה</w:t>
      </w:r>
      <w:r>
        <w:rPr>
          <w:rFonts w:cs="David" w:hint="cs"/>
          <w:sz w:val="28"/>
          <w:szCs w:val="28"/>
          <w:rtl/>
        </w:rPr>
        <w:t xml:space="preserve">מערער נמסרה </w:t>
      </w:r>
      <w:r w:rsidR="00C217D3" w:rsidRPr="00430D49">
        <w:rPr>
          <w:rFonts w:cs="David" w:hint="cs"/>
          <w:sz w:val="28"/>
          <w:szCs w:val="28"/>
          <w:rtl/>
        </w:rPr>
        <w:t xml:space="preserve">בעקבות </w:t>
      </w:r>
      <w:r>
        <w:rPr>
          <w:rFonts w:cs="David" w:hint="cs"/>
          <w:sz w:val="28"/>
          <w:szCs w:val="28"/>
          <w:rtl/>
        </w:rPr>
        <w:t>"</w:t>
      </w:r>
      <w:r w:rsidR="00C217D3" w:rsidRPr="00430D49">
        <w:rPr>
          <w:rFonts w:cs="David" w:hint="cs"/>
          <w:sz w:val="28"/>
          <w:szCs w:val="28"/>
          <w:rtl/>
        </w:rPr>
        <w:t>לחץ</w:t>
      </w:r>
      <w:r>
        <w:rPr>
          <w:rFonts w:cs="David" w:hint="cs"/>
          <w:sz w:val="28"/>
          <w:szCs w:val="28"/>
          <w:rtl/>
        </w:rPr>
        <w:t>" וקבע, כי לפני בית הדין הוצגה תשתית ראיות מתאימה להוכחת האשמה</w:t>
      </w:r>
      <w:r w:rsidR="00236067">
        <w:rPr>
          <w:rFonts w:cs="David" w:hint="cs"/>
          <w:sz w:val="28"/>
          <w:szCs w:val="28"/>
          <w:rtl/>
        </w:rPr>
        <w:t>. כך, בין היתר, ציין בית הדין כי המערער חזר בו במהלך החקירה, מדבריו בנוגע לשימוש בפטריות הזיה, אך התמיד</w:t>
      </w:r>
      <w:r w:rsidR="006E1930">
        <w:rPr>
          <w:rFonts w:cs="David" w:hint="cs"/>
          <w:sz w:val="28"/>
          <w:szCs w:val="28"/>
          <w:rtl/>
        </w:rPr>
        <w:t>,</w:t>
      </w:r>
      <w:r w:rsidR="00236067">
        <w:rPr>
          <w:rFonts w:cs="David" w:hint="cs"/>
          <w:sz w:val="28"/>
          <w:szCs w:val="28"/>
          <w:rtl/>
        </w:rPr>
        <w:t xml:space="preserve"> לכל אורך החקירה</w:t>
      </w:r>
      <w:r w:rsidR="006E1930">
        <w:rPr>
          <w:rFonts w:cs="David" w:hint="cs"/>
          <w:sz w:val="28"/>
          <w:szCs w:val="28"/>
          <w:rtl/>
        </w:rPr>
        <w:t>,</w:t>
      </w:r>
      <w:r w:rsidR="00236067">
        <w:rPr>
          <w:rFonts w:cs="David" w:hint="cs"/>
          <w:sz w:val="28"/>
          <w:szCs w:val="28"/>
          <w:rtl/>
        </w:rPr>
        <w:t xml:space="preserve"> </w:t>
      </w:r>
      <w:r w:rsidR="006E1930">
        <w:rPr>
          <w:rFonts w:cs="David" w:hint="cs"/>
          <w:sz w:val="28"/>
          <w:szCs w:val="28"/>
          <w:rtl/>
        </w:rPr>
        <w:t>ב</w:t>
      </w:r>
      <w:r w:rsidR="00236067">
        <w:rPr>
          <w:rFonts w:cs="David" w:hint="cs"/>
          <w:sz w:val="28"/>
          <w:szCs w:val="28"/>
          <w:rtl/>
        </w:rPr>
        <w:t>הודאתו במעשי השימוש בסם מסוכן מסוג קנאביס ומסר בעניינם פרטים מסודרים וקוהרנטיים</w:t>
      </w:r>
      <w:r w:rsidR="006E1930">
        <w:rPr>
          <w:rFonts w:cs="David" w:hint="cs"/>
          <w:sz w:val="28"/>
          <w:szCs w:val="28"/>
          <w:rtl/>
        </w:rPr>
        <w:t xml:space="preserve"> - </w:t>
      </w:r>
      <w:r w:rsidR="00236067">
        <w:rPr>
          <w:rFonts w:cs="David" w:hint="cs"/>
          <w:sz w:val="28"/>
          <w:szCs w:val="28"/>
          <w:rtl/>
        </w:rPr>
        <w:t xml:space="preserve"> </w:t>
      </w:r>
    </w:p>
    <w:p w14:paraId="359C34A0" w14:textId="77777777" w:rsidR="00BE4D87" w:rsidRDefault="00430D49" w:rsidP="00DE100B">
      <w:pPr>
        <w:tabs>
          <w:tab w:val="left" w:pos="226"/>
        </w:tabs>
        <w:ind w:left="1418" w:right="1418"/>
        <w:jc w:val="both"/>
        <w:rPr>
          <w:rFonts w:cs="David"/>
          <w:b/>
          <w:bCs/>
          <w:sz w:val="28"/>
          <w:szCs w:val="28"/>
          <w:rtl/>
        </w:rPr>
      </w:pPr>
      <w:r>
        <w:rPr>
          <w:rFonts w:cs="David" w:hint="cs"/>
          <w:sz w:val="28"/>
          <w:szCs w:val="28"/>
          <w:rtl/>
        </w:rPr>
        <w:t>"</w:t>
      </w:r>
      <w:r w:rsidR="00C217D3" w:rsidRPr="00C217D3">
        <w:rPr>
          <w:rFonts w:cs="David" w:hint="cs"/>
          <w:sz w:val="28"/>
          <w:szCs w:val="28"/>
          <w:rtl/>
        </w:rPr>
        <w:t xml:space="preserve">מדברי הנאשם, הן באמרתו במצ"ח, הן בעדותו בבית הדין, </w:t>
      </w:r>
      <w:r w:rsidR="00C217D3" w:rsidRPr="00C217D3">
        <w:rPr>
          <w:rFonts w:cs="David" w:hint="cs"/>
          <w:b/>
          <w:bCs/>
          <w:sz w:val="28"/>
          <w:szCs w:val="28"/>
          <w:rtl/>
        </w:rPr>
        <w:t>מוסר החשש כי מדובר בהודאת שווא</w:t>
      </w:r>
      <w:r w:rsidR="00C217D3" w:rsidRPr="00C217D3">
        <w:rPr>
          <w:rFonts w:cs="David" w:hint="cs"/>
          <w:sz w:val="28"/>
          <w:szCs w:val="28"/>
          <w:rtl/>
        </w:rPr>
        <w:t>. ממילא, על פי סעיף 358(ב) לחוק השיפוט הצבאי, התשט"ו-1955</w:t>
      </w:r>
      <w:r>
        <w:rPr>
          <w:rFonts w:cs="David" w:hint="cs"/>
          <w:sz w:val="28"/>
          <w:szCs w:val="28"/>
          <w:rtl/>
        </w:rPr>
        <w:t xml:space="preserve">... </w:t>
      </w:r>
      <w:r w:rsidR="00C217D3" w:rsidRPr="00C217D3">
        <w:rPr>
          <w:rFonts w:cs="David" w:hint="cs"/>
          <w:sz w:val="28"/>
          <w:szCs w:val="28"/>
          <w:rtl/>
        </w:rPr>
        <w:t xml:space="preserve">משתשובת הנאשם לאשמה בבית הדין היא כי הוא מודה באשמה, </w:t>
      </w:r>
      <w:r>
        <w:rPr>
          <w:rFonts w:cs="David" w:hint="cs"/>
          <w:sz w:val="28"/>
          <w:szCs w:val="28"/>
          <w:rtl/>
        </w:rPr>
        <w:t>'</w:t>
      </w:r>
      <w:r w:rsidR="00C217D3" w:rsidRPr="00C217D3">
        <w:rPr>
          <w:rFonts w:cs="David" w:hint="cs"/>
          <w:i/>
          <w:iCs/>
          <w:sz w:val="28"/>
          <w:szCs w:val="28"/>
          <w:rtl/>
        </w:rPr>
        <w:t>רואים</w:t>
      </w:r>
      <w:r w:rsidR="00C217D3" w:rsidRPr="00C217D3">
        <w:rPr>
          <w:rFonts w:cs="David"/>
          <w:i/>
          <w:iCs/>
          <w:sz w:val="28"/>
          <w:szCs w:val="28"/>
          <w:rtl/>
        </w:rPr>
        <w:t xml:space="preserve"> </w:t>
      </w:r>
      <w:r w:rsidR="00C217D3" w:rsidRPr="00C217D3">
        <w:rPr>
          <w:rFonts w:cs="David" w:hint="cs"/>
          <w:i/>
          <w:iCs/>
          <w:sz w:val="28"/>
          <w:szCs w:val="28"/>
          <w:rtl/>
        </w:rPr>
        <w:t>את</w:t>
      </w:r>
      <w:r w:rsidR="00C217D3" w:rsidRPr="00C217D3">
        <w:rPr>
          <w:rFonts w:cs="David"/>
          <w:i/>
          <w:iCs/>
          <w:sz w:val="28"/>
          <w:szCs w:val="28"/>
          <w:rtl/>
        </w:rPr>
        <w:t xml:space="preserve"> </w:t>
      </w:r>
      <w:r w:rsidR="00C217D3" w:rsidRPr="00C217D3">
        <w:rPr>
          <w:rFonts w:cs="David" w:hint="cs"/>
          <w:i/>
          <w:iCs/>
          <w:sz w:val="28"/>
          <w:szCs w:val="28"/>
          <w:rtl/>
        </w:rPr>
        <w:t>האשמה</w:t>
      </w:r>
      <w:r w:rsidR="00C217D3" w:rsidRPr="00C217D3">
        <w:rPr>
          <w:rFonts w:cs="David"/>
          <w:i/>
          <w:iCs/>
          <w:sz w:val="28"/>
          <w:szCs w:val="28"/>
          <w:rtl/>
        </w:rPr>
        <w:t xml:space="preserve"> </w:t>
      </w:r>
      <w:r w:rsidR="00C217D3" w:rsidRPr="00C217D3">
        <w:rPr>
          <w:rFonts w:cs="David" w:hint="cs"/>
          <w:i/>
          <w:iCs/>
          <w:sz w:val="28"/>
          <w:szCs w:val="28"/>
          <w:rtl/>
        </w:rPr>
        <w:t>כמוכחת</w:t>
      </w:r>
      <w:r w:rsidR="00C217D3" w:rsidRPr="00C217D3">
        <w:rPr>
          <w:rFonts w:cs="David"/>
          <w:i/>
          <w:iCs/>
          <w:sz w:val="28"/>
          <w:szCs w:val="28"/>
          <w:rtl/>
        </w:rPr>
        <w:t xml:space="preserve"> </w:t>
      </w:r>
      <w:r w:rsidR="00C217D3" w:rsidRPr="00C217D3">
        <w:rPr>
          <w:rFonts w:cs="David" w:hint="cs"/>
          <w:i/>
          <w:iCs/>
          <w:sz w:val="28"/>
          <w:szCs w:val="28"/>
          <w:rtl/>
        </w:rPr>
        <w:t>ובית</w:t>
      </w:r>
      <w:r w:rsidR="00C217D3" w:rsidRPr="00C217D3">
        <w:rPr>
          <w:rFonts w:cs="David"/>
          <w:i/>
          <w:iCs/>
          <w:sz w:val="28"/>
          <w:szCs w:val="28"/>
          <w:rtl/>
        </w:rPr>
        <w:t xml:space="preserve"> </w:t>
      </w:r>
      <w:r w:rsidR="00C217D3" w:rsidRPr="00C217D3">
        <w:rPr>
          <w:rFonts w:cs="David" w:hint="cs"/>
          <w:i/>
          <w:iCs/>
          <w:sz w:val="28"/>
          <w:szCs w:val="28"/>
          <w:rtl/>
        </w:rPr>
        <w:t>הדין</w:t>
      </w:r>
      <w:r w:rsidR="00C217D3" w:rsidRPr="00C217D3">
        <w:rPr>
          <w:rFonts w:cs="David"/>
          <w:i/>
          <w:iCs/>
          <w:sz w:val="28"/>
          <w:szCs w:val="28"/>
          <w:rtl/>
        </w:rPr>
        <w:t xml:space="preserve"> </w:t>
      </w:r>
      <w:r w:rsidR="00C217D3" w:rsidRPr="00C217D3">
        <w:rPr>
          <w:rFonts w:cs="David" w:hint="cs"/>
          <w:i/>
          <w:iCs/>
          <w:sz w:val="28"/>
          <w:szCs w:val="28"/>
          <w:rtl/>
        </w:rPr>
        <w:t>ירשיע</w:t>
      </w:r>
      <w:r w:rsidR="00C217D3" w:rsidRPr="00C217D3">
        <w:rPr>
          <w:rFonts w:cs="David"/>
          <w:i/>
          <w:iCs/>
          <w:sz w:val="28"/>
          <w:szCs w:val="28"/>
          <w:rtl/>
        </w:rPr>
        <w:t xml:space="preserve"> </w:t>
      </w:r>
      <w:r w:rsidR="00C217D3" w:rsidRPr="00C217D3">
        <w:rPr>
          <w:rFonts w:cs="David" w:hint="cs"/>
          <w:i/>
          <w:iCs/>
          <w:sz w:val="28"/>
          <w:szCs w:val="28"/>
          <w:rtl/>
        </w:rPr>
        <w:t>את</w:t>
      </w:r>
      <w:r w:rsidR="00C217D3" w:rsidRPr="00C217D3">
        <w:rPr>
          <w:rFonts w:cs="David"/>
          <w:i/>
          <w:iCs/>
          <w:sz w:val="28"/>
          <w:szCs w:val="28"/>
          <w:rtl/>
        </w:rPr>
        <w:t xml:space="preserve"> </w:t>
      </w:r>
      <w:r w:rsidR="00C217D3" w:rsidRPr="00C217D3">
        <w:rPr>
          <w:rFonts w:cs="David" w:hint="cs"/>
          <w:i/>
          <w:iCs/>
          <w:sz w:val="28"/>
          <w:szCs w:val="28"/>
          <w:rtl/>
        </w:rPr>
        <w:t>הנאשם</w:t>
      </w:r>
      <w:r w:rsidR="00C217D3" w:rsidRPr="00C217D3">
        <w:rPr>
          <w:rFonts w:cs="David"/>
          <w:i/>
          <w:iCs/>
          <w:sz w:val="28"/>
          <w:szCs w:val="28"/>
          <w:rtl/>
        </w:rPr>
        <w:t xml:space="preserve"> </w:t>
      </w:r>
      <w:r w:rsidR="00C217D3" w:rsidRPr="00C217D3">
        <w:rPr>
          <w:rFonts w:cs="David" w:hint="cs"/>
          <w:i/>
          <w:iCs/>
          <w:sz w:val="28"/>
          <w:szCs w:val="28"/>
          <w:rtl/>
        </w:rPr>
        <w:t>על</w:t>
      </w:r>
      <w:r w:rsidR="00C217D3" w:rsidRPr="00C217D3">
        <w:rPr>
          <w:rFonts w:cs="David"/>
          <w:i/>
          <w:iCs/>
          <w:sz w:val="28"/>
          <w:szCs w:val="28"/>
          <w:rtl/>
        </w:rPr>
        <w:t xml:space="preserve"> </w:t>
      </w:r>
      <w:r w:rsidR="00C217D3" w:rsidRPr="00C217D3">
        <w:rPr>
          <w:rFonts w:cs="David" w:hint="cs"/>
          <w:i/>
          <w:iCs/>
          <w:sz w:val="28"/>
          <w:szCs w:val="28"/>
          <w:rtl/>
        </w:rPr>
        <w:t>פי</w:t>
      </w:r>
      <w:r w:rsidR="00C217D3" w:rsidRPr="00C217D3">
        <w:rPr>
          <w:rFonts w:cs="David"/>
          <w:i/>
          <w:iCs/>
          <w:sz w:val="28"/>
          <w:szCs w:val="28"/>
          <w:rtl/>
        </w:rPr>
        <w:t xml:space="preserve"> </w:t>
      </w:r>
      <w:r w:rsidR="00C217D3" w:rsidRPr="00C217D3">
        <w:rPr>
          <w:rFonts w:cs="David" w:hint="cs"/>
          <w:i/>
          <w:iCs/>
          <w:sz w:val="28"/>
          <w:szCs w:val="28"/>
          <w:rtl/>
        </w:rPr>
        <w:t>הודאת</w:t>
      </w:r>
      <w:r>
        <w:rPr>
          <w:rFonts w:cs="David" w:hint="cs"/>
          <w:i/>
          <w:iCs/>
          <w:sz w:val="28"/>
          <w:szCs w:val="28"/>
          <w:rtl/>
        </w:rPr>
        <w:t>ו'</w:t>
      </w:r>
      <w:r w:rsidR="00C217D3" w:rsidRPr="00C217D3">
        <w:rPr>
          <w:rFonts w:cs="David" w:hint="cs"/>
          <w:i/>
          <w:iCs/>
          <w:sz w:val="28"/>
          <w:szCs w:val="28"/>
          <w:rtl/>
        </w:rPr>
        <w:t xml:space="preserve"> </w:t>
      </w:r>
      <w:r>
        <w:rPr>
          <w:rFonts w:cs="David" w:hint="cs"/>
          <w:i/>
          <w:iCs/>
          <w:sz w:val="28"/>
          <w:szCs w:val="28"/>
          <w:rtl/>
        </w:rPr>
        <w:t xml:space="preserve">... </w:t>
      </w:r>
      <w:r w:rsidR="00C217D3" w:rsidRPr="00C217D3">
        <w:rPr>
          <w:rFonts w:cs="David" w:hint="cs"/>
          <w:sz w:val="28"/>
          <w:szCs w:val="28"/>
          <w:rtl/>
        </w:rPr>
        <w:t>מעבר לכך, פירוט הנסיבות בהן עשה הנאשם שימוש בסם מסוכן מסוג קנאביס, בשלוש הזדמנויות אזרחיות, מגלה כי מדובר בהודאה בעלת סימני אמת, נוכח הגיונם של הדברים והשתלבותם זה בזה</w:t>
      </w:r>
      <w:r>
        <w:rPr>
          <w:rFonts w:cs="David" w:hint="cs"/>
          <w:sz w:val="28"/>
          <w:szCs w:val="28"/>
          <w:rtl/>
        </w:rPr>
        <w:t>...</w:t>
      </w:r>
      <w:r w:rsidRPr="00C217D3">
        <w:rPr>
          <w:rFonts w:cs="David" w:hint="cs"/>
          <w:sz w:val="28"/>
          <w:szCs w:val="28"/>
          <w:rtl/>
        </w:rPr>
        <w:t xml:space="preserve"> </w:t>
      </w:r>
      <w:r w:rsidR="00C217D3" w:rsidRPr="00B251CF">
        <w:rPr>
          <w:rFonts w:cs="David" w:hint="cs"/>
          <w:b/>
          <w:bCs/>
          <w:sz w:val="28"/>
          <w:szCs w:val="28"/>
          <w:rtl/>
        </w:rPr>
        <w:t>חזרתו של הנאשם מהודאתו בשימוש בפטרייה, וממנה בלבד</w:t>
      </w:r>
      <w:r w:rsidR="00C217D3" w:rsidRPr="00C217D3">
        <w:rPr>
          <w:rFonts w:cs="David" w:hint="cs"/>
          <w:sz w:val="28"/>
          <w:szCs w:val="28"/>
          <w:rtl/>
        </w:rPr>
        <w:t xml:space="preserve">, כאשר הסביר כי באותו זמן בו חשב שעשה שימוש בפטרייה, היה שיכור, ועל כן לא בטוח בדברים </w:t>
      </w:r>
      <w:r>
        <w:rPr>
          <w:rFonts w:cs="David" w:hint="cs"/>
          <w:sz w:val="28"/>
          <w:szCs w:val="28"/>
          <w:rtl/>
        </w:rPr>
        <w:t xml:space="preserve">... </w:t>
      </w:r>
      <w:r w:rsidR="00C217D3" w:rsidRPr="00C217D3">
        <w:rPr>
          <w:rFonts w:cs="David" w:hint="cs"/>
          <w:b/>
          <w:bCs/>
          <w:sz w:val="28"/>
          <w:szCs w:val="28"/>
          <w:rtl/>
        </w:rPr>
        <w:t xml:space="preserve">מחזקת את אמיתות הפרטים האחרים מהם לא חזר, הודה בהם שוב, לרבות </w:t>
      </w:r>
      <w:r w:rsidR="00C217D3" w:rsidRPr="00C217D3">
        <w:rPr>
          <w:rFonts w:cs="David" w:hint="cs"/>
          <w:b/>
          <w:bCs/>
          <w:sz w:val="28"/>
          <w:szCs w:val="28"/>
          <w:rtl/>
        </w:rPr>
        <w:lastRenderedPageBreak/>
        <w:t>לאחר שהתייעץ עם עורך דין, כאשר אף הסביר מה היו הסיבות לשימוש בסמים</w:t>
      </w:r>
      <w:r>
        <w:rPr>
          <w:rFonts w:cs="David" w:hint="cs"/>
          <w:b/>
          <w:bCs/>
          <w:sz w:val="28"/>
          <w:szCs w:val="28"/>
          <w:rtl/>
        </w:rPr>
        <w:t xml:space="preserve">... </w:t>
      </w:r>
      <w:r w:rsidR="00C217D3" w:rsidRPr="00C217D3">
        <w:rPr>
          <w:rFonts w:cs="David" w:hint="cs"/>
          <w:sz w:val="28"/>
          <w:szCs w:val="28"/>
          <w:rtl/>
        </w:rPr>
        <w:t xml:space="preserve">בנוסף, התכתובות שנמצאו במכשיר הטלפון הנייד של הנאשם </w:t>
      </w:r>
      <w:r w:rsidR="00BE4D87">
        <w:rPr>
          <w:rFonts w:cs="David" w:hint="cs"/>
          <w:sz w:val="28"/>
          <w:szCs w:val="28"/>
          <w:rtl/>
        </w:rPr>
        <w:t xml:space="preserve">... </w:t>
      </w:r>
      <w:r w:rsidR="00C217D3" w:rsidRPr="00C217D3">
        <w:rPr>
          <w:rFonts w:cs="David" w:hint="cs"/>
          <w:sz w:val="28"/>
          <w:szCs w:val="28"/>
          <w:rtl/>
        </w:rPr>
        <w:t>מה</w:t>
      </w:r>
      <w:r w:rsidR="00BE4D87">
        <w:rPr>
          <w:rFonts w:cs="David" w:hint="cs"/>
          <w:sz w:val="28"/>
          <w:szCs w:val="28"/>
          <w:rtl/>
        </w:rPr>
        <w:t>ן</w:t>
      </w:r>
      <w:r w:rsidR="00C217D3" w:rsidRPr="00C217D3">
        <w:rPr>
          <w:rFonts w:cs="David" w:hint="cs"/>
          <w:sz w:val="28"/>
          <w:szCs w:val="28"/>
          <w:rtl/>
        </w:rPr>
        <w:t xml:space="preserve"> ניתן ללמוד על הקשר של הנאשם לעולם הסמים (</w:t>
      </w:r>
      <w:r>
        <w:rPr>
          <w:rFonts w:cs="David" w:hint="cs"/>
          <w:sz w:val="28"/>
          <w:szCs w:val="28"/>
          <w:rtl/>
        </w:rPr>
        <w:t>'</w:t>
      </w:r>
      <w:r w:rsidR="00C217D3" w:rsidRPr="00C217D3">
        <w:rPr>
          <w:rFonts w:cs="David" w:hint="cs"/>
          <w:b/>
          <w:bCs/>
          <w:sz w:val="28"/>
          <w:szCs w:val="28"/>
          <w:rtl/>
        </w:rPr>
        <w:t>תקשיב אני שוקל ברצינות לקנות ירוק ולעשן בבית</w:t>
      </w:r>
      <w:r>
        <w:rPr>
          <w:rFonts w:cs="David" w:hint="cs"/>
          <w:sz w:val="28"/>
          <w:szCs w:val="28"/>
          <w:rtl/>
        </w:rPr>
        <w:t>'</w:t>
      </w:r>
      <w:r w:rsidR="00C217D3" w:rsidRPr="00C217D3">
        <w:rPr>
          <w:rFonts w:cs="David" w:hint="cs"/>
          <w:sz w:val="28"/>
          <w:szCs w:val="28"/>
          <w:rtl/>
        </w:rPr>
        <w:t xml:space="preserve">; </w:t>
      </w:r>
      <w:r>
        <w:rPr>
          <w:rFonts w:cs="David" w:hint="cs"/>
          <w:sz w:val="28"/>
          <w:szCs w:val="28"/>
          <w:rtl/>
        </w:rPr>
        <w:t>'</w:t>
      </w:r>
      <w:r w:rsidR="00C217D3" w:rsidRPr="00C217D3">
        <w:rPr>
          <w:rFonts w:cs="David" w:hint="cs"/>
          <w:b/>
          <w:bCs/>
          <w:sz w:val="28"/>
          <w:szCs w:val="28"/>
          <w:rtl/>
        </w:rPr>
        <w:t>אני פשוט שונא לעשן אבל אחרי כמה פעמים אני מתרגל</w:t>
      </w:r>
      <w:r>
        <w:rPr>
          <w:rFonts w:cs="David" w:hint="cs"/>
          <w:b/>
          <w:bCs/>
          <w:sz w:val="28"/>
          <w:szCs w:val="28"/>
          <w:rtl/>
        </w:rPr>
        <w:t>'</w:t>
      </w:r>
      <w:r w:rsidR="00C217D3" w:rsidRPr="00C217D3">
        <w:rPr>
          <w:rFonts w:cs="David" w:hint="cs"/>
          <w:sz w:val="28"/>
          <w:szCs w:val="28"/>
          <w:rtl/>
        </w:rPr>
        <w:t xml:space="preserve">; </w:t>
      </w:r>
      <w:r>
        <w:rPr>
          <w:rFonts w:cs="David" w:hint="cs"/>
          <w:sz w:val="28"/>
          <w:szCs w:val="28"/>
          <w:rtl/>
        </w:rPr>
        <w:t>'</w:t>
      </w:r>
      <w:r w:rsidR="00C217D3" w:rsidRPr="00C217D3">
        <w:rPr>
          <w:rFonts w:cs="David" w:hint="cs"/>
          <w:b/>
          <w:bCs/>
          <w:sz w:val="28"/>
          <w:szCs w:val="28"/>
          <w:rtl/>
        </w:rPr>
        <w:t>אני הולך להביא לך כסף בקבוע ותעזור לי לקנות מהבחור שלך</w:t>
      </w:r>
      <w:r>
        <w:rPr>
          <w:rFonts w:cs="David" w:hint="cs"/>
          <w:sz w:val="28"/>
          <w:szCs w:val="28"/>
          <w:rtl/>
        </w:rPr>
        <w:t>'</w:t>
      </w:r>
      <w:r w:rsidR="00C217D3" w:rsidRPr="00C217D3">
        <w:rPr>
          <w:rFonts w:cs="David" w:hint="cs"/>
          <w:sz w:val="28"/>
          <w:szCs w:val="28"/>
          <w:rtl/>
        </w:rPr>
        <w:t xml:space="preserve">), עונות על המבחן החיצוני של משקל הודאת הנאשם, בהיותן סימני אמת חיצוניים לה, המהווים תוספת ראייתית מסוג </w:t>
      </w:r>
      <w:r>
        <w:rPr>
          <w:rFonts w:cs="David" w:hint="cs"/>
          <w:sz w:val="28"/>
          <w:szCs w:val="28"/>
          <w:rtl/>
        </w:rPr>
        <w:t>'</w:t>
      </w:r>
      <w:r w:rsidR="00C217D3" w:rsidRPr="00C217D3">
        <w:rPr>
          <w:rFonts w:cs="David" w:hint="cs"/>
          <w:sz w:val="28"/>
          <w:szCs w:val="28"/>
          <w:rtl/>
        </w:rPr>
        <w:t>דבר מה נוסף</w:t>
      </w:r>
      <w:r>
        <w:rPr>
          <w:rFonts w:cs="David" w:hint="cs"/>
          <w:sz w:val="28"/>
          <w:szCs w:val="28"/>
          <w:rtl/>
        </w:rPr>
        <w:t>'</w:t>
      </w:r>
      <w:r w:rsidR="00C217D3" w:rsidRPr="00C217D3">
        <w:rPr>
          <w:rFonts w:cs="David" w:hint="cs"/>
          <w:sz w:val="28"/>
          <w:szCs w:val="28"/>
          <w:rtl/>
        </w:rPr>
        <w:t>.</w:t>
      </w:r>
      <w:r>
        <w:rPr>
          <w:rFonts w:cs="David" w:hint="cs"/>
          <w:sz w:val="28"/>
          <w:szCs w:val="28"/>
          <w:rtl/>
        </w:rPr>
        <w:t xml:space="preserve">.. </w:t>
      </w:r>
    </w:p>
    <w:p w14:paraId="449BA681" w14:textId="77777777" w:rsidR="00C217D3" w:rsidRDefault="00C217D3" w:rsidP="00BE4D87">
      <w:pPr>
        <w:tabs>
          <w:tab w:val="left" w:pos="226"/>
        </w:tabs>
        <w:ind w:left="1418" w:right="1418"/>
        <w:jc w:val="both"/>
        <w:rPr>
          <w:rFonts w:cs="David"/>
          <w:sz w:val="28"/>
          <w:szCs w:val="28"/>
          <w:rtl/>
        </w:rPr>
      </w:pPr>
      <w:r w:rsidRPr="00C217D3">
        <w:rPr>
          <w:rFonts w:cs="David" w:hint="cs"/>
          <w:b/>
          <w:bCs/>
          <w:sz w:val="28"/>
          <w:szCs w:val="28"/>
          <w:rtl/>
        </w:rPr>
        <w:t>על בסיס הודאת הנאשם, אותה מסר במצ"ח, עליה חזר בעדותו בבית הדין, הודאה אותה מצאתי קבילה ובעלת משקל מלא, לה נמצאה תוספת ראייתית בדמות תכתובות שעלו ממכשיר הטלפון הנייד של הנאשם, הנני קובע כי הוכח מעל לכל ספק סביר כי הנאשם עשה שימוש בסם מסוכן מסוג קנאביס באמצעות סיגריה מגולגלת (ג'וינט) בשלוש הזדמנויות בנסיבות אזרחיות: בשנת 2016, בחודש ינואר 2017 ובחודש פברואר 2019</w:t>
      </w:r>
      <w:r w:rsidR="00430D49" w:rsidRPr="00430D49">
        <w:rPr>
          <w:rFonts w:cs="David" w:hint="cs"/>
          <w:sz w:val="28"/>
          <w:szCs w:val="28"/>
          <w:rtl/>
        </w:rPr>
        <w:t>"</w:t>
      </w:r>
      <w:r w:rsidR="00430D49">
        <w:rPr>
          <w:rFonts w:cs="David" w:hint="cs"/>
          <w:sz w:val="28"/>
          <w:szCs w:val="28"/>
          <w:rtl/>
        </w:rPr>
        <w:t xml:space="preserve"> (הדגשות במקור)</w:t>
      </w:r>
      <w:r w:rsidR="008B4D03">
        <w:rPr>
          <w:rFonts w:cs="David" w:hint="cs"/>
          <w:sz w:val="28"/>
          <w:szCs w:val="28"/>
          <w:rtl/>
        </w:rPr>
        <w:t>.</w:t>
      </w:r>
    </w:p>
    <w:p w14:paraId="224F8E8A" w14:textId="77777777" w:rsidR="00430D49" w:rsidRDefault="00430D49" w:rsidP="00430D49">
      <w:pPr>
        <w:tabs>
          <w:tab w:val="left" w:pos="226"/>
        </w:tabs>
        <w:ind w:left="1418" w:right="1418"/>
        <w:jc w:val="both"/>
        <w:rPr>
          <w:rFonts w:cs="David"/>
          <w:sz w:val="28"/>
          <w:szCs w:val="28"/>
        </w:rPr>
      </w:pPr>
    </w:p>
    <w:p w14:paraId="611BF848" w14:textId="77777777" w:rsidR="00430D49" w:rsidRPr="002A6322" w:rsidRDefault="002A6322" w:rsidP="00BE4D87">
      <w:pPr>
        <w:numPr>
          <w:ilvl w:val="0"/>
          <w:numId w:val="4"/>
        </w:numPr>
        <w:tabs>
          <w:tab w:val="left" w:pos="226"/>
        </w:tabs>
        <w:spacing w:line="360" w:lineRule="auto"/>
        <w:ind w:left="-58" w:firstLine="0"/>
        <w:jc w:val="both"/>
        <w:rPr>
          <w:rFonts w:cs="David"/>
          <w:sz w:val="28"/>
          <w:szCs w:val="28"/>
        </w:rPr>
      </w:pPr>
      <w:r>
        <w:rPr>
          <w:rFonts w:cs="David" w:hint="cs"/>
          <w:sz w:val="28"/>
          <w:szCs w:val="28"/>
          <w:rtl/>
        </w:rPr>
        <w:t>אשר לטענת ה</w:t>
      </w:r>
      <w:r w:rsidR="00BE4D87">
        <w:rPr>
          <w:rFonts w:cs="David" w:hint="cs"/>
          <w:sz w:val="28"/>
          <w:szCs w:val="28"/>
          <w:rtl/>
        </w:rPr>
        <w:t>ה</w:t>
      </w:r>
      <w:r>
        <w:rPr>
          <w:rFonts w:cs="David" w:hint="cs"/>
          <w:sz w:val="28"/>
          <w:szCs w:val="28"/>
          <w:rtl/>
        </w:rPr>
        <w:t>פליה וההגנה מן הצדק, נקבע, כי "</w:t>
      </w:r>
      <w:r w:rsidR="00430D49" w:rsidRPr="002A6322">
        <w:rPr>
          <w:rFonts w:cs="David" w:hint="cs"/>
          <w:sz w:val="28"/>
          <w:szCs w:val="28"/>
          <w:rtl/>
        </w:rPr>
        <w:t xml:space="preserve">נוכח </w:t>
      </w:r>
      <w:r w:rsidR="00430D49" w:rsidRPr="002A6322">
        <w:rPr>
          <w:rFonts w:cs="David" w:hint="cs"/>
          <w:b/>
          <w:bCs/>
          <w:sz w:val="28"/>
          <w:szCs w:val="28"/>
          <w:rtl/>
        </w:rPr>
        <w:t>מעמדם המיוחד</w:t>
      </w:r>
      <w:r w:rsidR="00430D49" w:rsidRPr="002A6322">
        <w:rPr>
          <w:rFonts w:cs="David" w:hint="cs"/>
          <w:sz w:val="28"/>
          <w:szCs w:val="28"/>
          <w:rtl/>
        </w:rPr>
        <w:t xml:space="preserve"> של קצינים ומשרתי הקבע</w:t>
      </w:r>
      <w:r>
        <w:rPr>
          <w:rFonts w:cs="David" w:hint="cs"/>
          <w:sz w:val="28"/>
          <w:szCs w:val="28"/>
          <w:rtl/>
        </w:rPr>
        <w:t xml:space="preserve">... </w:t>
      </w:r>
      <w:r w:rsidR="00430D49" w:rsidRPr="002A6322">
        <w:rPr>
          <w:rFonts w:cs="David" w:hint="cs"/>
          <w:sz w:val="28"/>
          <w:szCs w:val="28"/>
          <w:rtl/>
        </w:rPr>
        <w:t>הרי שבחינת מדיניות התביעה הצבאית הראשית, בכל הנוגע ל</w:t>
      </w:r>
      <w:r w:rsidR="00430D49" w:rsidRPr="002A6322">
        <w:rPr>
          <w:rFonts w:cs="David" w:hint="cs"/>
          <w:b/>
          <w:bCs/>
          <w:sz w:val="28"/>
          <w:szCs w:val="28"/>
          <w:rtl/>
        </w:rPr>
        <w:t>העמדה לדין בעבירה של שימוש בסם מסוכן</w:t>
      </w:r>
      <w:r w:rsidR="00430D49" w:rsidRPr="002A6322">
        <w:rPr>
          <w:rFonts w:cs="David" w:hint="cs"/>
          <w:sz w:val="28"/>
          <w:szCs w:val="28"/>
          <w:rtl/>
        </w:rPr>
        <w:t xml:space="preserve">, בשים לב לאינטרס הציבורי המובהק במיגור נגע הסמים מבין שורות הצבא, והפגיעה במשמעת הצבא ובכוננותו, הכרוכים בעבירות של שימוש בסמים מסוכנים, מובילה למסקנה לפיה </w:t>
      </w:r>
      <w:r w:rsidR="00430D49" w:rsidRPr="002A6322">
        <w:rPr>
          <w:rFonts w:cs="David" w:hint="cs"/>
          <w:b/>
          <w:bCs/>
          <w:sz w:val="28"/>
          <w:szCs w:val="28"/>
          <w:rtl/>
        </w:rPr>
        <w:t>אין מתקיימת פגיעה בתחושת הצדק וההגינות באופן המקים לנאשם סעד של הגנה מן הצדק</w:t>
      </w:r>
      <w:r w:rsidR="00430D49" w:rsidRPr="002A6322">
        <w:rPr>
          <w:rFonts w:cs="David" w:hint="cs"/>
          <w:sz w:val="28"/>
          <w:szCs w:val="28"/>
          <w:rtl/>
        </w:rPr>
        <w:t xml:space="preserve"> </w:t>
      </w:r>
      <w:r>
        <w:rPr>
          <w:rFonts w:cs="David" w:hint="cs"/>
          <w:sz w:val="28"/>
          <w:szCs w:val="28"/>
          <w:rtl/>
        </w:rPr>
        <w:t>..." (הדגשות במקור)</w:t>
      </w:r>
      <w:r w:rsidR="00430D49" w:rsidRPr="002A6322">
        <w:rPr>
          <w:rFonts w:cs="David" w:hint="cs"/>
          <w:sz w:val="28"/>
          <w:szCs w:val="28"/>
          <w:rtl/>
        </w:rPr>
        <w:t>.</w:t>
      </w:r>
      <w:r>
        <w:rPr>
          <w:rFonts w:cs="David" w:hint="cs"/>
          <w:sz w:val="28"/>
          <w:szCs w:val="28"/>
          <w:rtl/>
        </w:rPr>
        <w:t xml:space="preserve"> לפיכך, נקבע כי יש להרשיע את המערער במיוחס לו.</w:t>
      </w:r>
      <w:r w:rsidR="00430D49" w:rsidRPr="002A6322">
        <w:rPr>
          <w:rFonts w:cs="David" w:hint="cs"/>
          <w:sz w:val="28"/>
          <w:szCs w:val="28"/>
          <w:rtl/>
        </w:rPr>
        <w:t xml:space="preserve"> </w:t>
      </w:r>
    </w:p>
    <w:p w14:paraId="0910CC2F" w14:textId="77777777" w:rsidR="00E5228F" w:rsidRPr="00BE4D87" w:rsidRDefault="00E5228F" w:rsidP="002A6322">
      <w:pPr>
        <w:tabs>
          <w:tab w:val="left" w:pos="226"/>
        </w:tabs>
        <w:spacing w:line="360" w:lineRule="auto"/>
        <w:jc w:val="both"/>
        <w:rPr>
          <w:rFonts w:cs="David"/>
          <w:b/>
          <w:bCs/>
          <w:sz w:val="28"/>
          <w:szCs w:val="28"/>
          <w:u w:val="single"/>
          <w:rtl/>
        </w:rPr>
      </w:pPr>
    </w:p>
    <w:p w14:paraId="6475DB5F" w14:textId="77777777" w:rsidR="00E5228F" w:rsidRDefault="002A6322" w:rsidP="002A6322">
      <w:pPr>
        <w:tabs>
          <w:tab w:val="left" w:pos="368"/>
        </w:tabs>
        <w:spacing w:line="360" w:lineRule="auto"/>
        <w:ind w:left="-58"/>
        <w:jc w:val="both"/>
        <w:rPr>
          <w:rFonts w:cs="David"/>
          <w:b/>
          <w:bCs/>
          <w:sz w:val="28"/>
          <w:szCs w:val="28"/>
          <w:u w:val="single"/>
          <w:rtl/>
        </w:rPr>
      </w:pPr>
      <w:r>
        <w:rPr>
          <w:rFonts w:cs="David" w:hint="cs"/>
          <w:b/>
          <w:bCs/>
          <w:sz w:val="28"/>
          <w:szCs w:val="28"/>
          <w:u w:val="single"/>
          <w:rtl/>
        </w:rPr>
        <w:t>טענות ההגנה ב</w:t>
      </w:r>
      <w:r w:rsidR="00E5228F">
        <w:rPr>
          <w:rFonts w:cs="David" w:hint="cs"/>
          <w:b/>
          <w:bCs/>
          <w:sz w:val="28"/>
          <w:szCs w:val="28"/>
          <w:u w:val="single"/>
          <w:rtl/>
        </w:rPr>
        <w:t>ערעור</w:t>
      </w:r>
    </w:p>
    <w:p w14:paraId="186DC37A" w14:textId="77777777" w:rsidR="000C206E" w:rsidRDefault="002A6322" w:rsidP="005A7C1D">
      <w:pPr>
        <w:numPr>
          <w:ilvl w:val="0"/>
          <w:numId w:val="4"/>
        </w:numPr>
        <w:tabs>
          <w:tab w:val="left" w:pos="368"/>
        </w:tabs>
        <w:spacing w:line="360" w:lineRule="auto"/>
        <w:ind w:left="-58" w:firstLine="0"/>
        <w:jc w:val="both"/>
        <w:rPr>
          <w:rFonts w:cs="David"/>
          <w:sz w:val="28"/>
          <w:szCs w:val="28"/>
        </w:rPr>
      </w:pPr>
      <w:r>
        <w:rPr>
          <w:rFonts w:cs="David" w:hint="cs"/>
          <w:sz w:val="28"/>
          <w:szCs w:val="28"/>
          <w:rtl/>
        </w:rPr>
        <w:t>ב</w:t>
      </w:r>
      <w:r w:rsidR="00B60F55">
        <w:rPr>
          <w:rFonts w:cs="David" w:hint="cs"/>
          <w:sz w:val="28"/>
          <w:szCs w:val="28"/>
          <w:rtl/>
        </w:rPr>
        <w:t>ערעור ה</w:t>
      </w:r>
      <w:r>
        <w:rPr>
          <w:rFonts w:cs="David" w:hint="cs"/>
          <w:sz w:val="28"/>
          <w:szCs w:val="28"/>
          <w:rtl/>
        </w:rPr>
        <w:t xml:space="preserve">הגנה נטען, </w:t>
      </w:r>
      <w:r w:rsidRPr="00BE4D87">
        <w:rPr>
          <w:rFonts w:cs="David" w:hint="cs"/>
          <w:b/>
          <w:bCs/>
          <w:sz w:val="28"/>
          <w:szCs w:val="28"/>
          <w:rtl/>
        </w:rPr>
        <w:t>לראשונה</w:t>
      </w:r>
      <w:r>
        <w:rPr>
          <w:rFonts w:cs="David" w:hint="cs"/>
          <w:sz w:val="28"/>
          <w:szCs w:val="28"/>
          <w:rtl/>
        </w:rPr>
        <w:t>, כי יש לבטל כל</w:t>
      </w:r>
      <w:r w:rsidR="00BE4D87">
        <w:rPr>
          <w:rFonts w:cs="David" w:hint="cs"/>
          <w:sz w:val="28"/>
          <w:szCs w:val="28"/>
          <w:rtl/>
        </w:rPr>
        <w:t>י</w:t>
      </w:r>
      <w:r>
        <w:rPr>
          <w:rFonts w:cs="David" w:hint="cs"/>
          <w:sz w:val="28"/>
          <w:szCs w:val="28"/>
          <w:rtl/>
        </w:rPr>
        <w:t xml:space="preserve">ל את הרשעתו של </w:t>
      </w:r>
      <w:r w:rsidR="00BE4D87">
        <w:rPr>
          <w:rFonts w:cs="David" w:hint="cs"/>
          <w:sz w:val="28"/>
          <w:szCs w:val="28"/>
          <w:rtl/>
        </w:rPr>
        <w:t xml:space="preserve">המערער ולהורות על זיכויו מאשמה. </w:t>
      </w:r>
      <w:r w:rsidR="00156678">
        <w:rPr>
          <w:rFonts w:cs="David" w:hint="cs"/>
          <w:sz w:val="28"/>
          <w:szCs w:val="28"/>
          <w:rtl/>
        </w:rPr>
        <w:t xml:space="preserve">כך, </w:t>
      </w:r>
      <w:r w:rsidR="00156678" w:rsidRPr="003A6EB3">
        <w:rPr>
          <w:rFonts w:cs="David" w:hint="cs"/>
          <w:b/>
          <w:bCs/>
          <w:sz w:val="28"/>
          <w:szCs w:val="28"/>
          <w:rtl/>
        </w:rPr>
        <w:t>בניגוד</w:t>
      </w:r>
      <w:r w:rsidR="00156678">
        <w:rPr>
          <w:rFonts w:cs="David" w:hint="cs"/>
          <w:sz w:val="28"/>
          <w:szCs w:val="28"/>
          <w:rtl/>
        </w:rPr>
        <w:t xml:space="preserve"> </w:t>
      </w:r>
      <w:r w:rsidR="006E328A">
        <w:rPr>
          <w:rFonts w:cs="David" w:hint="cs"/>
          <w:sz w:val="28"/>
          <w:szCs w:val="28"/>
          <w:rtl/>
        </w:rPr>
        <w:t xml:space="preserve">לעמדת ההגנה </w:t>
      </w:r>
      <w:r w:rsidR="00156678">
        <w:rPr>
          <w:rFonts w:cs="David" w:hint="cs"/>
          <w:sz w:val="28"/>
          <w:szCs w:val="28"/>
          <w:rtl/>
        </w:rPr>
        <w:t xml:space="preserve">בערכאה קמא, נטען, כי </w:t>
      </w:r>
      <w:r w:rsidR="000C206E">
        <w:rPr>
          <w:rFonts w:cs="David" w:hint="cs"/>
          <w:sz w:val="28"/>
          <w:szCs w:val="28"/>
          <w:rtl/>
        </w:rPr>
        <w:t>אין די ב</w:t>
      </w:r>
      <w:r w:rsidR="00156678">
        <w:rPr>
          <w:rFonts w:cs="David" w:hint="cs"/>
          <w:sz w:val="28"/>
          <w:szCs w:val="28"/>
          <w:rtl/>
        </w:rPr>
        <w:t xml:space="preserve">"מארג הראיות" </w:t>
      </w:r>
      <w:r w:rsidR="000C206E">
        <w:rPr>
          <w:rFonts w:cs="David" w:hint="cs"/>
          <w:sz w:val="28"/>
          <w:szCs w:val="28"/>
          <w:rtl/>
        </w:rPr>
        <w:t>הקיים כדי להביא להרשעתו של המערער</w:t>
      </w:r>
      <w:r w:rsidR="005A7C1D">
        <w:rPr>
          <w:rFonts w:cs="David" w:hint="cs"/>
          <w:sz w:val="28"/>
          <w:szCs w:val="28"/>
          <w:rtl/>
        </w:rPr>
        <w:t xml:space="preserve">. נטען, כי </w:t>
      </w:r>
      <w:r w:rsidR="000C206E">
        <w:rPr>
          <w:rFonts w:cs="David" w:hint="cs"/>
          <w:sz w:val="28"/>
          <w:szCs w:val="28"/>
          <w:rtl/>
        </w:rPr>
        <w:t xml:space="preserve">לא </w:t>
      </w:r>
      <w:r w:rsidR="006E328A">
        <w:rPr>
          <w:rFonts w:cs="David" w:hint="cs"/>
          <w:sz w:val="28"/>
          <w:szCs w:val="28"/>
          <w:rtl/>
        </w:rPr>
        <w:t xml:space="preserve">הוצגה </w:t>
      </w:r>
      <w:r w:rsidR="005A7C1D">
        <w:rPr>
          <w:rFonts w:cs="David" w:hint="cs"/>
          <w:sz w:val="28"/>
          <w:szCs w:val="28"/>
          <w:rtl/>
        </w:rPr>
        <w:t xml:space="preserve">תוספת </w:t>
      </w:r>
      <w:r w:rsidR="000C206E">
        <w:rPr>
          <w:rFonts w:cs="David" w:hint="cs"/>
          <w:sz w:val="28"/>
          <w:szCs w:val="28"/>
          <w:rtl/>
        </w:rPr>
        <w:t>ראי</w:t>
      </w:r>
      <w:r w:rsidR="005A7C1D">
        <w:rPr>
          <w:rFonts w:cs="David" w:hint="cs"/>
          <w:sz w:val="28"/>
          <w:szCs w:val="28"/>
          <w:rtl/>
        </w:rPr>
        <w:t>יתית</w:t>
      </w:r>
      <w:r w:rsidR="000C206E">
        <w:rPr>
          <w:rFonts w:cs="David" w:hint="cs"/>
          <w:sz w:val="28"/>
          <w:szCs w:val="28"/>
          <w:rtl/>
        </w:rPr>
        <w:t xml:space="preserve"> מסוג דבר מה, כנדרש לאימות ההודיה. </w:t>
      </w:r>
      <w:r w:rsidR="005A7C1D">
        <w:rPr>
          <w:rFonts w:cs="David" w:hint="cs"/>
          <w:sz w:val="28"/>
          <w:szCs w:val="28"/>
          <w:rtl/>
        </w:rPr>
        <w:t>ההגנה סבורה</w:t>
      </w:r>
      <w:r w:rsidR="000C206E">
        <w:rPr>
          <w:rFonts w:cs="David" w:hint="cs"/>
          <w:sz w:val="28"/>
          <w:szCs w:val="28"/>
          <w:rtl/>
        </w:rPr>
        <w:t xml:space="preserve">, כי תיעוד השיחות בין המערער לחברו, מתוך הטלפון הנייד של המערער, אינו יכול לשמש דבר מה נוסף </w:t>
      </w:r>
      <w:r w:rsidR="006E328A">
        <w:rPr>
          <w:rFonts w:cs="David" w:hint="cs"/>
          <w:sz w:val="28"/>
          <w:szCs w:val="28"/>
          <w:rtl/>
        </w:rPr>
        <w:t>כאמור</w:t>
      </w:r>
      <w:r w:rsidR="000C206E">
        <w:rPr>
          <w:rFonts w:cs="David" w:hint="cs"/>
          <w:sz w:val="28"/>
          <w:szCs w:val="28"/>
          <w:rtl/>
        </w:rPr>
        <w:t xml:space="preserve">, מאחר שתוכן הדברים באותן שיחות, אינו, אלא, "העתק מדוייק" של ההודיה שמסר המערער במצ"ח. לפיכך, נטען כי לפנינו הודיה </w:t>
      </w:r>
      <w:r w:rsidR="005A7C1D">
        <w:rPr>
          <w:rFonts w:cs="David" w:hint="cs"/>
          <w:sz w:val="28"/>
          <w:szCs w:val="28"/>
          <w:rtl/>
        </w:rPr>
        <w:t xml:space="preserve">נוספת </w:t>
      </w:r>
      <w:r w:rsidR="000C206E">
        <w:rPr>
          <w:rFonts w:cs="David" w:hint="cs"/>
          <w:sz w:val="28"/>
          <w:szCs w:val="28"/>
          <w:rtl/>
        </w:rPr>
        <w:t>של המערער</w:t>
      </w:r>
      <w:r w:rsidR="005A7C1D">
        <w:rPr>
          <w:rFonts w:cs="David" w:hint="cs"/>
          <w:sz w:val="28"/>
          <w:szCs w:val="28"/>
          <w:rtl/>
        </w:rPr>
        <w:t xml:space="preserve">, אף </w:t>
      </w:r>
      <w:r w:rsidR="006E328A">
        <w:rPr>
          <w:rFonts w:cs="David" w:hint="cs"/>
          <w:sz w:val="28"/>
          <w:szCs w:val="28"/>
          <w:rtl/>
        </w:rPr>
        <w:t xml:space="preserve">אם </w:t>
      </w:r>
      <w:r w:rsidR="000C206E">
        <w:rPr>
          <w:rFonts w:cs="David" w:hint="cs"/>
          <w:sz w:val="28"/>
          <w:szCs w:val="28"/>
          <w:rtl/>
        </w:rPr>
        <w:t xml:space="preserve">לפני אחר, שאינה יכולה להיחשב מקור חיצוני לאימות דבריו בחקירה. בעניין זה, הפנתה ההגנה לפסיקת בית המשפט העליון בע"פ 6296/13 </w:t>
      </w:r>
      <w:r w:rsidR="000C206E" w:rsidRPr="000C206E">
        <w:rPr>
          <w:rFonts w:cs="David" w:hint="cs"/>
          <w:b/>
          <w:bCs/>
          <w:sz w:val="28"/>
          <w:szCs w:val="28"/>
          <w:rtl/>
        </w:rPr>
        <w:t>אדריס נ' מדינת ישראל</w:t>
      </w:r>
      <w:r w:rsidR="000C206E">
        <w:rPr>
          <w:rFonts w:cs="David" w:hint="cs"/>
          <w:sz w:val="28"/>
          <w:szCs w:val="28"/>
          <w:rtl/>
        </w:rPr>
        <w:t xml:space="preserve"> (</w:t>
      </w:r>
      <w:r w:rsidR="00DE18BF">
        <w:rPr>
          <w:rFonts w:cs="David" w:hint="cs"/>
          <w:sz w:val="28"/>
          <w:szCs w:val="28"/>
          <w:rtl/>
        </w:rPr>
        <w:t xml:space="preserve">טרם פורסם, </w:t>
      </w:r>
      <w:r w:rsidR="000C206E">
        <w:rPr>
          <w:rFonts w:cs="David" w:hint="cs"/>
          <w:sz w:val="28"/>
          <w:szCs w:val="28"/>
          <w:rtl/>
        </w:rPr>
        <w:t xml:space="preserve">22.3.2015). </w:t>
      </w:r>
    </w:p>
    <w:p w14:paraId="45F0CB61" w14:textId="77777777" w:rsidR="00B60F55" w:rsidRDefault="000C206E" w:rsidP="005A7C1D">
      <w:pPr>
        <w:numPr>
          <w:ilvl w:val="0"/>
          <w:numId w:val="4"/>
        </w:numPr>
        <w:tabs>
          <w:tab w:val="left" w:pos="368"/>
        </w:tabs>
        <w:spacing w:line="360" w:lineRule="auto"/>
        <w:ind w:left="-58" w:firstLine="0"/>
        <w:jc w:val="both"/>
        <w:rPr>
          <w:rFonts w:cs="David"/>
          <w:sz w:val="28"/>
          <w:szCs w:val="28"/>
        </w:rPr>
      </w:pPr>
      <w:r>
        <w:rPr>
          <w:rFonts w:cs="David" w:hint="cs"/>
          <w:sz w:val="28"/>
          <w:szCs w:val="28"/>
          <w:rtl/>
        </w:rPr>
        <w:lastRenderedPageBreak/>
        <w:t xml:space="preserve">כמו כן נטען, כי נוכח האמור, בהתאם להנחיה 4.01.02 של התביעה הצבאית הראשית, שלפיה "הגשת כתבי אישום כאשר אין בחומר הראיות 'דבר מה נוסף' תיעשה במקרים חריגים בלבד ובאישור התצ"ר" (סעיף 3 להנחיה) </w:t>
      </w:r>
      <w:r>
        <w:rPr>
          <w:rFonts w:cs="David"/>
          <w:sz w:val="28"/>
          <w:szCs w:val="28"/>
          <w:rtl/>
        </w:rPr>
        <w:t>–</w:t>
      </w:r>
      <w:r>
        <w:rPr>
          <w:rFonts w:cs="David" w:hint="cs"/>
          <w:sz w:val="28"/>
          <w:szCs w:val="28"/>
          <w:rtl/>
        </w:rPr>
        <w:t xml:space="preserve"> היה על התביעה להימנע מלהגיש כתב אישום בעניינו של המערער</w:t>
      </w:r>
      <w:r w:rsidR="005A7C1D">
        <w:rPr>
          <w:rFonts w:cs="David" w:hint="cs"/>
          <w:sz w:val="28"/>
          <w:szCs w:val="28"/>
          <w:rtl/>
        </w:rPr>
        <w:t xml:space="preserve">. </w:t>
      </w:r>
      <w:r>
        <w:rPr>
          <w:rFonts w:cs="David" w:hint="cs"/>
          <w:sz w:val="28"/>
          <w:szCs w:val="28"/>
          <w:rtl/>
        </w:rPr>
        <w:t xml:space="preserve">משלא עשתה כן, </w:t>
      </w:r>
      <w:r w:rsidR="005A7C1D">
        <w:rPr>
          <w:rFonts w:cs="David" w:hint="cs"/>
          <w:sz w:val="28"/>
          <w:szCs w:val="28"/>
          <w:rtl/>
        </w:rPr>
        <w:t xml:space="preserve">לדידה של ההגנה, </w:t>
      </w:r>
      <w:r>
        <w:rPr>
          <w:rFonts w:cs="David" w:hint="cs"/>
          <w:sz w:val="28"/>
          <w:szCs w:val="28"/>
          <w:rtl/>
        </w:rPr>
        <w:t xml:space="preserve">מתקיימת בעניינו </w:t>
      </w:r>
      <w:r w:rsidR="005A7C1D">
        <w:rPr>
          <w:rFonts w:cs="David" w:hint="cs"/>
          <w:sz w:val="28"/>
          <w:szCs w:val="28"/>
          <w:rtl/>
        </w:rPr>
        <w:t xml:space="preserve">של המערער </w:t>
      </w:r>
      <w:r>
        <w:rPr>
          <w:rFonts w:cs="David" w:hint="cs"/>
          <w:sz w:val="28"/>
          <w:szCs w:val="28"/>
          <w:rtl/>
        </w:rPr>
        <w:t xml:space="preserve">הגנה מן הצדק, המצדיקה סעד של ביטול כתב האישום או, לחלופין, של המרת סעיף האישום לכזה שאינו נושא </w:t>
      </w:r>
      <w:r w:rsidR="00F11F9E">
        <w:rPr>
          <w:rFonts w:cs="David" w:hint="cs"/>
          <w:sz w:val="28"/>
          <w:szCs w:val="28"/>
          <w:rtl/>
        </w:rPr>
        <w:t xml:space="preserve">רישום פלילי כלל. </w:t>
      </w:r>
      <w:r>
        <w:rPr>
          <w:rFonts w:cs="David" w:hint="cs"/>
          <w:sz w:val="28"/>
          <w:szCs w:val="28"/>
          <w:rtl/>
        </w:rPr>
        <w:t xml:space="preserve">  </w:t>
      </w:r>
    </w:p>
    <w:p w14:paraId="41B71A96" w14:textId="77777777" w:rsidR="00551619" w:rsidRDefault="00F11F9E" w:rsidP="00EB6D73">
      <w:pPr>
        <w:numPr>
          <w:ilvl w:val="0"/>
          <w:numId w:val="4"/>
        </w:numPr>
        <w:tabs>
          <w:tab w:val="left" w:pos="368"/>
        </w:tabs>
        <w:spacing w:line="360" w:lineRule="auto"/>
        <w:ind w:left="-58" w:firstLine="0"/>
        <w:jc w:val="both"/>
        <w:rPr>
          <w:rFonts w:cs="David"/>
          <w:sz w:val="28"/>
          <w:szCs w:val="28"/>
        </w:rPr>
      </w:pPr>
      <w:r>
        <w:rPr>
          <w:rFonts w:cs="David" w:hint="cs"/>
          <w:sz w:val="28"/>
          <w:szCs w:val="28"/>
          <w:rtl/>
        </w:rPr>
        <w:t>טיעון נוסף של ההגנה, עסק בקבילות הראי</w:t>
      </w:r>
      <w:r w:rsidR="005A7C1D">
        <w:rPr>
          <w:rFonts w:cs="David" w:hint="cs"/>
          <w:sz w:val="28"/>
          <w:szCs w:val="28"/>
          <w:rtl/>
        </w:rPr>
        <w:t xml:space="preserve">ות שהוצגו בבית הדין קמא. </w:t>
      </w:r>
      <w:r>
        <w:rPr>
          <w:rFonts w:cs="David" w:hint="cs"/>
          <w:sz w:val="28"/>
          <w:szCs w:val="28"/>
          <w:rtl/>
        </w:rPr>
        <w:t xml:space="preserve">נטען, כי </w:t>
      </w:r>
      <w:r w:rsidR="003A6EB3">
        <w:rPr>
          <w:rFonts w:cs="David" w:hint="cs"/>
          <w:sz w:val="28"/>
          <w:szCs w:val="28"/>
          <w:rtl/>
        </w:rPr>
        <w:t xml:space="preserve">המערער הסכים לעיון ידני במכשיר הטלפון הנייד, אך ורק משום שהניח, כי </w:t>
      </w:r>
      <w:r w:rsidR="005A7C1D">
        <w:rPr>
          <w:rFonts w:cs="David" w:hint="cs"/>
          <w:sz w:val="28"/>
          <w:szCs w:val="28"/>
          <w:rtl/>
        </w:rPr>
        <w:t xml:space="preserve">החיפוש </w:t>
      </w:r>
      <w:r w:rsidR="002F00F0">
        <w:rPr>
          <w:rFonts w:cs="David" w:hint="cs"/>
          <w:sz w:val="28"/>
          <w:szCs w:val="28"/>
          <w:rtl/>
        </w:rPr>
        <w:t>י</w:t>
      </w:r>
      <w:r w:rsidR="005A7C1D">
        <w:rPr>
          <w:rFonts w:cs="David" w:hint="cs"/>
          <w:sz w:val="28"/>
          <w:szCs w:val="28"/>
          <w:rtl/>
        </w:rPr>
        <w:t xml:space="preserve">יערך </w:t>
      </w:r>
      <w:r w:rsidR="003A6EB3">
        <w:rPr>
          <w:rFonts w:cs="David" w:hint="cs"/>
          <w:sz w:val="28"/>
          <w:szCs w:val="28"/>
          <w:rtl/>
        </w:rPr>
        <w:t>ממילא</w:t>
      </w:r>
      <w:r w:rsidR="005A7C1D">
        <w:rPr>
          <w:rFonts w:cs="David" w:hint="cs"/>
          <w:sz w:val="28"/>
          <w:szCs w:val="28"/>
          <w:rtl/>
        </w:rPr>
        <w:t xml:space="preserve">, נוכח </w:t>
      </w:r>
      <w:r w:rsidR="003A6EB3">
        <w:rPr>
          <w:rFonts w:cs="David" w:hint="cs"/>
          <w:sz w:val="28"/>
          <w:szCs w:val="28"/>
          <w:rtl/>
        </w:rPr>
        <w:t>הצו השיפוטי שהוצג לו</w:t>
      </w:r>
      <w:r w:rsidR="005A7C1D">
        <w:rPr>
          <w:rFonts w:cs="David" w:hint="cs"/>
          <w:sz w:val="28"/>
          <w:szCs w:val="28"/>
          <w:rtl/>
        </w:rPr>
        <w:t xml:space="preserve">. </w:t>
      </w:r>
      <w:r w:rsidR="003A6EB3">
        <w:rPr>
          <w:rFonts w:cs="David" w:hint="cs"/>
          <w:sz w:val="28"/>
          <w:szCs w:val="28"/>
          <w:rtl/>
        </w:rPr>
        <w:t xml:space="preserve">על כן, </w:t>
      </w:r>
      <w:r w:rsidR="005A7C1D">
        <w:rPr>
          <w:rFonts w:cs="David" w:hint="cs"/>
          <w:sz w:val="28"/>
          <w:szCs w:val="28"/>
          <w:rtl/>
        </w:rPr>
        <w:t xml:space="preserve">לשיטת ההגנה, </w:t>
      </w:r>
      <w:r w:rsidR="003A6EB3">
        <w:rPr>
          <w:rFonts w:cs="David" w:hint="cs"/>
          <w:sz w:val="28"/>
          <w:szCs w:val="28"/>
          <w:rtl/>
        </w:rPr>
        <w:t xml:space="preserve">הסכמתו </w:t>
      </w:r>
      <w:r w:rsidR="005A7C1D">
        <w:rPr>
          <w:rFonts w:cs="David" w:hint="cs"/>
          <w:sz w:val="28"/>
          <w:szCs w:val="28"/>
          <w:rtl/>
        </w:rPr>
        <w:t xml:space="preserve">של המערער לעיון כאמור, </w:t>
      </w:r>
      <w:r w:rsidR="003A6EB3">
        <w:rPr>
          <w:rFonts w:cs="David" w:hint="cs"/>
          <w:sz w:val="28"/>
          <w:szCs w:val="28"/>
          <w:rtl/>
        </w:rPr>
        <w:t xml:space="preserve">אינה מרצון חופשי. עוד נטען, </w:t>
      </w:r>
      <w:r w:rsidR="003A6EB3" w:rsidRPr="003A6EB3">
        <w:rPr>
          <w:rFonts w:cs="David" w:hint="cs"/>
          <w:b/>
          <w:bCs/>
          <w:sz w:val="28"/>
          <w:szCs w:val="28"/>
          <w:rtl/>
        </w:rPr>
        <w:t>שוב - לראשונה</w:t>
      </w:r>
      <w:r w:rsidR="003A6EB3">
        <w:rPr>
          <w:rFonts w:cs="David" w:hint="cs"/>
          <w:sz w:val="28"/>
          <w:szCs w:val="28"/>
          <w:rtl/>
        </w:rPr>
        <w:t>, כי גורמי החקירה לא היו רשאים לשאול את המערער על אודות הקוד הסודי לפתיחת מכשיר הטלפון הנייד שלו, לפני שהאחרון הביע הסכמתו לעיון בו</w:t>
      </w:r>
      <w:r w:rsidR="00EB6D73">
        <w:rPr>
          <w:rFonts w:cs="David" w:hint="cs"/>
          <w:sz w:val="28"/>
          <w:szCs w:val="28"/>
          <w:rtl/>
        </w:rPr>
        <w:t>. ההגנה סבורה, כי הבקשה שהציגה החוקרת למערער בנוגע ל</w:t>
      </w:r>
      <w:r w:rsidR="003A6EB3">
        <w:rPr>
          <w:rFonts w:cs="David" w:hint="cs"/>
          <w:sz w:val="28"/>
          <w:szCs w:val="28"/>
          <w:rtl/>
        </w:rPr>
        <w:t xml:space="preserve">קוד סודי </w:t>
      </w:r>
      <w:r w:rsidR="00EB6D73">
        <w:rPr>
          <w:rFonts w:cs="David" w:hint="cs"/>
          <w:sz w:val="28"/>
          <w:szCs w:val="28"/>
          <w:rtl/>
        </w:rPr>
        <w:t xml:space="preserve">של מכשיר הטלפון הנייד שלו, צריכה הייתה להיות מופנית אליו </w:t>
      </w:r>
      <w:r w:rsidR="003A6EB3">
        <w:rPr>
          <w:rFonts w:cs="David" w:hint="cs"/>
          <w:sz w:val="28"/>
          <w:szCs w:val="28"/>
          <w:rtl/>
        </w:rPr>
        <w:t xml:space="preserve">במסגרת בירור הסכמתו לחיפוש בטלפון הנייד, ולא </w:t>
      </w:r>
      <w:r w:rsidR="00EB6D73">
        <w:rPr>
          <w:rFonts w:cs="David" w:hint="cs"/>
          <w:sz w:val="28"/>
          <w:szCs w:val="28"/>
          <w:rtl/>
        </w:rPr>
        <w:t xml:space="preserve">קודם לכן, </w:t>
      </w:r>
      <w:r w:rsidR="003A6EB3">
        <w:rPr>
          <w:rFonts w:cs="David" w:hint="cs"/>
          <w:sz w:val="28"/>
          <w:szCs w:val="28"/>
          <w:rtl/>
        </w:rPr>
        <w:t xml:space="preserve">בנפרד. </w:t>
      </w:r>
    </w:p>
    <w:p w14:paraId="2883B7DF" w14:textId="77777777" w:rsidR="00E2337D" w:rsidRDefault="00E2337D" w:rsidP="00EB6D73">
      <w:pPr>
        <w:tabs>
          <w:tab w:val="left" w:pos="368"/>
        </w:tabs>
        <w:spacing w:line="360" w:lineRule="auto"/>
        <w:ind w:left="-58"/>
        <w:jc w:val="both"/>
        <w:rPr>
          <w:rFonts w:cs="David"/>
          <w:sz w:val="28"/>
          <w:szCs w:val="28"/>
        </w:rPr>
      </w:pPr>
      <w:r>
        <w:rPr>
          <w:rFonts w:cs="David" w:hint="cs"/>
          <w:sz w:val="28"/>
          <w:szCs w:val="28"/>
          <w:rtl/>
        </w:rPr>
        <w:t xml:space="preserve">נטען כי הפגמים בחקירה מבססים, בנפרד ובמצטבר, הגנה מן הצדק, שהסעד הראוי לה הוא ביטול כתב האישום או, למצער, המרת סעיף האישום לכזה שאינו נושא רישום פלילי. </w:t>
      </w:r>
    </w:p>
    <w:p w14:paraId="6031B582" w14:textId="77777777" w:rsidR="00DE7051" w:rsidRDefault="00E2337D" w:rsidP="00EB6D73">
      <w:pPr>
        <w:numPr>
          <w:ilvl w:val="0"/>
          <w:numId w:val="4"/>
        </w:numPr>
        <w:tabs>
          <w:tab w:val="left" w:pos="368"/>
        </w:tabs>
        <w:spacing w:line="360" w:lineRule="auto"/>
        <w:ind w:left="-58" w:firstLine="0"/>
        <w:jc w:val="both"/>
        <w:rPr>
          <w:rFonts w:cs="David"/>
          <w:sz w:val="28"/>
          <w:szCs w:val="28"/>
        </w:rPr>
      </w:pPr>
      <w:r>
        <w:rPr>
          <w:rFonts w:cs="David" w:hint="cs"/>
          <w:sz w:val="28"/>
          <w:szCs w:val="28"/>
          <w:rtl/>
        </w:rPr>
        <w:t>ולבסוף, נטען על ידי ההגנה, כי נוכח השינוי שחל במדיניות ההעמדה לדין של הפרקליטות הצבאית, בנוגע לעבירות של שימוש בסם מסוכן מסוג קנאביס שביצעו חיילים בשירות חובה, מחוץ למסגרת הצבאית</w:t>
      </w:r>
      <w:r w:rsidR="00EB6D73">
        <w:rPr>
          <w:rFonts w:cs="David" w:hint="cs"/>
          <w:sz w:val="28"/>
          <w:szCs w:val="28"/>
          <w:rtl/>
        </w:rPr>
        <w:t xml:space="preserve"> </w:t>
      </w:r>
      <w:r w:rsidR="00EB6D73">
        <w:rPr>
          <w:rFonts w:cs="David"/>
          <w:sz w:val="28"/>
          <w:szCs w:val="28"/>
          <w:rtl/>
        </w:rPr>
        <w:t>–</w:t>
      </w:r>
      <w:r w:rsidR="00EB6D73">
        <w:rPr>
          <w:rFonts w:cs="David" w:hint="cs"/>
          <w:sz w:val="28"/>
          <w:szCs w:val="28"/>
          <w:rtl/>
        </w:rPr>
        <w:t xml:space="preserve"> שינוי שבעקבותיו</w:t>
      </w:r>
      <w:r>
        <w:rPr>
          <w:rFonts w:cs="David" w:hint="cs"/>
          <w:sz w:val="28"/>
          <w:szCs w:val="28"/>
          <w:rtl/>
        </w:rPr>
        <w:t>, בנסיבות הדומות לאלה המנויות בכתב האישום, בכפוף לנטילת האחריות</w:t>
      </w:r>
      <w:r w:rsidR="00EB6D73">
        <w:rPr>
          <w:rFonts w:cs="David" w:hint="cs"/>
          <w:sz w:val="28"/>
          <w:szCs w:val="28"/>
          <w:rtl/>
        </w:rPr>
        <w:t>,</w:t>
      </w:r>
      <w:r>
        <w:rPr>
          <w:rFonts w:cs="David" w:hint="cs"/>
          <w:sz w:val="28"/>
          <w:szCs w:val="28"/>
          <w:rtl/>
        </w:rPr>
        <w:t xml:space="preserve"> ניתן להיקשר עם ה</w:t>
      </w:r>
      <w:r w:rsidR="00EB6D73">
        <w:rPr>
          <w:rFonts w:cs="David" w:hint="cs"/>
          <w:sz w:val="28"/>
          <w:szCs w:val="28"/>
          <w:rtl/>
        </w:rPr>
        <w:t xml:space="preserve">חייל </w:t>
      </w:r>
      <w:r>
        <w:rPr>
          <w:rFonts w:cs="David" w:hint="cs"/>
          <w:sz w:val="28"/>
          <w:szCs w:val="28"/>
          <w:rtl/>
        </w:rPr>
        <w:t xml:space="preserve">בהסדר מותנה </w:t>
      </w:r>
      <w:r>
        <w:rPr>
          <w:rFonts w:cs="David"/>
          <w:sz w:val="28"/>
          <w:szCs w:val="28"/>
          <w:rtl/>
        </w:rPr>
        <w:t>–</w:t>
      </w:r>
      <w:r>
        <w:rPr>
          <w:rFonts w:cs="David" w:hint="cs"/>
          <w:sz w:val="28"/>
          <w:szCs w:val="28"/>
          <w:rtl/>
        </w:rPr>
        <w:t xml:space="preserve"> העמדתו של המערער, שהוא קצין, לדין פלילי</w:t>
      </w:r>
      <w:r w:rsidR="00DE7051">
        <w:rPr>
          <w:rFonts w:cs="David" w:hint="cs"/>
          <w:sz w:val="28"/>
          <w:szCs w:val="28"/>
          <w:rtl/>
        </w:rPr>
        <w:t>, בעבירה לפי פקודת הסמים המסוכנים, היא בבחינת הפליה פסולה. נטען, כי הפליה זו, נוכח השלכות הרישום הפלילי</w:t>
      </w:r>
      <w:r w:rsidR="004C5FA9">
        <w:rPr>
          <w:rFonts w:cs="David" w:hint="cs"/>
          <w:sz w:val="28"/>
          <w:szCs w:val="28"/>
          <w:rtl/>
        </w:rPr>
        <w:t xml:space="preserve"> הנלווה להרשעה</w:t>
      </w:r>
      <w:r w:rsidR="00DE7051">
        <w:rPr>
          <w:rFonts w:cs="David" w:hint="cs"/>
          <w:sz w:val="28"/>
          <w:szCs w:val="28"/>
          <w:rtl/>
        </w:rPr>
        <w:t>, אף היא מקימה למערער הגנה מן הצדק, שהמענה לה הוא המרת סעיף האישום לכזה שאינו נושא רישום פלילי.</w:t>
      </w:r>
    </w:p>
    <w:p w14:paraId="6E0D31B6" w14:textId="77777777" w:rsidR="00692D8D" w:rsidRDefault="009B1FF5" w:rsidP="003C65B0">
      <w:pPr>
        <w:numPr>
          <w:ilvl w:val="0"/>
          <w:numId w:val="4"/>
        </w:numPr>
        <w:tabs>
          <w:tab w:val="left" w:pos="368"/>
        </w:tabs>
        <w:spacing w:line="360" w:lineRule="auto"/>
        <w:ind w:left="-58" w:firstLine="0"/>
        <w:jc w:val="both"/>
        <w:rPr>
          <w:rFonts w:cs="David"/>
          <w:sz w:val="28"/>
          <w:szCs w:val="28"/>
        </w:rPr>
      </w:pPr>
      <w:r w:rsidRPr="009B1FF5">
        <w:rPr>
          <w:rFonts w:cs="David" w:hint="cs"/>
          <w:sz w:val="28"/>
          <w:szCs w:val="28"/>
          <w:rtl/>
        </w:rPr>
        <w:t xml:space="preserve">בשולי הדברים, ציינה ההגנה את נסיבותיו האישיות של המערער, את תרומתו במסגרת השירות הצבאי </w:t>
      </w:r>
      <w:r>
        <w:rPr>
          <w:rFonts w:cs="David" w:hint="cs"/>
          <w:sz w:val="28"/>
          <w:szCs w:val="28"/>
          <w:rtl/>
        </w:rPr>
        <w:t>ו</w:t>
      </w:r>
      <w:r w:rsidRPr="009B1FF5">
        <w:rPr>
          <w:rFonts w:cs="David" w:hint="cs"/>
          <w:sz w:val="28"/>
          <w:szCs w:val="28"/>
          <w:rtl/>
        </w:rPr>
        <w:t xml:space="preserve">את ההערכה </w:t>
      </w:r>
      <w:r w:rsidR="004C5FA9">
        <w:rPr>
          <w:rFonts w:cs="David" w:hint="cs"/>
          <w:sz w:val="28"/>
          <w:szCs w:val="28"/>
          <w:rtl/>
        </w:rPr>
        <w:t>ש</w:t>
      </w:r>
      <w:r w:rsidRPr="009B1FF5">
        <w:rPr>
          <w:rFonts w:cs="David" w:hint="cs"/>
          <w:sz w:val="28"/>
          <w:szCs w:val="28"/>
          <w:rtl/>
        </w:rPr>
        <w:t>לה זכה ממפקדיו</w:t>
      </w:r>
      <w:r>
        <w:rPr>
          <w:rFonts w:cs="David" w:hint="cs"/>
          <w:sz w:val="28"/>
          <w:szCs w:val="28"/>
          <w:rtl/>
        </w:rPr>
        <w:t xml:space="preserve">. ההגנה טענה, כי הרישום הפלילי הנלווה להרשעתו בבית הדין קמא, יקשה עליו </w:t>
      </w:r>
      <w:r w:rsidRPr="009B1FF5">
        <w:rPr>
          <w:rFonts w:cs="David" w:hint="cs"/>
          <w:sz w:val="28"/>
          <w:szCs w:val="28"/>
          <w:rtl/>
        </w:rPr>
        <w:t>ל</w:t>
      </w:r>
      <w:r w:rsidR="003C65B0">
        <w:rPr>
          <w:rFonts w:cs="David" w:hint="cs"/>
          <w:sz w:val="28"/>
          <w:szCs w:val="28"/>
          <w:rtl/>
        </w:rPr>
        <w:t xml:space="preserve">השתלב </w:t>
      </w:r>
      <w:r w:rsidR="004C5FA9">
        <w:rPr>
          <w:rFonts w:cs="David" w:hint="cs"/>
          <w:sz w:val="28"/>
          <w:szCs w:val="28"/>
          <w:rtl/>
        </w:rPr>
        <w:t xml:space="preserve">בשנים הקרובות </w:t>
      </w:r>
      <w:r w:rsidRPr="009B1FF5">
        <w:rPr>
          <w:rFonts w:cs="David" w:hint="cs"/>
          <w:sz w:val="28"/>
          <w:szCs w:val="28"/>
          <w:rtl/>
        </w:rPr>
        <w:t>בתפקידי אבטחה, שאליהם הוכשר בצבא</w:t>
      </w:r>
      <w:r w:rsidR="00CF0508">
        <w:rPr>
          <w:rFonts w:cs="David" w:hint="cs"/>
          <w:sz w:val="28"/>
          <w:szCs w:val="28"/>
          <w:rtl/>
        </w:rPr>
        <w:t xml:space="preserve">, </w:t>
      </w:r>
      <w:r w:rsidR="003C65B0">
        <w:rPr>
          <w:rFonts w:cs="David" w:hint="cs"/>
          <w:sz w:val="28"/>
          <w:szCs w:val="28"/>
          <w:rtl/>
        </w:rPr>
        <w:t>ב</w:t>
      </w:r>
      <w:r w:rsidR="004C5FA9">
        <w:rPr>
          <w:rFonts w:cs="David" w:hint="cs"/>
          <w:sz w:val="28"/>
          <w:szCs w:val="28"/>
          <w:rtl/>
        </w:rPr>
        <w:t xml:space="preserve">מסגרת </w:t>
      </w:r>
      <w:r w:rsidR="003C65B0">
        <w:rPr>
          <w:rFonts w:cs="David" w:hint="cs"/>
          <w:sz w:val="28"/>
          <w:szCs w:val="28"/>
          <w:rtl/>
        </w:rPr>
        <w:t xml:space="preserve">שירות המדינה, </w:t>
      </w:r>
      <w:r w:rsidR="00CF0508">
        <w:rPr>
          <w:rFonts w:cs="David" w:hint="cs"/>
          <w:sz w:val="28"/>
          <w:szCs w:val="28"/>
          <w:rtl/>
        </w:rPr>
        <w:t>כפי שקיווה לעשות</w:t>
      </w:r>
      <w:r w:rsidRPr="009B1FF5">
        <w:rPr>
          <w:rFonts w:cs="David" w:hint="cs"/>
          <w:sz w:val="28"/>
          <w:szCs w:val="28"/>
          <w:rtl/>
        </w:rPr>
        <w:t xml:space="preserve">. </w:t>
      </w:r>
    </w:p>
    <w:p w14:paraId="0B390C21" w14:textId="77777777" w:rsidR="009B1FF5" w:rsidRPr="00CF0508" w:rsidRDefault="009B1FF5" w:rsidP="009B1FF5">
      <w:pPr>
        <w:tabs>
          <w:tab w:val="left" w:pos="368"/>
        </w:tabs>
        <w:spacing w:line="360" w:lineRule="auto"/>
        <w:jc w:val="both"/>
        <w:rPr>
          <w:rFonts w:cs="David"/>
          <w:sz w:val="28"/>
          <w:szCs w:val="28"/>
        </w:rPr>
      </w:pPr>
    </w:p>
    <w:p w14:paraId="26930EF4" w14:textId="77777777" w:rsidR="00E5228F" w:rsidRDefault="00E5228F" w:rsidP="00FD1834">
      <w:pPr>
        <w:tabs>
          <w:tab w:val="left" w:pos="368"/>
        </w:tabs>
        <w:spacing w:line="360" w:lineRule="auto"/>
        <w:ind w:left="-58"/>
        <w:jc w:val="both"/>
        <w:rPr>
          <w:rFonts w:cs="David"/>
          <w:b/>
          <w:bCs/>
          <w:sz w:val="28"/>
          <w:szCs w:val="28"/>
          <w:u w:val="single"/>
          <w:rtl/>
        </w:rPr>
      </w:pPr>
      <w:r>
        <w:rPr>
          <w:rFonts w:cs="David" w:hint="cs"/>
          <w:b/>
          <w:bCs/>
          <w:sz w:val="28"/>
          <w:szCs w:val="28"/>
          <w:u w:val="single"/>
          <w:rtl/>
        </w:rPr>
        <w:lastRenderedPageBreak/>
        <w:t>תשובת ה</w:t>
      </w:r>
      <w:r w:rsidR="00FD1834">
        <w:rPr>
          <w:rFonts w:cs="David" w:hint="cs"/>
          <w:b/>
          <w:bCs/>
          <w:sz w:val="28"/>
          <w:szCs w:val="28"/>
          <w:u w:val="single"/>
          <w:rtl/>
        </w:rPr>
        <w:t>תביעה</w:t>
      </w:r>
    </w:p>
    <w:p w14:paraId="72B16C9F" w14:textId="77777777" w:rsidR="003C5CB2" w:rsidRDefault="003C5CB2" w:rsidP="003C5CB2">
      <w:pPr>
        <w:numPr>
          <w:ilvl w:val="0"/>
          <w:numId w:val="4"/>
        </w:numPr>
        <w:tabs>
          <w:tab w:val="left" w:pos="368"/>
        </w:tabs>
        <w:spacing w:line="360" w:lineRule="auto"/>
        <w:ind w:left="-58" w:firstLine="0"/>
        <w:jc w:val="both"/>
        <w:rPr>
          <w:rFonts w:cs="David"/>
          <w:sz w:val="28"/>
          <w:szCs w:val="28"/>
        </w:rPr>
      </w:pPr>
      <w:r>
        <w:rPr>
          <w:rFonts w:cs="David" w:hint="cs"/>
          <w:sz w:val="28"/>
          <w:szCs w:val="28"/>
          <w:rtl/>
        </w:rPr>
        <w:t xml:space="preserve">התביעה עתרה לפנינו לדחות את ערעור ההגנה ולהותיר את הרשעתו של המערער על כנה. </w:t>
      </w:r>
    </w:p>
    <w:p w14:paraId="1BA102A1" w14:textId="77777777" w:rsidR="009B1FF5" w:rsidRDefault="00EB6D73" w:rsidP="004C5FA9">
      <w:pPr>
        <w:numPr>
          <w:ilvl w:val="0"/>
          <w:numId w:val="4"/>
        </w:numPr>
        <w:tabs>
          <w:tab w:val="left" w:pos="368"/>
        </w:tabs>
        <w:spacing w:line="360" w:lineRule="auto"/>
        <w:ind w:left="-58" w:firstLine="0"/>
        <w:jc w:val="both"/>
        <w:rPr>
          <w:rFonts w:cs="David"/>
          <w:sz w:val="28"/>
          <w:szCs w:val="28"/>
        </w:rPr>
      </w:pPr>
      <w:r>
        <w:rPr>
          <w:rFonts w:cs="David" w:hint="cs"/>
          <w:sz w:val="28"/>
          <w:szCs w:val="28"/>
          <w:rtl/>
        </w:rPr>
        <w:t xml:space="preserve">תחילה </w:t>
      </w:r>
      <w:r w:rsidR="003C5CB2">
        <w:rPr>
          <w:rFonts w:cs="David" w:hint="cs"/>
          <w:sz w:val="28"/>
          <w:szCs w:val="28"/>
          <w:rtl/>
        </w:rPr>
        <w:t xml:space="preserve">נטען, כי </w:t>
      </w:r>
      <w:r w:rsidR="004C5FA9">
        <w:rPr>
          <w:rFonts w:cs="David" w:hint="cs"/>
          <w:sz w:val="28"/>
          <w:szCs w:val="28"/>
          <w:rtl/>
        </w:rPr>
        <w:t xml:space="preserve">ההגנה מעלה בערעורה </w:t>
      </w:r>
      <w:r w:rsidR="003C5CB2">
        <w:rPr>
          <w:rFonts w:cs="David" w:hint="cs"/>
          <w:sz w:val="28"/>
          <w:szCs w:val="28"/>
          <w:rtl/>
        </w:rPr>
        <w:t xml:space="preserve">טענות </w:t>
      </w:r>
      <w:r>
        <w:rPr>
          <w:rFonts w:cs="David" w:hint="cs"/>
          <w:sz w:val="28"/>
          <w:szCs w:val="28"/>
          <w:rtl/>
        </w:rPr>
        <w:t>חדשות, שטרם התבררו ב</w:t>
      </w:r>
      <w:r w:rsidR="004C5FA9">
        <w:rPr>
          <w:rFonts w:cs="David" w:hint="cs"/>
          <w:sz w:val="28"/>
          <w:szCs w:val="28"/>
          <w:rtl/>
        </w:rPr>
        <w:t>ערכאה הדיונית</w:t>
      </w:r>
      <w:r>
        <w:rPr>
          <w:rFonts w:cs="David" w:hint="cs"/>
          <w:sz w:val="28"/>
          <w:szCs w:val="28"/>
          <w:rtl/>
        </w:rPr>
        <w:t>, וחלקן אף סותרות את עמדת ההגנה ו</w:t>
      </w:r>
      <w:r w:rsidR="004C5FA9">
        <w:rPr>
          <w:rFonts w:cs="David" w:hint="cs"/>
          <w:sz w:val="28"/>
          <w:szCs w:val="28"/>
          <w:rtl/>
        </w:rPr>
        <w:t xml:space="preserve">את </w:t>
      </w:r>
      <w:r>
        <w:rPr>
          <w:rFonts w:cs="David" w:hint="cs"/>
          <w:sz w:val="28"/>
          <w:szCs w:val="28"/>
          <w:rtl/>
        </w:rPr>
        <w:t>גרסת המערער, כפי שהוצג</w:t>
      </w:r>
      <w:r w:rsidR="004C5FA9">
        <w:rPr>
          <w:rFonts w:cs="David" w:hint="cs"/>
          <w:sz w:val="28"/>
          <w:szCs w:val="28"/>
          <w:rtl/>
        </w:rPr>
        <w:t>ו</w:t>
      </w:r>
      <w:r>
        <w:rPr>
          <w:rFonts w:cs="David" w:hint="cs"/>
          <w:sz w:val="28"/>
          <w:szCs w:val="28"/>
          <w:rtl/>
        </w:rPr>
        <w:t xml:space="preserve"> בבית הדין המחוזי. כך, נטען, כי בקשתו החדשה של המערער להורות על זיכויו, אינה אלא, חזרה מהודאה שניתנה בבית הדין. </w:t>
      </w:r>
      <w:r w:rsidR="0090371E">
        <w:rPr>
          <w:rFonts w:cs="David" w:hint="cs"/>
          <w:sz w:val="28"/>
          <w:szCs w:val="28"/>
          <w:rtl/>
        </w:rPr>
        <w:t xml:space="preserve">בעניין זה הפנתה התביעה לע"פ 6952/10 </w:t>
      </w:r>
      <w:r w:rsidR="0090371E" w:rsidRPr="009B1FF5">
        <w:rPr>
          <w:rFonts w:cs="David" w:hint="cs"/>
          <w:b/>
          <w:bCs/>
          <w:sz w:val="28"/>
          <w:szCs w:val="28"/>
          <w:rtl/>
        </w:rPr>
        <w:t>בשימוב נ' מדינת ישראל</w:t>
      </w:r>
      <w:r w:rsidR="0090371E">
        <w:rPr>
          <w:rFonts w:cs="David" w:hint="cs"/>
          <w:sz w:val="28"/>
          <w:szCs w:val="28"/>
          <w:rtl/>
        </w:rPr>
        <w:t xml:space="preserve"> (</w:t>
      </w:r>
      <w:r w:rsidR="00DE18BF">
        <w:rPr>
          <w:rFonts w:cs="David" w:hint="cs"/>
          <w:sz w:val="28"/>
          <w:szCs w:val="28"/>
          <w:rtl/>
        </w:rPr>
        <w:t xml:space="preserve">טרם פורסם, </w:t>
      </w:r>
      <w:r w:rsidR="0090371E">
        <w:rPr>
          <w:rFonts w:cs="David" w:hint="cs"/>
          <w:sz w:val="28"/>
          <w:szCs w:val="28"/>
          <w:rtl/>
        </w:rPr>
        <w:t>13.1</w:t>
      </w:r>
      <w:r w:rsidR="00DE18BF">
        <w:rPr>
          <w:rFonts w:cs="David" w:hint="cs"/>
          <w:sz w:val="28"/>
          <w:szCs w:val="28"/>
          <w:rtl/>
        </w:rPr>
        <w:t>.</w:t>
      </w:r>
      <w:r w:rsidR="0090371E">
        <w:rPr>
          <w:rFonts w:cs="David" w:hint="cs"/>
          <w:sz w:val="28"/>
          <w:szCs w:val="28"/>
          <w:rtl/>
        </w:rPr>
        <w:t xml:space="preserve">2011).  </w:t>
      </w:r>
      <w:r>
        <w:rPr>
          <w:rFonts w:cs="David" w:hint="cs"/>
          <w:sz w:val="28"/>
          <w:szCs w:val="28"/>
          <w:rtl/>
        </w:rPr>
        <w:t>התביעה הדגישה כי לכל אורך ההליך בבית הדין קמא טען</w:t>
      </w:r>
      <w:r w:rsidR="004C5FA9">
        <w:rPr>
          <w:rFonts w:cs="David" w:hint="cs"/>
          <w:sz w:val="28"/>
          <w:szCs w:val="28"/>
          <w:rtl/>
        </w:rPr>
        <w:t xml:space="preserve"> המערער</w:t>
      </w:r>
      <w:r>
        <w:rPr>
          <w:rFonts w:cs="David" w:hint="cs"/>
          <w:sz w:val="28"/>
          <w:szCs w:val="28"/>
          <w:rtl/>
        </w:rPr>
        <w:t xml:space="preserve">, כי הוא נוטל אחריו למעשיו ואינו חוזר בו מדבריו בחקירה. המערער </w:t>
      </w:r>
      <w:r w:rsidR="004C5FA9">
        <w:rPr>
          <w:rFonts w:cs="David" w:hint="cs"/>
          <w:sz w:val="28"/>
          <w:szCs w:val="28"/>
          <w:rtl/>
        </w:rPr>
        <w:t xml:space="preserve">אף </w:t>
      </w:r>
      <w:r>
        <w:rPr>
          <w:rFonts w:cs="David" w:hint="cs"/>
          <w:sz w:val="28"/>
          <w:szCs w:val="28"/>
          <w:rtl/>
        </w:rPr>
        <w:t>לא טען לכרסום במשקל ההודיה שמסר במצ"ח ו</w:t>
      </w:r>
      <w:r w:rsidR="004C5FA9">
        <w:rPr>
          <w:rFonts w:cs="David" w:hint="cs"/>
          <w:sz w:val="28"/>
          <w:szCs w:val="28"/>
          <w:rtl/>
        </w:rPr>
        <w:t xml:space="preserve">כן לא טען </w:t>
      </w:r>
      <w:r>
        <w:rPr>
          <w:rFonts w:cs="David" w:hint="cs"/>
          <w:sz w:val="28"/>
          <w:szCs w:val="28"/>
          <w:rtl/>
        </w:rPr>
        <w:t>להיעדר תוספת ראייתית מתאימה. טענותיו בבית הדין המחוזי נסבו על אודות פגמים, שנפלו לשיטתו</w:t>
      </w:r>
      <w:r w:rsidR="004C5FA9">
        <w:rPr>
          <w:rFonts w:cs="David" w:hint="cs"/>
          <w:sz w:val="28"/>
          <w:szCs w:val="28"/>
          <w:rtl/>
        </w:rPr>
        <w:t>,</w:t>
      </w:r>
      <w:r>
        <w:rPr>
          <w:rFonts w:cs="David" w:hint="cs"/>
          <w:sz w:val="28"/>
          <w:szCs w:val="28"/>
          <w:rtl/>
        </w:rPr>
        <w:t xml:space="preserve"> בחקירה ו</w:t>
      </w:r>
      <w:r w:rsidR="004C5FA9">
        <w:rPr>
          <w:rFonts w:cs="David" w:hint="cs"/>
          <w:sz w:val="28"/>
          <w:szCs w:val="28"/>
          <w:rtl/>
        </w:rPr>
        <w:t xml:space="preserve">על </w:t>
      </w:r>
      <w:r>
        <w:rPr>
          <w:rFonts w:cs="David" w:hint="cs"/>
          <w:sz w:val="28"/>
          <w:szCs w:val="28"/>
          <w:rtl/>
        </w:rPr>
        <w:t xml:space="preserve">השלכותיהם </w:t>
      </w:r>
      <w:r w:rsidR="004C5FA9">
        <w:rPr>
          <w:rFonts w:cs="David" w:hint="cs"/>
          <w:sz w:val="28"/>
          <w:szCs w:val="28"/>
          <w:rtl/>
        </w:rPr>
        <w:t xml:space="preserve">במישור ההגנה מן הצדק, במסגרת בקשתו </w:t>
      </w:r>
      <w:r>
        <w:rPr>
          <w:rFonts w:cs="David" w:hint="cs"/>
          <w:sz w:val="28"/>
          <w:szCs w:val="28"/>
          <w:rtl/>
        </w:rPr>
        <w:t xml:space="preserve">להמיר את סעיף האישום בעניינו, לצד הטענה </w:t>
      </w:r>
      <w:r w:rsidR="004C5FA9">
        <w:rPr>
          <w:rFonts w:cs="David" w:hint="cs"/>
          <w:sz w:val="28"/>
          <w:szCs w:val="28"/>
          <w:rtl/>
        </w:rPr>
        <w:t>ל</w:t>
      </w:r>
      <w:r>
        <w:rPr>
          <w:rFonts w:cs="David" w:hint="cs"/>
          <w:sz w:val="28"/>
          <w:szCs w:val="28"/>
          <w:rtl/>
        </w:rPr>
        <w:t xml:space="preserve">הגנה מן הצדק מטעמים של הפליה. </w:t>
      </w:r>
    </w:p>
    <w:p w14:paraId="0AEE9F80" w14:textId="77777777" w:rsidR="009B1FF5" w:rsidRDefault="009B1FF5" w:rsidP="00B95660">
      <w:pPr>
        <w:numPr>
          <w:ilvl w:val="0"/>
          <w:numId w:val="4"/>
        </w:numPr>
        <w:tabs>
          <w:tab w:val="left" w:pos="368"/>
        </w:tabs>
        <w:spacing w:line="360" w:lineRule="auto"/>
        <w:ind w:left="-58" w:firstLine="0"/>
        <w:jc w:val="both"/>
        <w:rPr>
          <w:rFonts w:cs="David"/>
          <w:sz w:val="28"/>
          <w:szCs w:val="28"/>
        </w:rPr>
      </w:pPr>
      <w:r>
        <w:rPr>
          <w:rFonts w:cs="David" w:hint="cs"/>
          <w:sz w:val="28"/>
          <w:szCs w:val="28"/>
          <w:rtl/>
        </w:rPr>
        <w:t xml:space="preserve">נטען </w:t>
      </w:r>
      <w:r w:rsidR="004C5FA9">
        <w:rPr>
          <w:rFonts w:cs="David" w:hint="cs"/>
          <w:sz w:val="28"/>
          <w:szCs w:val="28"/>
          <w:rtl/>
        </w:rPr>
        <w:t xml:space="preserve">עוד, </w:t>
      </w:r>
      <w:r>
        <w:rPr>
          <w:rFonts w:cs="David" w:hint="cs"/>
          <w:sz w:val="28"/>
          <w:szCs w:val="28"/>
          <w:rtl/>
        </w:rPr>
        <w:t xml:space="preserve">כי טענות ההגנה על דיות הראיות ועל הפגיעה ברצון החופשי של המערער, </w:t>
      </w:r>
      <w:r w:rsidR="004C5FA9">
        <w:rPr>
          <w:rFonts w:cs="David" w:hint="cs"/>
          <w:sz w:val="28"/>
          <w:szCs w:val="28"/>
          <w:rtl/>
        </w:rPr>
        <w:t>כגון הטענה החדשה כי לא היה מקום ל</w:t>
      </w:r>
      <w:r>
        <w:rPr>
          <w:rFonts w:cs="David" w:hint="cs"/>
          <w:sz w:val="28"/>
          <w:szCs w:val="28"/>
          <w:rtl/>
        </w:rPr>
        <w:t>בקש</w:t>
      </w:r>
      <w:r w:rsidR="004C5FA9">
        <w:rPr>
          <w:rFonts w:cs="David" w:hint="cs"/>
          <w:sz w:val="28"/>
          <w:szCs w:val="28"/>
          <w:rtl/>
        </w:rPr>
        <w:t xml:space="preserve"> מן המערער </w:t>
      </w:r>
      <w:r>
        <w:rPr>
          <w:rFonts w:cs="David" w:hint="cs"/>
          <w:sz w:val="28"/>
          <w:szCs w:val="28"/>
          <w:rtl/>
        </w:rPr>
        <w:t>את הקוד הסודי למכשיר הטלפון הנייד שלו</w:t>
      </w:r>
      <w:r w:rsidR="004C5FA9">
        <w:rPr>
          <w:rFonts w:cs="David" w:hint="cs"/>
          <w:sz w:val="28"/>
          <w:szCs w:val="28"/>
          <w:rtl/>
        </w:rPr>
        <w:t xml:space="preserve"> קודם לבירור הסכמתו בעניין </w:t>
      </w:r>
      <w:r w:rsidR="00B95660">
        <w:rPr>
          <w:rFonts w:cs="David" w:hint="cs"/>
          <w:sz w:val="28"/>
          <w:szCs w:val="28"/>
          <w:rtl/>
        </w:rPr>
        <w:t xml:space="preserve">- </w:t>
      </w:r>
      <w:r>
        <w:rPr>
          <w:rFonts w:cs="David" w:hint="cs"/>
          <w:sz w:val="28"/>
          <w:szCs w:val="28"/>
          <w:rtl/>
        </w:rPr>
        <w:t xml:space="preserve">מחייבות </w:t>
      </w:r>
      <w:r w:rsidR="0090371E">
        <w:rPr>
          <w:rFonts w:cs="David" w:hint="cs"/>
          <w:sz w:val="28"/>
          <w:szCs w:val="28"/>
          <w:rtl/>
        </w:rPr>
        <w:t xml:space="preserve">היו </w:t>
      </w:r>
      <w:r>
        <w:rPr>
          <w:rFonts w:cs="David" w:hint="cs"/>
          <w:sz w:val="28"/>
          <w:szCs w:val="28"/>
          <w:rtl/>
        </w:rPr>
        <w:t xml:space="preserve">ליבון משפטי ואף </w:t>
      </w:r>
      <w:r w:rsidR="00B95660" w:rsidRPr="00305FB7">
        <w:rPr>
          <w:rFonts w:cs="David" w:hint="eastAsia"/>
          <w:b/>
          <w:bCs/>
          <w:sz w:val="28"/>
          <w:szCs w:val="28"/>
          <w:rtl/>
        </w:rPr>
        <w:t>בירור</w:t>
      </w:r>
      <w:r w:rsidR="00B95660" w:rsidRPr="00305FB7">
        <w:rPr>
          <w:rFonts w:cs="David"/>
          <w:b/>
          <w:bCs/>
          <w:sz w:val="28"/>
          <w:szCs w:val="28"/>
          <w:rtl/>
        </w:rPr>
        <w:t xml:space="preserve"> </w:t>
      </w:r>
      <w:r w:rsidRPr="00305FB7">
        <w:rPr>
          <w:rFonts w:cs="David" w:hint="eastAsia"/>
          <w:b/>
          <w:bCs/>
          <w:sz w:val="28"/>
          <w:szCs w:val="28"/>
          <w:rtl/>
        </w:rPr>
        <w:t>עובדתי</w:t>
      </w:r>
      <w:r>
        <w:rPr>
          <w:rFonts w:cs="David" w:hint="cs"/>
          <w:sz w:val="28"/>
          <w:szCs w:val="28"/>
          <w:rtl/>
        </w:rPr>
        <w:t xml:space="preserve"> </w:t>
      </w:r>
      <w:r w:rsidR="0090371E">
        <w:rPr>
          <w:rFonts w:cs="David" w:hint="cs"/>
          <w:sz w:val="28"/>
          <w:szCs w:val="28"/>
          <w:rtl/>
        </w:rPr>
        <w:t xml:space="preserve">לפני </w:t>
      </w:r>
      <w:r>
        <w:rPr>
          <w:rFonts w:cs="David" w:hint="cs"/>
          <w:sz w:val="28"/>
          <w:szCs w:val="28"/>
          <w:rtl/>
        </w:rPr>
        <w:t>הערכאה הדיונית</w:t>
      </w:r>
      <w:r w:rsidR="0090371E">
        <w:rPr>
          <w:rFonts w:cs="David" w:hint="cs"/>
          <w:sz w:val="28"/>
          <w:szCs w:val="28"/>
          <w:rtl/>
        </w:rPr>
        <w:t xml:space="preserve">. משלא הועלו בהליך הדיוני </w:t>
      </w:r>
      <w:r w:rsidR="0090371E">
        <w:rPr>
          <w:rFonts w:cs="David"/>
          <w:sz w:val="28"/>
          <w:szCs w:val="28"/>
          <w:rtl/>
        </w:rPr>
        <w:t>–</w:t>
      </w:r>
      <w:r w:rsidR="0090371E">
        <w:rPr>
          <w:rFonts w:cs="David" w:hint="cs"/>
          <w:sz w:val="28"/>
          <w:szCs w:val="28"/>
          <w:rtl/>
        </w:rPr>
        <w:t xml:space="preserve"> אין להידרש אליהן בהיעדר קביעות בעניין של בית הדין קמא</w:t>
      </w:r>
      <w:r>
        <w:rPr>
          <w:rFonts w:cs="David" w:hint="cs"/>
          <w:sz w:val="28"/>
          <w:szCs w:val="28"/>
          <w:rtl/>
        </w:rPr>
        <w:t xml:space="preserve">. </w:t>
      </w:r>
    </w:p>
    <w:p w14:paraId="7F69B023" w14:textId="77777777" w:rsidR="009B1FF5" w:rsidRDefault="009B1FF5" w:rsidP="00B95660">
      <w:pPr>
        <w:numPr>
          <w:ilvl w:val="0"/>
          <w:numId w:val="4"/>
        </w:numPr>
        <w:tabs>
          <w:tab w:val="left" w:pos="368"/>
        </w:tabs>
        <w:spacing w:line="360" w:lineRule="auto"/>
        <w:ind w:left="-58" w:firstLine="0"/>
        <w:jc w:val="both"/>
        <w:rPr>
          <w:rFonts w:cs="David"/>
          <w:sz w:val="28"/>
          <w:szCs w:val="28"/>
        </w:rPr>
      </w:pPr>
      <w:r>
        <w:rPr>
          <w:rFonts w:cs="David" w:hint="cs"/>
          <w:sz w:val="28"/>
          <w:szCs w:val="28"/>
          <w:rtl/>
        </w:rPr>
        <w:t>לגו</w:t>
      </w:r>
      <w:r w:rsidR="00B95660">
        <w:rPr>
          <w:rFonts w:cs="David" w:hint="cs"/>
          <w:sz w:val="28"/>
          <w:szCs w:val="28"/>
          <w:rtl/>
        </w:rPr>
        <w:t>ף הטענה כנגד דיות הראיות</w:t>
      </w:r>
      <w:r>
        <w:rPr>
          <w:rFonts w:cs="David" w:hint="cs"/>
          <w:sz w:val="28"/>
          <w:szCs w:val="28"/>
          <w:rtl/>
        </w:rPr>
        <w:t>, נטען, כי התיעוד של השיח</w:t>
      </w:r>
      <w:r w:rsidR="00B95660">
        <w:rPr>
          <w:rFonts w:cs="David" w:hint="cs"/>
          <w:sz w:val="28"/>
          <w:szCs w:val="28"/>
          <w:rtl/>
        </w:rPr>
        <w:t>ה</w:t>
      </w:r>
      <w:r>
        <w:rPr>
          <w:rFonts w:cs="David" w:hint="cs"/>
          <w:sz w:val="28"/>
          <w:szCs w:val="28"/>
          <w:rtl/>
        </w:rPr>
        <w:t xml:space="preserve"> בין המערער לחברו, כ</w:t>
      </w:r>
      <w:r w:rsidR="00B95660">
        <w:rPr>
          <w:rFonts w:cs="David" w:hint="cs"/>
          <w:sz w:val="28"/>
          <w:szCs w:val="28"/>
          <w:rtl/>
        </w:rPr>
        <w:t xml:space="preserve">עולה מן </w:t>
      </w:r>
      <w:r>
        <w:rPr>
          <w:rFonts w:cs="David" w:hint="cs"/>
          <w:sz w:val="28"/>
          <w:szCs w:val="28"/>
          <w:rtl/>
        </w:rPr>
        <w:t>העיון הידני במכשיר הטלפון הנייד</w:t>
      </w:r>
      <w:r w:rsidR="00B95660">
        <w:rPr>
          <w:rFonts w:cs="David" w:hint="cs"/>
          <w:sz w:val="28"/>
          <w:szCs w:val="28"/>
          <w:rtl/>
        </w:rPr>
        <w:t xml:space="preserve"> שלו</w:t>
      </w:r>
      <w:r>
        <w:rPr>
          <w:rFonts w:cs="David" w:hint="cs"/>
          <w:sz w:val="28"/>
          <w:szCs w:val="28"/>
          <w:rtl/>
        </w:rPr>
        <w:t xml:space="preserve">, הוא </w:t>
      </w:r>
      <w:r w:rsidR="0090371E">
        <w:rPr>
          <w:rFonts w:cs="David" w:hint="cs"/>
          <w:sz w:val="28"/>
          <w:szCs w:val="28"/>
          <w:rtl/>
        </w:rPr>
        <w:t>ב</w:t>
      </w:r>
      <w:r>
        <w:rPr>
          <w:rFonts w:cs="David" w:hint="cs"/>
          <w:sz w:val="28"/>
          <w:szCs w:val="28"/>
          <w:rtl/>
        </w:rPr>
        <w:t xml:space="preserve">בחינת ראיה חיצונית, אשר יש בה כדי לאמת </w:t>
      </w:r>
      <w:r w:rsidR="00B95660">
        <w:rPr>
          <w:rFonts w:cs="David" w:hint="cs"/>
          <w:sz w:val="28"/>
          <w:szCs w:val="28"/>
          <w:rtl/>
        </w:rPr>
        <w:t xml:space="preserve">כדבעי </w:t>
      </w:r>
      <w:r>
        <w:rPr>
          <w:rFonts w:cs="David" w:hint="cs"/>
          <w:sz w:val="28"/>
          <w:szCs w:val="28"/>
          <w:rtl/>
        </w:rPr>
        <w:t xml:space="preserve">את דבריו של המערער בחקירה. התביעה הצביעה על </w:t>
      </w:r>
      <w:r w:rsidR="00B95660">
        <w:rPr>
          <w:rFonts w:cs="David" w:hint="cs"/>
          <w:sz w:val="28"/>
          <w:szCs w:val="28"/>
          <w:rtl/>
        </w:rPr>
        <w:t xml:space="preserve">דבריו </w:t>
      </w:r>
      <w:r>
        <w:rPr>
          <w:rFonts w:cs="David" w:hint="cs"/>
          <w:sz w:val="28"/>
          <w:szCs w:val="28"/>
          <w:rtl/>
        </w:rPr>
        <w:t>של המערער</w:t>
      </w:r>
      <w:r w:rsidR="00B95660">
        <w:rPr>
          <w:rFonts w:cs="David" w:hint="cs"/>
          <w:sz w:val="28"/>
          <w:szCs w:val="28"/>
          <w:rtl/>
        </w:rPr>
        <w:t xml:space="preserve"> באותה שיחה</w:t>
      </w:r>
      <w:r>
        <w:rPr>
          <w:rFonts w:cs="David" w:hint="cs"/>
          <w:sz w:val="28"/>
          <w:szCs w:val="28"/>
          <w:rtl/>
        </w:rPr>
        <w:t xml:space="preserve">, </w:t>
      </w:r>
      <w:r w:rsidR="00B95660">
        <w:rPr>
          <w:rFonts w:cs="David" w:hint="cs"/>
          <w:sz w:val="28"/>
          <w:szCs w:val="28"/>
          <w:rtl/>
        </w:rPr>
        <w:t>ה</w:t>
      </w:r>
      <w:r>
        <w:rPr>
          <w:rFonts w:cs="David" w:hint="cs"/>
          <w:sz w:val="28"/>
          <w:szCs w:val="28"/>
          <w:rtl/>
        </w:rPr>
        <w:t>מלמד</w:t>
      </w:r>
      <w:r w:rsidR="00B95660">
        <w:rPr>
          <w:rFonts w:cs="David" w:hint="cs"/>
          <w:sz w:val="28"/>
          <w:szCs w:val="28"/>
          <w:rtl/>
        </w:rPr>
        <w:t>ים</w:t>
      </w:r>
      <w:r>
        <w:rPr>
          <w:rFonts w:cs="David" w:hint="cs"/>
          <w:sz w:val="28"/>
          <w:szCs w:val="28"/>
          <w:rtl/>
        </w:rPr>
        <w:t xml:space="preserve"> על מעורבותו ובקיאותו בעולם הסמים </w:t>
      </w:r>
      <w:r w:rsidR="00B95660">
        <w:rPr>
          <w:rFonts w:cs="David" w:hint="cs"/>
          <w:sz w:val="28"/>
          <w:szCs w:val="28"/>
          <w:rtl/>
        </w:rPr>
        <w:t xml:space="preserve">המסוכנים </w:t>
      </w:r>
      <w:r>
        <w:rPr>
          <w:rFonts w:cs="David" w:hint="cs"/>
          <w:sz w:val="28"/>
          <w:szCs w:val="28"/>
          <w:rtl/>
        </w:rPr>
        <w:t>וכן על התייחסותם של הדוברים באותה שיחה לאירועים שהתרחשו בעבר, ש</w:t>
      </w:r>
      <w:r w:rsidR="00B95660">
        <w:rPr>
          <w:rFonts w:cs="David" w:hint="cs"/>
          <w:sz w:val="28"/>
          <w:szCs w:val="28"/>
          <w:rtl/>
        </w:rPr>
        <w:t>הם האירועים ש</w:t>
      </w:r>
      <w:r>
        <w:rPr>
          <w:rFonts w:cs="David" w:hint="cs"/>
          <w:sz w:val="28"/>
          <w:szCs w:val="28"/>
          <w:rtl/>
        </w:rPr>
        <w:t>הזכיר המערער בהודיה בחקירה, כ</w:t>
      </w:r>
      <w:r w:rsidR="00B95660">
        <w:rPr>
          <w:rFonts w:cs="David" w:hint="cs"/>
          <w:sz w:val="28"/>
          <w:szCs w:val="28"/>
          <w:rtl/>
        </w:rPr>
        <w:t xml:space="preserve">סיטואציות </w:t>
      </w:r>
      <w:r>
        <w:rPr>
          <w:rFonts w:cs="David" w:hint="cs"/>
          <w:sz w:val="28"/>
          <w:szCs w:val="28"/>
          <w:rtl/>
        </w:rPr>
        <w:t>שבמהלכ</w:t>
      </w:r>
      <w:r w:rsidR="00B95660">
        <w:rPr>
          <w:rFonts w:cs="David" w:hint="cs"/>
          <w:sz w:val="28"/>
          <w:szCs w:val="28"/>
          <w:rtl/>
        </w:rPr>
        <w:t>ן</w:t>
      </w:r>
      <w:r>
        <w:rPr>
          <w:rFonts w:cs="David" w:hint="cs"/>
          <w:sz w:val="28"/>
          <w:szCs w:val="28"/>
          <w:rtl/>
        </w:rPr>
        <w:t xml:space="preserve"> עשה שימוש בסם מסוכן. </w:t>
      </w:r>
    </w:p>
    <w:p w14:paraId="1497293A" w14:textId="77777777" w:rsidR="009B1FF5" w:rsidRDefault="009B1FF5" w:rsidP="00B95660">
      <w:pPr>
        <w:numPr>
          <w:ilvl w:val="0"/>
          <w:numId w:val="4"/>
        </w:numPr>
        <w:tabs>
          <w:tab w:val="left" w:pos="368"/>
        </w:tabs>
        <w:spacing w:line="360" w:lineRule="auto"/>
        <w:ind w:left="-58" w:firstLine="0"/>
        <w:jc w:val="both"/>
        <w:rPr>
          <w:rFonts w:cs="David"/>
          <w:sz w:val="28"/>
          <w:szCs w:val="28"/>
        </w:rPr>
      </w:pPr>
      <w:r>
        <w:rPr>
          <w:rFonts w:cs="David" w:hint="cs"/>
          <w:sz w:val="28"/>
          <w:szCs w:val="28"/>
          <w:rtl/>
        </w:rPr>
        <w:t xml:space="preserve">לדידה של התביעה, בהתאם לממצאי המהימנות שנקבעו בבית הדין קמא ועל פי הקביעות העובדתיות שבהכרעת הדין </w:t>
      </w:r>
      <w:r>
        <w:rPr>
          <w:rFonts w:cs="David"/>
          <w:sz w:val="28"/>
          <w:szCs w:val="28"/>
          <w:rtl/>
        </w:rPr>
        <w:t>–</w:t>
      </w:r>
      <w:r>
        <w:rPr>
          <w:rFonts w:cs="David" w:hint="cs"/>
          <w:sz w:val="28"/>
          <w:szCs w:val="28"/>
          <w:rtl/>
        </w:rPr>
        <w:t xml:space="preserve"> יש לדחות את טענות ההגנה בכל הנוגע לפגיעה ברצונו החופשי של המערער. נטען, כי ההודיה שמסר </w:t>
      </w:r>
      <w:r w:rsidR="00B95660">
        <w:rPr>
          <w:rFonts w:cs="David" w:hint="cs"/>
          <w:sz w:val="28"/>
          <w:szCs w:val="28"/>
          <w:rtl/>
        </w:rPr>
        <w:t xml:space="preserve">המערער </w:t>
      </w:r>
      <w:r>
        <w:rPr>
          <w:rFonts w:cs="David" w:hint="cs"/>
          <w:sz w:val="28"/>
          <w:szCs w:val="28"/>
          <w:rtl/>
        </w:rPr>
        <w:t>בחקירתו במצ"ח מפורטת והגיוני</w:t>
      </w:r>
      <w:r w:rsidR="00B95660">
        <w:rPr>
          <w:rFonts w:cs="David" w:hint="cs"/>
          <w:sz w:val="28"/>
          <w:szCs w:val="28"/>
          <w:rtl/>
        </w:rPr>
        <w:t>ת</w:t>
      </w:r>
      <w:r>
        <w:rPr>
          <w:rFonts w:cs="David" w:hint="cs"/>
          <w:sz w:val="28"/>
          <w:szCs w:val="28"/>
          <w:rtl/>
        </w:rPr>
        <w:t xml:space="preserve">, וכי די בתיעוד שנמצא במכשיר הטלפון הנייד שלו, על מנת לאמת </w:t>
      </w:r>
      <w:r w:rsidR="0090371E">
        <w:rPr>
          <w:rFonts w:cs="David" w:hint="cs"/>
          <w:sz w:val="28"/>
          <w:szCs w:val="28"/>
          <w:rtl/>
        </w:rPr>
        <w:t xml:space="preserve">את ההודיה </w:t>
      </w:r>
      <w:r>
        <w:rPr>
          <w:rFonts w:cs="David" w:hint="cs"/>
          <w:sz w:val="28"/>
          <w:szCs w:val="28"/>
          <w:rtl/>
        </w:rPr>
        <w:t xml:space="preserve">ולבסס את הרשעתו בעבירה שיוחסה לו. </w:t>
      </w:r>
    </w:p>
    <w:p w14:paraId="061548F3" w14:textId="77777777" w:rsidR="003C65B0" w:rsidRPr="003C65B0" w:rsidRDefault="003C65B0" w:rsidP="00B95660">
      <w:pPr>
        <w:numPr>
          <w:ilvl w:val="0"/>
          <w:numId w:val="4"/>
        </w:numPr>
        <w:tabs>
          <w:tab w:val="left" w:pos="368"/>
        </w:tabs>
        <w:spacing w:line="360" w:lineRule="auto"/>
        <w:ind w:left="-58" w:firstLine="0"/>
        <w:jc w:val="both"/>
        <w:rPr>
          <w:rFonts w:cs="David"/>
          <w:sz w:val="28"/>
          <w:szCs w:val="28"/>
        </w:rPr>
      </w:pPr>
      <w:r w:rsidRPr="003C65B0">
        <w:rPr>
          <w:rFonts w:cs="David" w:hint="cs"/>
          <w:sz w:val="28"/>
          <w:szCs w:val="28"/>
          <w:rtl/>
        </w:rPr>
        <w:t>אשר לטענת ההפליה, התביעה הפנתה ל</w:t>
      </w:r>
      <w:r>
        <w:rPr>
          <w:rFonts w:cs="David" w:hint="cs"/>
          <w:sz w:val="28"/>
          <w:szCs w:val="28"/>
          <w:rtl/>
        </w:rPr>
        <w:t xml:space="preserve">פסק הדין בעניין </w:t>
      </w:r>
      <w:r w:rsidRPr="00C61410">
        <w:rPr>
          <w:rFonts w:cs="David" w:hint="cs"/>
          <w:b/>
          <w:bCs/>
          <w:sz w:val="28"/>
          <w:szCs w:val="28"/>
          <w:rtl/>
        </w:rPr>
        <w:t>רס"ל יעקב</w:t>
      </w:r>
      <w:r>
        <w:rPr>
          <w:rFonts w:cs="David" w:hint="cs"/>
          <w:sz w:val="28"/>
          <w:szCs w:val="28"/>
          <w:rtl/>
        </w:rPr>
        <w:t xml:space="preserve"> (</w:t>
      </w:r>
      <w:r w:rsidRPr="003C65B0">
        <w:rPr>
          <w:rFonts w:cs="David" w:hint="cs"/>
          <w:sz w:val="28"/>
          <w:szCs w:val="28"/>
          <w:rtl/>
        </w:rPr>
        <w:t xml:space="preserve">ע/32/19 </w:t>
      </w:r>
      <w:r w:rsidRPr="003C65B0">
        <w:rPr>
          <w:rFonts w:cs="David" w:hint="cs"/>
          <w:b/>
          <w:bCs/>
          <w:sz w:val="28"/>
          <w:szCs w:val="28"/>
          <w:rtl/>
        </w:rPr>
        <w:t>התובע הצבאי הראשי נ' רס"ל יעקב</w:t>
      </w:r>
      <w:r w:rsidRPr="003C65B0">
        <w:rPr>
          <w:rFonts w:cs="David" w:hint="cs"/>
          <w:sz w:val="28"/>
          <w:szCs w:val="28"/>
          <w:rtl/>
        </w:rPr>
        <w:t xml:space="preserve"> (2020)</w:t>
      </w:r>
      <w:r>
        <w:rPr>
          <w:rFonts w:cs="David" w:hint="cs"/>
          <w:sz w:val="28"/>
          <w:szCs w:val="28"/>
          <w:rtl/>
        </w:rPr>
        <w:t>)</w:t>
      </w:r>
      <w:r w:rsidRPr="003C65B0">
        <w:rPr>
          <w:rFonts w:cs="David" w:hint="cs"/>
          <w:sz w:val="28"/>
          <w:szCs w:val="28"/>
          <w:rtl/>
        </w:rPr>
        <w:t xml:space="preserve">, שלפיו קיימת הבחנה עניינית בין קבוצת </w:t>
      </w:r>
      <w:r w:rsidRPr="003C65B0">
        <w:rPr>
          <w:rFonts w:cs="David" w:hint="cs"/>
          <w:sz w:val="28"/>
          <w:szCs w:val="28"/>
          <w:rtl/>
        </w:rPr>
        <w:lastRenderedPageBreak/>
        <w:t>חיילי החובה לבין קבוצת הקצינים ומשרתי הקבע שאינם קצינים, בכל הנוגע למדיניות האכיפה בעבירות סמים</w:t>
      </w:r>
      <w:r w:rsidR="00B95660">
        <w:rPr>
          <w:rFonts w:cs="David" w:hint="cs"/>
          <w:sz w:val="28"/>
          <w:szCs w:val="28"/>
          <w:rtl/>
        </w:rPr>
        <w:t>.</w:t>
      </w:r>
      <w:r w:rsidRPr="003C65B0">
        <w:rPr>
          <w:rFonts w:cs="David" w:hint="cs"/>
          <w:sz w:val="28"/>
          <w:szCs w:val="28"/>
          <w:rtl/>
        </w:rPr>
        <w:t xml:space="preserve"> </w:t>
      </w:r>
      <w:r w:rsidR="00B95660">
        <w:rPr>
          <w:rFonts w:cs="David" w:hint="cs"/>
          <w:sz w:val="28"/>
          <w:szCs w:val="28"/>
          <w:rtl/>
        </w:rPr>
        <w:t xml:space="preserve">על פי פסק הדין, </w:t>
      </w:r>
      <w:r w:rsidRPr="003C65B0">
        <w:rPr>
          <w:rFonts w:cs="David" w:hint="cs"/>
          <w:sz w:val="28"/>
          <w:szCs w:val="28"/>
          <w:rtl/>
        </w:rPr>
        <w:t>מדיניות התביעה הצבאית ב</w:t>
      </w:r>
      <w:r>
        <w:rPr>
          <w:rFonts w:cs="David" w:hint="cs"/>
          <w:sz w:val="28"/>
          <w:szCs w:val="28"/>
          <w:rtl/>
        </w:rPr>
        <w:t xml:space="preserve">נושא </w:t>
      </w:r>
      <w:r w:rsidRPr="003C65B0">
        <w:rPr>
          <w:rFonts w:cs="David" w:hint="cs"/>
          <w:sz w:val="28"/>
          <w:szCs w:val="28"/>
          <w:rtl/>
        </w:rPr>
        <w:t>זה סבירה ומידתית</w:t>
      </w:r>
      <w:r w:rsidR="00DE100B">
        <w:rPr>
          <w:rFonts w:cs="David" w:hint="cs"/>
          <w:sz w:val="28"/>
          <w:szCs w:val="28"/>
          <w:rtl/>
        </w:rPr>
        <w:t xml:space="preserve">, תוך שנקבע שם כי </w:t>
      </w:r>
      <w:r w:rsidRPr="003C65B0">
        <w:rPr>
          <w:rFonts w:cs="David" w:hint="cs"/>
          <w:sz w:val="28"/>
          <w:szCs w:val="28"/>
          <w:rtl/>
        </w:rPr>
        <w:t xml:space="preserve">ככלל, אין להתערב בשיקול הדעת של התביעה בבחירת סעיף האישום </w:t>
      </w:r>
      <w:r w:rsidR="00DE100B">
        <w:rPr>
          <w:rFonts w:cs="David" w:hint="cs"/>
          <w:sz w:val="28"/>
          <w:szCs w:val="28"/>
          <w:rtl/>
        </w:rPr>
        <w:t>המיוחס לנאשמים</w:t>
      </w:r>
      <w:r>
        <w:rPr>
          <w:rFonts w:cs="David" w:hint="cs"/>
          <w:sz w:val="28"/>
          <w:szCs w:val="28"/>
          <w:rtl/>
        </w:rPr>
        <w:t xml:space="preserve">. </w:t>
      </w:r>
    </w:p>
    <w:p w14:paraId="799C5290" w14:textId="77777777" w:rsidR="00E5228F" w:rsidRPr="000B2952" w:rsidRDefault="00E5228F" w:rsidP="00E5228F">
      <w:pPr>
        <w:ind w:left="1077" w:right="425"/>
        <w:jc w:val="both"/>
        <w:rPr>
          <w:rFonts w:cs="David"/>
          <w:sz w:val="28"/>
          <w:szCs w:val="28"/>
          <w:rtl/>
        </w:rPr>
      </w:pPr>
    </w:p>
    <w:p w14:paraId="7D1858AB" w14:textId="77777777" w:rsidR="008B4D03" w:rsidRPr="008B4D03" w:rsidRDefault="00E5228F" w:rsidP="008B4D03">
      <w:pPr>
        <w:tabs>
          <w:tab w:val="left" w:pos="368"/>
        </w:tabs>
        <w:spacing w:line="360" w:lineRule="auto"/>
        <w:ind w:left="-58"/>
        <w:jc w:val="both"/>
        <w:rPr>
          <w:rFonts w:cs="David"/>
          <w:b/>
          <w:bCs/>
          <w:sz w:val="28"/>
          <w:szCs w:val="28"/>
          <w:u w:val="single"/>
          <w:rtl/>
        </w:rPr>
      </w:pPr>
      <w:r w:rsidRPr="00ED05DD">
        <w:rPr>
          <w:rFonts w:cs="David" w:hint="cs"/>
          <w:b/>
          <w:bCs/>
          <w:sz w:val="28"/>
          <w:szCs w:val="28"/>
          <w:u w:val="single"/>
          <w:rtl/>
        </w:rPr>
        <w:t>דיון והכרעה</w:t>
      </w:r>
    </w:p>
    <w:p w14:paraId="2A0E89CA" w14:textId="77777777" w:rsidR="00582714" w:rsidRPr="00582714" w:rsidRDefault="00582714" w:rsidP="00B56968">
      <w:pPr>
        <w:tabs>
          <w:tab w:val="left" w:pos="368"/>
        </w:tabs>
        <w:spacing w:line="360" w:lineRule="auto"/>
        <w:ind w:left="-58"/>
        <w:jc w:val="both"/>
        <w:rPr>
          <w:rFonts w:cs="David"/>
          <w:b/>
          <w:bCs/>
          <w:sz w:val="28"/>
          <w:szCs w:val="28"/>
          <w:rtl/>
        </w:rPr>
      </w:pPr>
      <w:r w:rsidRPr="00582714">
        <w:rPr>
          <w:rFonts w:cs="David" w:hint="cs"/>
          <w:b/>
          <w:bCs/>
          <w:sz w:val="28"/>
          <w:szCs w:val="28"/>
          <w:rtl/>
        </w:rPr>
        <w:t>המסגרת העובדתית לבחינת טענות ההגנה</w:t>
      </w:r>
    </w:p>
    <w:p w14:paraId="0AC8D2FE" w14:textId="77777777" w:rsidR="005D042B" w:rsidRPr="00234BE5" w:rsidRDefault="005D042B" w:rsidP="00581A94">
      <w:pPr>
        <w:numPr>
          <w:ilvl w:val="0"/>
          <w:numId w:val="4"/>
        </w:numPr>
        <w:tabs>
          <w:tab w:val="left" w:pos="368"/>
        </w:tabs>
        <w:spacing w:line="360" w:lineRule="auto"/>
        <w:ind w:left="-58" w:firstLine="0"/>
        <w:jc w:val="both"/>
        <w:rPr>
          <w:rFonts w:cs="David"/>
          <w:sz w:val="28"/>
          <w:szCs w:val="28"/>
        </w:rPr>
      </w:pPr>
      <w:r w:rsidRPr="00234BE5">
        <w:rPr>
          <w:rFonts w:cs="David" w:hint="cs"/>
          <w:sz w:val="28"/>
          <w:szCs w:val="28"/>
          <w:rtl/>
        </w:rPr>
        <w:t xml:space="preserve">הלכה ידועה ורבת שנים היא, כי לא בנקל תתערב ערכאת הערעור בממצאי </w:t>
      </w:r>
      <w:r w:rsidR="00581A94">
        <w:rPr>
          <w:rFonts w:cs="David" w:hint="cs"/>
          <w:sz w:val="28"/>
          <w:szCs w:val="28"/>
          <w:rtl/>
        </w:rPr>
        <w:t xml:space="preserve">מהימנות וקביעות </w:t>
      </w:r>
      <w:r w:rsidRPr="00234BE5">
        <w:rPr>
          <w:rFonts w:cs="David" w:hint="cs"/>
          <w:sz w:val="28"/>
          <w:szCs w:val="28"/>
          <w:rtl/>
        </w:rPr>
        <w:t>עובד</w:t>
      </w:r>
      <w:r w:rsidR="00581A94">
        <w:rPr>
          <w:rFonts w:cs="David" w:hint="cs"/>
          <w:sz w:val="28"/>
          <w:szCs w:val="28"/>
          <w:rtl/>
        </w:rPr>
        <w:t xml:space="preserve">תיות </w:t>
      </w:r>
      <w:r w:rsidRPr="00234BE5">
        <w:rPr>
          <w:rFonts w:cs="David" w:hint="cs"/>
          <w:sz w:val="28"/>
          <w:szCs w:val="28"/>
          <w:rtl/>
        </w:rPr>
        <w:t xml:space="preserve">שקבעה הערכאה הדיונית, שבפניה נשמעו העדים. </w:t>
      </w:r>
      <w:r>
        <w:rPr>
          <w:rFonts w:cs="David" w:hint="cs"/>
          <w:sz w:val="28"/>
          <w:szCs w:val="28"/>
          <w:rtl/>
        </w:rPr>
        <w:t xml:space="preserve">הוטעם, </w:t>
      </w:r>
      <w:r w:rsidRPr="00234BE5">
        <w:rPr>
          <w:rFonts w:cs="David" w:hint="cs"/>
          <w:sz w:val="28"/>
          <w:szCs w:val="28"/>
          <w:rtl/>
        </w:rPr>
        <w:t>כי:</w:t>
      </w:r>
    </w:p>
    <w:p w14:paraId="55530E1F" w14:textId="77777777" w:rsidR="00582714" w:rsidRPr="00582714" w:rsidRDefault="005D042B" w:rsidP="005D042B">
      <w:pPr>
        <w:tabs>
          <w:tab w:val="left" w:pos="226"/>
        </w:tabs>
        <w:ind w:left="1418" w:right="1418"/>
        <w:jc w:val="both"/>
        <w:rPr>
          <w:rFonts w:cs="David"/>
          <w:sz w:val="28"/>
          <w:szCs w:val="28"/>
          <w:rtl/>
        </w:rPr>
      </w:pPr>
      <w:r w:rsidRPr="00C27D14">
        <w:rPr>
          <w:rFonts w:cs="David" w:hint="cs"/>
          <w:sz w:val="28"/>
          <w:szCs w:val="28"/>
          <w:rtl/>
        </w:rPr>
        <w:t xml:space="preserve">"נקודת המוצא לדיון שלפנינו מצויה בכלל, שלפיו אין זו דרכה של ערכאת הערעור להתערב בממצאי מהימנות ובממצאים עובדתיים שקבעה הערכאה קמא. בבסיסו של כלל זה יתרונה הדיוני הבולט של הערכאה הדיונית, השומעת את העדים ומתרשמת מדבריהם, משפת גופם ומאותות האמת" (ע/22/13 </w:t>
      </w:r>
      <w:r>
        <w:rPr>
          <w:rFonts w:cs="David" w:hint="cs"/>
          <w:b/>
          <w:bCs/>
          <w:sz w:val="28"/>
          <w:szCs w:val="28"/>
          <w:rtl/>
        </w:rPr>
        <w:t xml:space="preserve">טור' </w:t>
      </w:r>
      <w:r w:rsidRPr="00DC4094">
        <w:rPr>
          <w:rFonts w:cs="David" w:hint="cs"/>
          <w:b/>
          <w:bCs/>
          <w:sz w:val="28"/>
          <w:szCs w:val="28"/>
          <w:rtl/>
        </w:rPr>
        <w:t>סולמאני נ' התובע הצבאי הראשי</w:t>
      </w:r>
      <w:r w:rsidRPr="00C27D14">
        <w:rPr>
          <w:rFonts w:cs="David" w:hint="cs"/>
          <w:sz w:val="28"/>
          <w:szCs w:val="28"/>
          <w:rtl/>
        </w:rPr>
        <w:t xml:space="preserve"> (2013)</w:t>
      </w:r>
      <w:r>
        <w:rPr>
          <w:rFonts w:cs="David" w:hint="cs"/>
          <w:sz w:val="28"/>
          <w:szCs w:val="28"/>
          <w:rtl/>
        </w:rPr>
        <w:t xml:space="preserve">; ראו גם: ע"פ 193/14 </w:t>
      </w:r>
      <w:r w:rsidRPr="00E37C7D">
        <w:rPr>
          <w:rFonts w:cs="David" w:hint="cs"/>
          <w:b/>
          <w:bCs/>
          <w:sz w:val="28"/>
          <w:szCs w:val="28"/>
          <w:rtl/>
        </w:rPr>
        <w:t>נסראללה נ' מדינת ישראל</w:t>
      </w:r>
      <w:r>
        <w:rPr>
          <w:rFonts w:cs="David" w:hint="cs"/>
          <w:sz w:val="28"/>
          <w:szCs w:val="28"/>
          <w:rtl/>
        </w:rPr>
        <w:t xml:space="preserve"> (26.10.2014); </w:t>
      </w:r>
      <w:r w:rsidRPr="00A14CE7">
        <w:rPr>
          <w:rFonts w:cs="David" w:hint="cs"/>
          <w:sz w:val="28"/>
          <w:szCs w:val="28"/>
          <w:rtl/>
        </w:rPr>
        <w:t xml:space="preserve">ע/132/07 </w:t>
      </w:r>
      <w:r w:rsidRPr="00A14CE7">
        <w:rPr>
          <w:rFonts w:cs="David" w:hint="cs"/>
          <w:b/>
          <w:bCs/>
          <w:sz w:val="28"/>
          <w:szCs w:val="28"/>
          <w:rtl/>
        </w:rPr>
        <w:t xml:space="preserve">טור' מועלם נ' </w:t>
      </w:r>
      <w:r w:rsidRPr="00A14CE7">
        <w:rPr>
          <w:rFonts w:cs="David" w:hint="eastAsia"/>
          <w:b/>
          <w:bCs/>
          <w:sz w:val="28"/>
          <w:szCs w:val="28"/>
          <w:rtl/>
        </w:rPr>
        <w:t>התובע הצבאי הראשי</w:t>
      </w:r>
      <w:r w:rsidRPr="00A14CE7">
        <w:rPr>
          <w:rFonts w:cs="David" w:hint="cs"/>
          <w:sz w:val="28"/>
          <w:szCs w:val="28"/>
          <w:rtl/>
        </w:rPr>
        <w:t>, פס' 11 (2008)</w:t>
      </w:r>
      <w:r>
        <w:rPr>
          <w:rFonts w:cs="David" w:hint="cs"/>
          <w:sz w:val="28"/>
          <w:szCs w:val="28"/>
          <w:rtl/>
        </w:rPr>
        <w:t xml:space="preserve">; </w:t>
      </w:r>
      <w:r w:rsidRPr="009F52DE">
        <w:rPr>
          <w:rFonts w:cs="David" w:hint="cs"/>
          <w:sz w:val="28"/>
          <w:szCs w:val="28"/>
          <w:rtl/>
        </w:rPr>
        <w:t xml:space="preserve">ע/45/03 </w:t>
      </w:r>
      <w:r w:rsidRPr="009F52DE">
        <w:rPr>
          <w:rFonts w:cs="David" w:hint="cs"/>
          <w:b/>
          <w:bCs/>
          <w:sz w:val="28"/>
          <w:szCs w:val="28"/>
          <w:rtl/>
        </w:rPr>
        <w:t xml:space="preserve">רס"ב אלקובי נ' </w:t>
      </w:r>
      <w:r w:rsidRPr="009F52DE">
        <w:rPr>
          <w:rFonts w:cs="David" w:hint="eastAsia"/>
          <w:b/>
          <w:bCs/>
          <w:sz w:val="28"/>
          <w:szCs w:val="28"/>
          <w:rtl/>
        </w:rPr>
        <w:t>התובע הצבאי הראשי</w:t>
      </w:r>
      <w:r w:rsidRPr="009F52DE">
        <w:rPr>
          <w:rFonts w:cs="David" w:hint="cs"/>
          <w:sz w:val="28"/>
          <w:szCs w:val="28"/>
          <w:rtl/>
        </w:rPr>
        <w:t>, פס' 7 (2003)</w:t>
      </w:r>
      <w:r w:rsidRPr="00C27D14">
        <w:rPr>
          <w:rFonts w:cs="David" w:hint="cs"/>
          <w:sz w:val="28"/>
          <w:szCs w:val="28"/>
          <w:rtl/>
        </w:rPr>
        <w:t>).</w:t>
      </w:r>
    </w:p>
    <w:p w14:paraId="6E51AFC6" w14:textId="77777777" w:rsidR="005D042B" w:rsidRDefault="005D042B" w:rsidP="00B56968">
      <w:pPr>
        <w:tabs>
          <w:tab w:val="left" w:pos="368"/>
        </w:tabs>
        <w:spacing w:line="360" w:lineRule="auto"/>
        <w:ind w:left="-58"/>
        <w:jc w:val="both"/>
        <w:rPr>
          <w:rFonts w:cs="David"/>
          <w:sz w:val="28"/>
          <w:szCs w:val="28"/>
          <w:rtl/>
        </w:rPr>
      </w:pPr>
    </w:p>
    <w:p w14:paraId="4ED12A14" w14:textId="77777777" w:rsidR="00440723" w:rsidRDefault="005D042B" w:rsidP="00440723">
      <w:pPr>
        <w:numPr>
          <w:ilvl w:val="0"/>
          <w:numId w:val="4"/>
        </w:numPr>
        <w:tabs>
          <w:tab w:val="left" w:pos="368"/>
        </w:tabs>
        <w:spacing w:line="360" w:lineRule="auto"/>
        <w:ind w:left="-58" w:firstLine="0"/>
        <w:jc w:val="both"/>
        <w:rPr>
          <w:rFonts w:cs="David"/>
          <w:sz w:val="28"/>
          <w:szCs w:val="28"/>
        </w:rPr>
      </w:pPr>
      <w:r w:rsidRPr="0084135E">
        <w:rPr>
          <w:rFonts w:cs="David" w:hint="cs"/>
          <w:sz w:val="28"/>
          <w:szCs w:val="28"/>
          <w:rtl/>
        </w:rPr>
        <w:t>בחינת כלל העדויות והראיות שהוצגו</w:t>
      </w:r>
      <w:r w:rsidR="00440723">
        <w:rPr>
          <w:rFonts w:cs="David" w:hint="cs"/>
          <w:sz w:val="28"/>
          <w:szCs w:val="28"/>
          <w:rtl/>
        </w:rPr>
        <w:t xml:space="preserve"> בבית הדין קמא</w:t>
      </w:r>
      <w:r w:rsidR="00547391" w:rsidRPr="0084135E">
        <w:rPr>
          <w:rFonts w:cs="David" w:hint="cs"/>
          <w:sz w:val="28"/>
          <w:szCs w:val="28"/>
          <w:rtl/>
        </w:rPr>
        <w:t xml:space="preserve">, </w:t>
      </w:r>
      <w:r w:rsidR="0084135E">
        <w:rPr>
          <w:rFonts w:cs="David" w:hint="cs"/>
          <w:sz w:val="28"/>
          <w:szCs w:val="28"/>
          <w:rtl/>
        </w:rPr>
        <w:t>בשים לב ל</w:t>
      </w:r>
      <w:r w:rsidR="00547391" w:rsidRPr="0084135E">
        <w:rPr>
          <w:rFonts w:cs="David" w:hint="cs"/>
          <w:sz w:val="28"/>
          <w:szCs w:val="28"/>
          <w:rtl/>
        </w:rPr>
        <w:t>טיעוני הצדדים</w:t>
      </w:r>
      <w:r w:rsidR="0084135E">
        <w:rPr>
          <w:rFonts w:cs="David" w:hint="cs"/>
          <w:sz w:val="28"/>
          <w:szCs w:val="28"/>
          <w:rtl/>
        </w:rPr>
        <w:t>,</w:t>
      </w:r>
      <w:r w:rsidR="00547391" w:rsidRPr="0084135E">
        <w:rPr>
          <w:rFonts w:cs="David" w:hint="cs"/>
          <w:sz w:val="28"/>
          <w:szCs w:val="28"/>
          <w:rtl/>
        </w:rPr>
        <w:t xml:space="preserve"> מלמד</w:t>
      </w:r>
      <w:r w:rsidR="0084135E">
        <w:rPr>
          <w:rFonts w:cs="David" w:hint="cs"/>
          <w:sz w:val="28"/>
          <w:szCs w:val="28"/>
          <w:rtl/>
        </w:rPr>
        <w:t xml:space="preserve">ת </w:t>
      </w:r>
      <w:r w:rsidR="00547391" w:rsidRPr="0084135E">
        <w:rPr>
          <w:rFonts w:cs="David" w:hint="cs"/>
          <w:sz w:val="28"/>
          <w:szCs w:val="28"/>
          <w:rtl/>
        </w:rPr>
        <w:t xml:space="preserve">על כי </w:t>
      </w:r>
      <w:r w:rsidRPr="0084135E">
        <w:rPr>
          <w:rFonts w:cs="David" w:hint="cs"/>
          <w:sz w:val="28"/>
          <w:szCs w:val="28"/>
          <w:rtl/>
        </w:rPr>
        <w:t xml:space="preserve">קביעותיו העובדתיות של בית הדין נומקו כדבעי בממצאי מהימנות שעוגנו בהתרשמותו הישירה מן העדים, בניתוח הדברים שמסרו והתנהגותם, ובהתאם לכללי ההיגיון והשכל הישר. </w:t>
      </w:r>
      <w:r w:rsidR="00EE453A" w:rsidRPr="0084135E">
        <w:rPr>
          <w:rFonts w:cs="David" w:hint="cs"/>
          <w:sz w:val="28"/>
          <w:szCs w:val="28"/>
          <w:rtl/>
        </w:rPr>
        <w:t xml:space="preserve">בית </w:t>
      </w:r>
      <w:r w:rsidR="0084135E" w:rsidRPr="0084135E">
        <w:rPr>
          <w:rFonts w:cs="David" w:hint="cs"/>
          <w:sz w:val="28"/>
          <w:szCs w:val="28"/>
          <w:rtl/>
        </w:rPr>
        <w:t xml:space="preserve">הדין קמא בחן ביסודיות את </w:t>
      </w:r>
      <w:r w:rsidRPr="0084135E">
        <w:rPr>
          <w:rFonts w:cs="David" w:hint="cs"/>
          <w:sz w:val="28"/>
          <w:szCs w:val="28"/>
          <w:rtl/>
        </w:rPr>
        <w:t>סוגיית מהימנות</w:t>
      </w:r>
      <w:r w:rsidR="00440723">
        <w:rPr>
          <w:rFonts w:cs="David" w:hint="cs"/>
          <w:sz w:val="28"/>
          <w:szCs w:val="28"/>
          <w:rtl/>
        </w:rPr>
        <w:t>ם</w:t>
      </w:r>
      <w:r w:rsidRPr="0084135E">
        <w:rPr>
          <w:rFonts w:cs="David" w:hint="cs"/>
          <w:sz w:val="28"/>
          <w:szCs w:val="28"/>
          <w:rtl/>
        </w:rPr>
        <w:t xml:space="preserve"> של העדים ומסקנותיו בנושא נומקו </w:t>
      </w:r>
      <w:r w:rsidR="00440723">
        <w:rPr>
          <w:rFonts w:cs="David" w:hint="cs"/>
          <w:sz w:val="28"/>
          <w:szCs w:val="28"/>
          <w:rtl/>
        </w:rPr>
        <w:t>היטב</w:t>
      </w:r>
      <w:r w:rsidR="00280DAA" w:rsidRPr="0084135E">
        <w:rPr>
          <w:rFonts w:cs="David" w:hint="cs"/>
          <w:sz w:val="28"/>
          <w:szCs w:val="28"/>
          <w:rtl/>
        </w:rPr>
        <w:t>.</w:t>
      </w:r>
      <w:r w:rsidR="0084135E" w:rsidRPr="0084135E">
        <w:rPr>
          <w:rFonts w:cs="David" w:hint="cs"/>
          <w:sz w:val="28"/>
          <w:szCs w:val="28"/>
          <w:rtl/>
        </w:rPr>
        <w:t xml:space="preserve"> </w:t>
      </w:r>
    </w:p>
    <w:p w14:paraId="49481183" w14:textId="77777777" w:rsidR="00280DAA" w:rsidRPr="00440723" w:rsidRDefault="0084135E" w:rsidP="008C6F30">
      <w:pPr>
        <w:numPr>
          <w:ilvl w:val="0"/>
          <w:numId w:val="4"/>
        </w:numPr>
        <w:tabs>
          <w:tab w:val="left" w:pos="368"/>
        </w:tabs>
        <w:spacing w:line="360" w:lineRule="auto"/>
        <w:ind w:left="-58" w:firstLine="0"/>
        <w:jc w:val="both"/>
        <w:rPr>
          <w:rFonts w:cs="David"/>
          <w:sz w:val="28"/>
          <w:szCs w:val="28"/>
        </w:rPr>
      </w:pPr>
      <w:r w:rsidRPr="00440723">
        <w:rPr>
          <w:rFonts w:cs="David" w:hint="cs"/>
          <w:sz w:val="28"/>
          <w:szCs w:val="28"/>
          <w:rtl/>
        </w:rPr>
        <w:t xml:space="preserve">אשר על כן, </w:t>
      </w:r>
      <w:r w:rsidR="001F637A" w:rsidRPr="00440723">
        <w:rPr>
          <w:rFonts w:cs="David" w:hint="cs"/>
          <w:sz w:val="28"/>
          <w:szCs w:val="28"/>
          <w:rtl/>
        </w:rPr>
        <w:t xml:space="preserve">נקודת המוצא </w:t>
      </w:r>
      <w:r w:rsidR="000A318E" w:rsidRPr="00440723">
        <w:rPr>
          <w:rFonts w:cs="David" w:hint="cs"/>
          <w:sz w:val="28"/>
          <w:szCs w:val="28"/>
          <w:rtl/>
        </w:rPr>
        <w:t>ל</w:t>
      </w:r>
      <w:r w:rsidRPr="00440723">
        <w:rPr>
          <w:rFonts w:cs="David" w:hint="cs"/>
          <w:sz w:val="28"/>
          <w:szCs w:val="28"/>
          <w:rtl/>
        </w:rPr>
        <w:t>דיון ב</w:t>
      </w:r>
      <w:r w:rsidR="000A318E" w:rsidRPr="00440723">
        <w:rPr>
          <w:rFonts w:cs="David" w:hint="cs"/>
          <w:sz w:val="28"/>
          <w:szCs w:val="28"/>
          <w:rtl/>
        </w:rPr>
        <w:t>טענות ההגנה בערעור</w:t>
      </w:r>
      <w:r w:rsidR="00440723" w:rsidRPr="00440723">
        <w:rPr>
          <w:rFonts w:cs="David" w:hint="cs"/>
          <w:sz w:val="28"/>
          <w:szCs w:val="28"/>
          <w:rtl/>
        </w:rPr>
        <w:t xml:space="preserve"> שלפנינו</w:t>
      </w:r>
      <w:r w:rsidR="000A318E" w:rsidRPr="00440723">
        <w:rPr>
          <w:rFonts w:cs="David" w:hint="cs"/>
          <w:sz w:val="28"/>
          <w:szCs w:val="28"/>
          <w:rtl/>
        </w:rPr>
        <w:t xml:space="preserve">, היא </w:t>
      </w:r>
      <w:r w:rsidR="001F637A" w:rsidRPr="00440723">
        <w:rPr>
          <w:rFonts w:cs="David" w:hint="cs"/>
          <w:sz w:val="28"/>
          <w:szCs w:val="28"/>
          <w:rtl/>
        </w:rPr>
        <w:t xml:space="preserve">המסגרת העובדתית, כפי שנקבעה בהכרעת הדין של בית הדין קמא. </w:t>
      </w:r>
      <w:r w:rsidRPr="00440723">
        <w:rPr>
          <w:rFonts w:cs="David" w:hint="cs"/>
          <w:sz w:val="28"/>
          <w:szCs w:val="28"/>
          <w:rtl/>
        </w:rPr>
        <w:t xml:space="preserve">להלן, </w:t>
      </w:r>
      <w:r w:rsidR="00440723" w:rsidRPr="00440723">
        <w:rPr>
          <w:rFonts w:cs="David" w:hint="cs"/>
          <w:sz w:val="28"/>
          <w:szCs w:val="28"/>
          <w:rtl/>
        </w:rPr>
        <w:t xml:space="preserve">אפוא, </w:t>
      </w:r>
      <w:r w:rsidR="001F637A" w:rsidRPr="00440723">
        <w:rPr>
          <w:rFonts w:cs="David" w:hint="cs"/>
          <w:sz w:val="28"/>
          <w:szCs w:val="28"/>
          <w:rtl/>
        </w:rPr>
        <w:t>נבחן את טענות ההגנה כסדרן</w:t>
      </w:r>
      <w:r w:rsidRPr="00440723">
        <w:rPr>
          <w:rFonts w:cs="David" w:hint="cs"/>
          <w:sz w:val="28"/>
          <w:szCs w:val="28"/>
          <w:rtl/>
        </w:rPr>
        <w:t>, בראי הממצאים שבעובדה</w:t>
      </w:r>
      <w:r w:rsidR="001F637A" w:rsidRPr="00440723">
        <w:rPr>
          <w:rFonts w:cs="David" w:hint="cs"/>
          <w:sz w:val="28"/>
          <w:szCs w:val="28"/>
          <w:rtl/>
        </w:rPr>
        <w:t>.</w:t>
      </w:r>
    </w:p>
    <w:p w14:paraId="6CD4BD08" w14:textId="77777777" w:rsidR="0043425A" w:rsidRPr="00440723" w:rsidRDefault="0043425A" w:rsidP="0043425A">
      <w:pPr>
        <w:tabs>
          <w:tab w:val="left" w:pos="368"/>
        </w:tabs>
        <w:spacing w:line="360" w:lineRule="auto"/>
        <w:ind w:left="-58"/>
        <w:jc w:val="both"/>
        <w:rPr>
          <w:rFonts w:cs="David"/>
          <w:b/>
          <w:bCs/>
          <w:sz w:val="28"/>
          <w:szCs w:val="28"/>
          <w:rtl/>
        </w:rPr>
      </w:pPr>
    </w:p>
    <w:p w14:paraId="3864D212" w14:textId="77777777" w:rsidR="0043425A" w:rsidRPr="008172A8" w:rsidRDefault="0043425A" w:rsidP="0043425A">
      <w:pPr>
        <w:tabs>
          <w:tab w:val="left" w:pos="368"/>
        </w:tabs>
        <w:spacing w:line="360" w:lineRule="auto"/>
        <w:ind w:left="-58"/>
        <w:jc w:val="both"/>
        <w:rPr>
          <w:rFonts w:cs="David"/>
          <w:b/>
          <w:bCs/>
          <w:sz w:val="28"/>
          <w:szCs w:val="28"/>
        </w:rPr>
      </w:pPr>
      <w:r>
        <w:rPr>
          <w:rFonts w:cs="David" w:hint="cs"/>
          <w:b/>
          <w:bCs/>
          <w:sz w:val="28"/>
          <w:szCs w:val="28"/>
          <w:rtl/>
        </w:rPr>
        <w:t>מהלך ה</w:t>
      </w:r>
      <w:r w:rsidRPr="008172A8">
        <w:rPr>
          <w:rFonts w:cs="David" w:hint="cs"/>
          <w:b/>
          <w:bCs/>
          <w:sz w:val="28"/>
          <w:szCs w:val="28"/>
          <w:rtl/>
        </w:rPr>
        <w:t>חקירה</w:t>
      </w:r>
    </w:p>
    <w:p w14:paraId="0EDBC140" w14:textId="77777777" w:rsidR="0043425A" w:rsidRDefault="0043425A" w:rsidP="00440723">
      <w:pPr>
        <w:numPr>
          <w:ilvl w:val="0"/>
          <w:numId w:val="4"/>
        </w:numPr>
        <w:tabs>
          <w:tab w:val="left" w:pos="368"/>
        </w:tabs>
        <w:spacing w:line="360" w:lineRule="auto"/>
        <w:ind w:left="-58" w:firstLine="0"/>
        <w:jc w:val="both"/>
        <w:rPr>
          <w:rFonts w:cs="David"/>
          <w:sz w:val="28"/>
          <w:szCs w:val="28"/>
        </w:rPr>
      </w:pPr>
      <w:r>
        <w:rPr>
          <w:rFonts w:cs="David" w:hint="cs"/>
          <w:sz w:val="28"/>
          <w:szCs w:val="28"/>
          <w:rtl/>
        </w:rPr>
        <w:t>כאמור, נטען על ידי ההגנה, כי המערער הסכים לעיון ידני במכשיר הטלפון הנייד, אך ורק משום שהניח כי החיפוש י</w:t>
      </w:r>
      <w:r w:rsidR="000B2952">
        <w:rPr>
          <w:rFonts w:cs="David" w:hint="cs"/>
          <w:sz w:val="28"/>
          <w:szCs w:val="28"/>
          <w:rtl/>
        </w:rPr>
        <w:t>י</w:t>
      </w:r>
      <w:r>
        <w:rPr>
          <w:rFonts w:cs="David" w:hint="cs"/>
          <w:sz w:val="28"/>
          <w:szCs w:val="28"/>
          <w:rtl/>
        </w:rPr>
        <w:t>ערך בין כה וכה, נוכח הצו השיפוטי שהוצג לו</w:t>
      </w:r>
      <w:r w:rsidR="000B2952">
        <w:rPr>
          <w:rFonts w:cs="David" w:hint="cs"/>
          <w:sz w:val="28"/>
          <w:szCs w:val="28"/>
          <w:rtl/>
        </w:rPr>
        <w:t>,</w:t>
      </w:r>
      <w:r>
        <w:rPr>
          <w:rFonts w:cs="David" w:hint="cs"/>
          <w:sz w:val="28"/>
          <w:szCs w:val="28"/>
          <w:rtl/>
        </w:rPr>
        <w:t xml:space="preserve"> וכי בכך, נשלל רצונו החופשי והסכמתו לעיון ידני במכשיר, לאו הסכמה היא. בעניין זה יש לומר, התקשינו לרדת לסוף דעתה של ההגנה. שהרי </w:t>
      </w:r>
      <w:r w:rsidR="000B2952">
        <w:rPr>
          <w:rFonts w:cs="David" w:hint="cs"/>
          <w:sz w:val="28"/>
          <w:szCs w:val="28"/>
          <w:rtl/>
        </w:rPr>
        <w:t xml:space="preserve">ממה </w:t>
      </w:r>
      <w:r>
        <w:rPr>
          <w:rFonts w:cs="David" w:hint="cs"/>
          <w:sz w:val="28"/>
          <w:szCs w:val="28"/>
          <w:rtl/>
        </w:rPr>
        <w:t xml:space="preserve">נפשך, לו היה המערער מתמיד בסירובו לאפשר חיפוש במכשיר הטלפון הנייד שלו (כפי שנהג בתחילת </w:t>
      </w:r>
      <w:r>
        <w:rPr>
          <w:rFonts w:cs="David" w:hint="cs"/>
          <w:sz w:val="28"/>
          <w:szCs w:val="28"/>
          <w:rtl/>
        </w:rPr>
        <w:lastRenderedPageBreak/>
        <w:t xml:space="preserve">החקירה), ממילא ניתן היה לערוך את החיפוש על פי הצו השיפוטי, שהוצא בעניינו ולעיין בתוצריו. אדרבא, בעובדה, כי החיפוש בתכתובות המצויות במכשיר הטלפון הפרטי של המערער נעשה על דעתו ובנוכחותו, יש כדי </w:t>
      </w:r>
      <w:r w:rsidRPr="0043425A">
        <w:rPr>
          <w:rFonts w:cs="David" w:hint="cs"/>
          <w:b/>
          <w:bCs/>
          <w:sz w:val="28"/>
          <w:szCs w:val="28"/>
          <w:rtl/>
        </w:rPr>
        <w:t xml:space="preserve">למתן </w:t>
      </w:r>
      <w:r>
        <w:rPr>
          <w:rFonts w:cs="David" w:hint="cs"/>
          <w:sz w:val="28"/>
          <w:szCs w:val="28"/>
          <w:rtl/>
        </w:rPr>
        <w:t xml:space="preserve">את הפגיעה בפרטיותו </w:t>
      </w:r>
      <w:r w:rsidR="00440723">
        <w:rPr>
          <w:rFonts w:cs="David" w:hint="cs"/>
          <w:sz w:val="28"/>
          <w:szCs w:val="28"/>
          <w:rtl/>
        </w:rPr>
        <w:t>ו</w:t>
      </w:r>
      <w:r>
        <w:rPr>
          <w:rFonts w:cs="David" w:hint="cs"/>
          <w:sz w:val="28"/>
          <w:szCs w:val="28"/>
          <w:rtl/>
        </w:rPr>
        <w:t>בכבודו</w:t>
      </w:r>
      <w:r w:rsidR="00440723">
        <w:rPr>
          <w:rFonts w:cs="David" w:hint="cs"/>
          <w:sz w:val="28"/>
          <w:szCs w:val="28"/>
          <w:rtl/>
        </w:rPr>
        <w:t xml:space="preserve"> (על הפגיעה בכבוד האדם ובפרטיות הכרוכה בחיפוש בטלפון נייד ראו: ע/24/15 </w:t>
      </w:r>
      <w:r w:rsidR="00440723" w:rsidRPr="00440723">
        <w:rPr>
          <w:rFonts w:cs="David" w:hint="cs"/>
          <w:b/>
          <w:bCs/>
          <w:sz w:val="28"/>
          <w:szCs w:val="28"/>
          <w:rtl/>
        </w:rPr>
        <w:t>רב"ט סיגאוי נ' התובע הצבאי הראשי</w:t>
      </w:r>
      <w:r w:rsidR="00440723">
        <w:rPr>
          <w:rFonts w:cs="David" w:hint="cs"/>
          <w:sz w:val="28"/>
          <w:szCs w:val="28"/>
          <w:rtl/>
        </w:rPr>
        <w:t xml:space="preserve">, פסקה 23 (2016)). </w:t>
      </w:r>
      <w:r>
        <w:rPr>
          <w:rFonts w:cs="David" w:hint="cs"/>
          <w:sz w:val="28"/>
          <w:szCs w:val="28"/>
          <w:rtl/>
        </w:rPr>
        <w:t xml:space="preserve"> </w:t>
      </w:r>
    </w:p>
    <w:p w14:paraId="1F917D62" w14:textId="77777777" w:rsidR="0043425A" w:rsidRDefault="0043425A" w:rsidP="006755A5">
      <w:pPr>
        <w:numPr>
          <w:ilvl w:val="0"/>
          <w:numId w:val="4"/>
        </w:numPr>
        <w:tabs>
          <w:tab w:val="left" w:pos="368"/>
        </w:tabs>
        <w:spacing w:line="360" w:lineRule="auto"/>
        <w:ind w:left="-58" w:firstLine="0"/>
        <w:jc w:val="both"/>
        <w:rPr>
          <w:rFonts w:cs="David"/>
          <w:sz w:val="28"/>
          <w:szCs w:val="28"/>
        </w:rPr>
      </w:pPr>
      <w:r>
        <w:rPr>
          <w:rFonts w:cs="David" w:hint="cs"/>
          <w:sz w:val="28"/>
          <w:szCs w:val="28"/>
          <w:rtl/>
        </w:rPr>
        <w:t>ברוח זו, יש לדחות את טענות ההגנה כי לפנינו תחבולה פסולה או אמצעי חקירה נפסד. הצגת הצו השיפוטי נעשתה על פי נהלי המשטרה הצבאית המקובלים</w:t>
      </w:r>
      <w:r w:rsidR="003238C4">
        <w:rPr>
          <w:rFonts w:cs="David" w:hint="cs"/>
          <w:sz w:val="28"/>
          <w:szCs w:val="28"/>
          <w:rtl/>
        </w:rPr>
        <w:t xml:space="preserve">. ודוקו, </w:t>
      </w:r>
      <w:r>
        <w:rPr>
          <w:rFonts w:cs="David" w:hint="cs"/>
          <w:sz w:val="28"/>
          <w:szCs w:val="28"/>
          <w:rtl/>
        </w:rPr>
        <w:t>הוראת קמצ"ר 5008</w:t>
      </w:r>
      <w:r w:rsidR="003238C4">
        <w:rPr>
          <w:rFonts w:cs="David" w:hint="cs"/>
          <w:sz w:val="28"/>
          <w:szCs w:val="28"/>
          <w:rtl/>
        </w:rPr>
        <w:t xml:space="preserve"> אוסרת, בסעיף 14, על חיפוש ידני, גם אם בהסכמת הנחקר, לאחר שבקשה להוצאת צו חיפוש </w:t>
      </w:r>
      <w:r w:rsidR="003238C4" w:rsidRPr="00305FB7">
        <w:rPr>
          <w:rFonts w:cs="David" w:hint="eastAsia"/>
          <w:b/>
          <w:bCs/>
          <w:sz w:val="28"/>
          <w:szCs w:val="28"/>
          <w:rtl/>
        </w:rPr>
        <w:t>נדחתה</w:t>
      </w:r>
      <w:r w:rsidR="003238C4">
        <w:rPr>
          <w:rFonts w:cs="David" w:hint="cs"/>
          <w:sz w:val="28"/>
          <w:szCs w:val="28"/>
          <w:rtl/>
        </w:rPr>
        <w:t xml:space="preserve"> על ידי בית המשפט. ממילא, אין איסור כזה לאחר שבקשה להוצאת צו </w:t>
      </w:r>
      <w:r w:rsidR="003238C4">
        <w:rPr>
          <w:rFonts w:cs="David" w:hint="cs"/>
          <w:b/>
          <w:bCs/>
          <w:sz w:val="28"/>
          <w:szCs w:val="28"/>
          <w:rtl/>
        </w:rPr>
        <w:t>נתקבלה</w:t>
      </w:r>
      <w:r w:rsidR="003238C4">
        <w:rPr>
          <w:rFonts w:cs="David" w:hint="cs"/>
          <w:sz w:val="28"/>
          <w:szCs w:val="28"/>
          <w:rtl/>
        </w:rPr>
        <w:t>. בכך אין</w:t>
      </w:r>
      <w:r>
        <w:rPr>
          <w:rFonts w:cs="David" w:hint="cs"/>
          <w:sz w:val="28"/>
          <w:szCs w:val="28"/>
          <w:rtl/>
        </w:rPr>
        <w:t xml:space="preserve"> אלא, כדי לשקף את המצב המשפטי לאשורו. </w:t>
      </w:r>
      <w:r w:rsidR="00440723">
        <w:rPr>
          <w:rFonts w:cs="David" w:hint="cs"/>
          <w:sz w:val="28"/>
          <w:szCs w:val="28"/>
          <w:rtl/>
        </w:rPr>
        <w:t xml:space="preserve">יש לקבוע, אפוא, כי </w:t>
      </w:r>
      <w:r>
        <w:rPr>
          <w:rFonts w:cs="David" w:hint="cs"/>
          <w:sz w:val="28"/>
          <w:szCs w:val="28"/>
          <w:rtl/>
        </w:rPr>
        <w:t xml:space="preserve">בדברי החוקרות למערער לא נכלל כל מצג שווא (ראו והשוו: ע/57/15 </w:t>
      </w:r>
      <w:r w:rsidRPr="00EE5806">
        <w:rPr>
          <w:rFonts w:cs="David" w:hint="cs"/>
          <w:b/>
          <w:bCs/>
          <w:sz w:val="28"/>
          <w:szCs w:val="28"/>
          <w:rtl/>
        </w:rPr>
        <w:t xml:space="preserve">טור' לייזרוביץ נ' התובע הצבאי הראשי </w:t>
      </w:r>
      <w:r>
        <w:rPr>
          <w:rFonts w:cs="David" w:hint="cs"/>
          <w:sz w:val="28"/>
          <w:szCs w:val="28"/>
          <w:rtl/>
        </w:rPr>
        <w:t xml:space="preserve">(2015); </w:t>
      </w:r>
      <w:r w:rsidR="006755A5" w:rsidRPr="006755A5">
        <w:rPr>
          <w:rFonts w:cs="David" w:hint="cs"/>
          <w:sz w:val="28"/>
          <w:szCs w:val="28"/>
          <w:rtl/>
        </w:rPr>
        <w:t xml:space="preserve">ע/78/14 </w:t>
      </w:r>
      <w:r w:rsidR="006755A5" w:rsidRPr="006755A5">
        <w:rPr>
          <w:rFonts w:cs="David" w:hint="cs"/>
          <w:b/>
          <w:bCs/>
          <w:sz w:val="28"/>
          <w:szCs w:val="28"/>
          <w:rtl/>
        </w:rPr>
        <w:t>טור' פלח נ' התובע הצבאי הראשי</w:t>
      </w:r>
      <w:r w:rsidR="006755A5">
        <w:rPr>
          <w:rFonts w:cs="David" w:hint="cs"/>
          <w:sz w:val="28"/>
          <w:szCs w:val="28"/>
          <w:rtl/>
        </w:rPr>
        <w:t>, פסקה 27</w:t>
      </w:r>
      <w:r w:rsidR="006755A5" w:rsidRPr="006755A5">
        <w:rPr>
          <w:rFonts w:cs="David" w:hint="cs"/>
          <w:sz w:val="28"/>
          <w:szCs w:val="28"/>
          <w:rtl/>
        </w:rPr>
        <w:t xml:space="preserve"> (2015)</w:t>
      </w:r>
      <w:r>
        <w:rPr>
          <w:rFonts w:cs="David" w:hint="cs"/>
          <w:sz w:val="28"/>
          <w:szCs w:val="28"/>
          <w:rtl/>
        </w:rPr>
        <w:t xml:space="preserve">). </w:t>
      </w:r>
    </w:p>
    <w:p w14:paraId="2B83D6DE" w14:textId="77777777" w:rsidR="0043425A" w:rsidRPr="00C44B16" w:rsidRDefault="0043425A" w:rsidP="0043425A">
      <w:pPr>
        <w:numPr>
          <w:ilvl w:val="0"/>
          <w:numId w:val="4"/>
        </w:numPr>
        <w:tabs>
          <w:tab w:val="left" w:pos="368"/>
        </w:tabs>
        <w:spacing w:line="360" w:lineRule="auto"/>
        <w:ind w:left="-58" w:firstLine="0"/>
        <w:jc w:val="both"/>
        <w:rPr>
          <w:rFonts w:cs="David"/>
          <w:sz w:val="28"/>
          <w:szCs w:val="28"/>
          <w:u w:val="single"/>
          <w:rtl/>
        </w:rPr>
      </w:pPr>
      <w:r w:rsidRPr="00C44B16">
        <w:rPr>
          <w:rFonts w:cs="David" w:hint="cs"/>
          <w:sz w:val="28"/>
          <w:szCs w:val="28"/>
          <w:rtl/>
        </w:rPr>
        <w:t xml:space="preserve">מכל מקום, נחה דעתנו כי </w:t>
      </w:r>
      <w:r w:rsidRPr="00C44B16">
        <w:rPr>
          <w:rFonts w:cs="David" w:hint="cs"/>
          <w:b/>
          <w:bCs/>
          <w:sz w:val="28"/>
          <w:szCs w:val="28"/>
          <w:rtl/>
        </w:rPr>
        <w:t>קביעותיו העובדתיות</w:t>
      </w:r>
      <w:r w:rsidRPr="00C44B16">
        <w:rPr>
          <w:rFonts w:cs="David" w:hint="cs"/>
          <w:sz w:val="28"/>
          <w:szCs w:val="28"/>
          <w:rtl/>
        </w:rPr>
        <w:t xml:space="preserve"> של בית הדין קמא הנכבד, שלפיהן, המערער הבין כי אינו חייב להסכים לעריכת החיפוש, כי זכותו לסרב, או להפסיק את החיפוש בכל עת עד להשלמתו, וכי סירובו בעניין לא ישמש לחובתו - נסמכו על ממצאי מהימנות שנומקו כנדרש, בוססו כדבעי</w:t>
      </w:r>
      <w:r>
        <w:rPr>
          <w:rFonts w:cs="David" w:hint="cs"/>
          <w:sz w:val="28"/>
          <w:szCs w:val="28"/>
          <w:rtl/>
        </w:rPr>
        <w:t xml:space="preserve"> ואין להתערב בהן</w:t>
      </w:r>
      <w:r w:rsidRPr="00C44B16">
        <w:rPr>
          <w:rFonts w:cs="David" w:hint="cs"/>
          <w:sz w:val="28"/>
          <w:szCs w:val="28"/>
          <w:rtl/>
        </w:rPr>
        <w:t xml:space="preserve">. בדומה, מצאנו כי קביעתו </w:t>
      </w:r>
      <w:r w:rsidRPr="00C44B16">
        <w:rPr>
          <w:rFonts w:cs="David" w:hint="cs"/>
          <w:b/>
          <w:bCs/>
          <w:sz w:val="28"/>
          <w:szCs w:val="28"/>
          <w:rtl/>
        </w:rPr>
        <w:t>העובדתית</w:t>
      </w:r>
      <w:r w:rsidRPr="00C44B16">
        <w:rPr>
          <w:rFonts w:cs="David" w:hint="cs"/>
          <w:sz w:val="28"/>
          <w:szCs w:val="28"/>
          <w:rtl/>
        </w:rPr>
        <w:t xml:space="preserve"> של בית הדין, שלפיה בהצגת הצו השיפוטי למערער לא היה כדי לפגוע ביכולת הבחירה שלו אם להודות באשמה שיוחסה לו </w:t>
      </w:r>
      <w:r w:rsidRPr="00C44B16">
        <w:rPr>
          <w:rFonts w:cs="David"/>
          <w:sz w:val="28"/>
          <w:szCs w:val="28"/>
          <w:rtl/>
        </w:rPr>
        <w:t>–</w:t>
      </w:r>
      <w:r w:rsidRPr="00C44B16">
        <w:rPr>
          <w:rFonts w:cs="David" w:hint="cs"/>
          <w:sz w:val="28"/>
          <w:szCs w:val="28"/>
          <w:rtl/>
        </w:rPr>
        <w:t xml:space="preserve"> </w:t>
      </w:r>
      <w:r w:rsidR="000B2952">
        <w:rPr>
          <w:rFonts w:cs="David" w:hint="cs"/>
          <w:sz w:val="28"/>
          <w:szCs w:val="28"/>
          <w:rtl/>
        </w:rPr>
        <w:t>בדין יסודה,</w:t>
      </w:r>
      <w:r w:rsidRPr="00C44B16">
        <w:rPr>
          <w:rFonts w:cs="David" w:hint="cs"/>
          <w:sz w:val="28"/>
          <w:szCs w:val="28"/>
          <w:rtl/>
        </w:rPr>
        <w:t xml:space="preserve"> ואין להתערב בה. </w:t>
      </w:r>
    </w:p>
    <w:p w14:paraId="7BD6DA50" w14:textId="77777777" w:rsidR="0043425A" w:rsidRDefault="0043425A" w:rsidP="00D95B9D">
      <w:pPr>
        <w:numPr>
          <w:ilvl w:val="0"/>
          <w:numId w:val="4"/>
        </w:numPr>
        <w:tabs>
          <w:tab w:val="left" w:pos="368"/>
        </w:tabs>
        <w:spacing w:line="360" w:lineRule="auto"/>
        <w:ind w:left="-58" w:firstLine="0"/>
        <w:jc w:val="both"/>
        <w:rPr>
          <w:rFonts w:cs="David"/>
          <w:sz w:val="28"/>
          <w:szCs w:val="28"/>
        </w:rPr>
      </w:pPr>
      <w:r>
        <w:rPr>
          <w:rFonts w:cs="David" w:hint="cs"/>
          <w:sz w:val="28"/>
          <w:szCs w:val="28"/>
          <w:rtl/>
        </w:rPr>
        <w:t>טענה נוספת של ההגנה בהקשר זה עסקה ב</w:t>
      </w:r>
      <w:r w:rsidR="00696D49">
        <w:rPr>
          <w:rFonts w:cs="David" w:hint="cs"/>
          <w:sz w:val="28"/>
          <w:szCs w:val="28"/>
          <w:rtl/>
        </w:rPr>
        <w:t xml:space="preserve">פניית החוקרת אל המערער בשאלה מהם </w:t>
      </w:r>
      <w:r>
        <w:rPr>
          <w:rFonts w:cs="David" w:hint="cs"/>
          <w:sz w:val="28"/>
          <w:szCs w:val="28"/>
          <w:rtl/>
        </w:rPr>
        <w:t>פרטי הקוד הסודי לפתיחת מכשיר הטלפון הנייד שלו. נטען, כי בקשה לפרטי הקוד הסודי ראוי שתו</w:t>
      </w:r>
      <w:r w:rsidR="00D95B9D">
        <w:rPr>
          <w:rFonts w:cs="David" w:hint="cs"/>
          <w:sz w:val="28"/>
          <w:szCs w:val="28"/>
          <w:rtl/>
        </w:rPr>
        <w:t>צג</w:t>
      </w:r>
      <w:r>
        <w:rPr>
          <w:rFonts w:cs="David" w:hint="cs"/>
          <w:sz w:val="28"/>
          <w:szCs w:val="28"/>
          <w:rtl/>
        </w:rPr>
        <w:t xml:space="preserve"> לנחקר במסגרת השאלה האם הוא מסכים לחיפוש במכשיר הטלפון הנייד שלו, וכי הפרדתה של בקשה זו משאלת ההסכמה והצגתה בשלב </w:t>
      </w:r>
      <w:r w:rsidRPr="00D95B9D">
        <w:rPr>
          <w:rFonts w:cs="David" w:hint="cs"/>
          <w:b/>
          <w:bCs/>
          <w:sz w:val="28"/>
          <w:szCs w:val="28"/>
          <w:rtl/>
        </w:rPr>
        <w:t>מוקדם</w:t>
      </w:r>
      <w:r>
        <w:rPr>
          <w:rFonts w:cs="David" w:hint="cs"/>
          <w:sz w:val="28"/>
          <w:szCs w:val="28"/>
          <w:rtl/>
        </w:rPr>
        <w:t xml:space="preserve"> יותר של החקירה </w:t>
      </w:r>
      <w:r>
        <w:rPr>
          <w:rFonts w:cs="David"/>
          <w:sz w:val="28"/>
          <w:szCs w:val="28"/>
          <w:rtl/>
        </w:rPr>
        <w:t>–</w:t>
      </w:r>
      <w:r>
        <w:rPr>
          <w:rFonts w:cs="David" w:hint="cs"/>
          <w:sz w:val="28"/>
          <w:szCs w:val="28"/>
          <w:rtl/>
        </w:rPr>
        <w:t xml:space="preserve"> מסכלת את יכולתו להימנע מלמסור את פרטי הקוד, </w:t>
      </w:r>
      <w:r w:rsidR="00D95B9D" w:rsidRPr="00D95B9D">
        <w:rPr>
          <w:rFonts w:cs="David" w:hint="cs"/>
          <w:b/>
          <w:bCs/>
          <w:sz w:val="28"/>
          <w:szCs w:val="28"/>
          <w:rtl/>
        </w:rPr>
        <w:t>לאחר</w:t>
      </w:r>
      <w:r w:rsidR="00D95B9D">
        <w:rPr>
          <w:rFonts w:cs="David" w:hint="cs"/>
          <w:sz w:val="28"/>
          <w:szCs w:val="28"/>
          <w:rtl/>
        </w:rPr>
        <w:t xml:space="preserve"> </w:t>
      </w:r>
      <w:r>
        <w:rPr>
          <w:rFonts w:cs="David" w:hint="cs"/>
          <w:sz w:val="28"/>
          <w:szCs w:val="28"/>
          <w:rtl/>
        </w:rPr>
        <w:t xml:space="preserve">שמוצג לו צו שיפוטי המאפשר חיפוש במכשיר הטלפון הנייד. </w:t>
      </w:r>
    </w:p>
    <w:p w14:paraId="7C821CD4" w14:textId="77777777" w:rsidR="0043425A" w:rsidRPr="008172A8" w:rsidRDefault="00290008" w:rsidP="00305FB7">
      <w:pPr>
        <w:numPr>
          <w:ilvl w:val="0"/>
          <w:numId w:val="4"/>
        </w:numPr>
        <w:tabs>
          <w:tab w:val="left" w:pos="368"/>
        </w:tabs>
        <w:spacing w:line="360" w:lineRule="auto"/>
        <w:ind w:left="-58" w:firstLine="0"/>
        <w:jc w:val="both"/>
        <w:rPr>
          <w:rFonts w:cs="David"/>
          <w:sz w:val="28"/>
          <w:szCs w:val="28"/>
          <w:rtl/>
        </w:rPr>
      </w:pPr>
      <w:r>
        <w:rPr>
          <w:rFonts w:cs="David" w:hint="cs"/>
          <w:sz w:val="28"/>
          <w:szCs w:val="28"/>
          <w:rtl/>
        </w:rPr>
        <w:t xml:space="preserve">על פי </w:t>
      </w:r>
      <w:r w:rsidR="0043425A" w:rsidRPr="00EB1055">
        <w:rPr>
          <w:rFonts w:cs="David" w:hint="cs"/>
          <w:sz w:val="28"/>
          <w:szCs w:val="28"/>
          <w:rtl/>
        </w:rPr>
        <w:t>ה</w:t>
      </w:r>
      <w:r>
        <w:rPr>
          <w:rFonts w:cs="David" w:hint="cs"/>
          <w:sz w:val="28"/>
          <w:szCs w:val="28"/>
          <w:rtl/>
        </w:rPr>
        <w:t xml:space="preserve">וראת </w:t>
      </w:r>
      <w:r w:rsidR="0043425A" w:rsidRPr="00EB1055">
        <w:rPr>
          <w:rFonts w:cs="David" w:hint="cs"/>
          <w:sz w:val="28"/>
          <w:szCs w:val="28"/>
          <w:rtl/>
        </w:rPr>
        <w:t xml:space="preserve">קמצ"ר </w:t>
      </w:r>
      <w:r>
        <w:rPr>
          <w:rFonts w:cs="David" w:hint="cs"/>
          <w:sz w:val="28"/>
          <w:szCs w:val="28"/>
          <w:rtl/>
        </w:rPr>
        <w:t xml:space="preserve">בנושא </w:t>
      </w:r>
      <w:r w:rsidR="0043425A" w:rsidRPr="00EB1055">
        <w:rPr>
          <w:rFonts w:cs="David" w:hint="cs"/>
          <w:sz w:val="28"/>
          <w:szCs w:val="28"/>
          <w:rtl/>
        </w:rPr>
        <w:t xml:space="preserve">(סעיפים 13-12 להוראה מס' 5008 הנ"ל): "לאחר הוצאת צו חדירה לחומר מחשב, יש להציגו לחשוד, ולהבהיר לו כי עליו לאפשר למצ"ח לקיים את הצו השיפוטי </w:t>
      </w:r>
      <w:r w:rsidR="0043425A" w:rsidRPr="00EB1055">
        <w:rPr>
          <w:rFonts w:cs="David"/>
          <w:sz w:val="28"/>
          <w:szCs w:val="28"/>
          <w:rtl/>
        </w:rPr>
        <w:t>–</w:t>
      </w:r>
      <w:r w:rsidR="0043425A" w:rsidRPr="00EB1055">
        <w:rPr>
          <w:rFonts w:cs="David" w:hint="cs"/>
          <w:sz w:val="28"/>
          <w:szCs w:val="28"/>
          <w:rtl/>
        </w:rPr>
        <w:t xml:space="preserve"> בין אם ימסור מרצונו את הסיסמה למכשירו הסלולארי ובין אם ימסור את המכשיר לידי מצ"ח כשהוא 'פתוח לשימוש' ללא צורך בסיסמה. אם החשוד סירב לאפשר למצ"ח גישה למכשיר גם לאחר שהוצג לו צו בית המשפט, ובכך סיכל את ביצוע הצו, יש להזהירו ולחקרו בחשד לביצוע עבירות של הפרעה </w:t>
      </w:r>
      <w:r w:rsidR="0043425A" w:rsidRPr="00EB1055">
        <w:rPr>
          <w:rFonts w:cs="David" w:hint="cs"/>
          <w:sz w:val="28"/>
          <w:szCs w:val="28"/>
          <w:rtl/>
        </w:rPr>
        <w:lastRenderedPageBreak/>
        <w:t xml:space="preserve">לשוטר צבאי, לפי סעיף 126 לחוק השיפוט הצבאי, ושיבוש מהלכי משפט". </w:t>
      </w:r>
      <w:r>
        <w:rPr>
          <w:rFonts w:cs="David" w:hint="cs"/>
          <w:sz w:val="28"/>
          <w:szCs w:val="28"/>
          <w:rtl/>
        </w:rPr>
        <w:t xml:space="preserve">לפיכך, על פי סדר הדברים, </w:t>
      </w:r>
      <w:r w:rsidR="003238C4">
        <w:rPr>
          <w:rFonts w:cs="David" w:hint="cs"/>
          <w:sz w:val="28"/>
          <w:szCs w:val="28"/>
          <w:rtl/>
        </w:rPr>
        <w:t xml:space="preserve">ככל שהחוקרים היו מבקשים לערוך את החיפוש מכוח הצו - </w:t>
      </w:r>
      <w:r>
        <w:rPr>
          <w:rFonts w:cs="David" w:hint="cs"/>
          <w:sz w:val="28"/>
          <w:szCs w:val="28"/>
          <w:rtl/>
        </w:rPr>
        <w:t xml:space="preserve">נכון היה לבקש את הסיסמה למכשיר </w:t>
      </w:r>
      <w:r w:rsidRPr="00290008">
        <w:rPr>
          <w:rFonts w:cs="David" w:hint="cs"/>
          <w:b/>
          <w:bCs/>
          <w:sz w:val="28"/>
          <w:szCs w:val="28"/>
          <w:rtl/>
        </w:rPr>
        <w:t>לאחר</w:t>
      </w:r>
      <w:r>
        <w:rPr>
          <w:rFonts w:cs="David" w:hint="cs"/>
          <w:sz w:val="28"/>
          <w:szCs w:val="28"/>
          <w:rtl/>
        </w:rPr>
        <w:t xml:space="preserve"> הצגת הצו השיפוטי</w:t>
      </w:r>
      <w:r w:rsidR="00305FB7">
        <w:rPr>
          <w:rFonts w:cs="David" w:hint="cs"/>
          <w:sz w:val="28"/>
          <w:szCs w:val="28"/>
          <w:rtl/>
        </w:rPr>
        <w:t xml:space="preserve"> (או לאחר קבלת ההסכמה לחיפוש)</w:t>
      </w:r>
      <w:r>
        <w:rPr>
          <w:rFonts w:cs="David" w:hint="cs"/>
          <w:sz w:val="28"/>
          <w:szCs w:val="28"/>
          <w:rtl/>
        </w:rPr>
        <w:t xml:space="preserve">. </w:t>
      </w:r>
      <w:r w:rsidR="003238C4">
        <w:rPr>
          <w:rFonts w:cs="David" w:hint="cs"/>
          <w:sz w:val="28"/>
          <w:szCs w:val="28"/>
          <w:rtl/>
        </w:rPr>
        <w:t>כך או כך</w:t>
      </w:r>
      <w:r>
        <w:rPr>
          <w:rFonts w:cs="David" w:hint="cs"/>
          <w:sz w:val="28"/>
          <w:szCs w:val="28"/>
          <w:rtl/>
        </w:rPr>
        <w:t>, בעניינ</w:t>
      </w:r>
      <w:r w:rsidR="00D77EEC">
        <w:rPr>
          <w:rFonts w:cs="David" w:hint="cs"/>
          <w:sz w:val="28"/>
          <w:szCs w:val="28"/>
          <w:rtl/>
        </w:rPr>
        <w:t>נ</w:t>
      </w:r>
      <w:r>
        <w:rPr>
          <w:rFonts w:cs="David" w:hint="cs"/>
          <w:sz w:val="28"/>
          <w:szCs w:val="28"/>
          <w:rtl/>
        </w:rPr>
        <w:t xml:space="preserve">ו, כפי שקבע </w:t>
      </w:r>
      <w:r w:rsidR="0043425A" w:rsidRPr="00EB1055">
        <w:rPr>
          <w:rFonts w:cs="David" w:hint="cs"/>
          <w:sz w:val="28"/>
          <w:szCs w:val="28"/>
          <w:rtl/>
        </w:rPr>
        <w:t>בית הדין</w:t>
      </w:r>
      <w:r w:rsidR="00D95B9D">
        <w:rPr>
          <w:rFonts w:cs="David" w:hint="cs"/>
          <w:sz w:val="28"/>
          <w:szCs w:val="28"/>
          <w:rtl/>
        </w:rPr>
        <w:t xml:space="preserve"> קמא</w:t>
      </w:r>
      <w:r>
        <w:rPr>
          <w:rFonts w:cs="David" w:hint="cs"/>
          <w:sz w:val="28"/>
          <w:szCs w:val="28"/>
          <w:rtl/>
        </w:rPr>
        <w:t xml:space="preserve">, זכויותיו של המערער בחקירה הובהרו לו </w:t>
      </w:r>
      <w:r w:rsidR="00D95B9D">
        <w:rPr>
          <w:rFonts w:cs="David" w:hint="cs"/>
          <w:sz w:val="28"/>
          <w:szCs w:val="28"/>
          <w:rtl/>
        </w:rPr>
        <w:t xml:space="preserve">היטב </w:t>
      </w:r>
      <w:r>
        <w:rPr>
          <w:rFonts w:cs="David" w:hint="cs"/>
          <w:sz w:val="28"/>
          <w:szCs w:val="28"/>
          <w:rtl/>
        </w:rPr>
        <w:t xml:space="preserve">בראשיתה והוא הבינן לאשורן. כמו כן, </w:t>
      </w:r>
      <w:r w:rsidR="0043425A" w:rsidRPr="00EB1055">
        <w:rPr>
          <w:rFonts w:cs="David" w:hint="cs"/>
          <w:sz w:val="28"/>
          <w:szCs w:val="28"/>
          <w:rtl/>
        </w:rPr>
        <w:t>השאלה על אודות פרטי הקוד הסודי, שולבה בסדרה של שאלות הנוגעות לפרטי מכשיר הטלפון הנייד של המערער ולאחריה, באותו שלב בחקירה, הביע המערער את סירובו לחיפוש במכשיר</w:t>
      </w:r>
      <w:r>
        <w:rPr>
          <w:rFonts w:cs="David" w:hint="cs"/>
          <w:sz w:val="28"/>
          <w:szCs w:val="28"/>
          <w:rtl/>
        </w:rPr>
        <w:t xml:space="preserve"> (עוד קודם להצגת הצו השיפוטי)</w:t>
      </w:r>
      <w:r w:rsidR="0043425A" w:rsidRPr="00EB1055">
        <w:rPr>
          <w:rFonts w:cs="David" w:hint="cs"/>
          <w:sz w:val="28"/>
          <w:szCs w:val="28"/>
          <w:rtl/>
        </w:rPr>
        <w:t xml:space="preserve">. </w:t>
      </w:r>
      <w:r>
        <w:rPr>
          <w:rFonts w:cs="David" w:hint="cs"/>
          <w:sz w:val="28"/>
          <w:szCs w:val="28"/>
          <w:rtl/>
        </w:rPr>
        <w:t>לפיכך, אין מקום להתערב</w:t>
      </w:r>
      <w:r w:rsidR="00D95B9D">
        <w:rPr>
          <w:rFonts w:cs="David" w:hint="cs"/>
          <w:sz w:val="28"/>
          <w:szCs w:val="28"/>
          <w:rtl/>
        </w:rPr>
        <w:t>ות</w:t>
      </w:r>
      <w:r>
        <w:rPr>
          <w:rFonts w:cs="David" w:hint="cs"/>
          <w:sz w:val="28"/>
          <w:szCs w:val="28"/>
          <w:rtl/>
        </w:rPr>
        <w:t xml:space="preserve"> </w:t>
      </w:r>
      <w:r w:rsidR="00D95B9D">
        <w:rPr>
          <w:rFonts w:cs="David" w:hint="cs"/>
          <w:sz w:val="28"/>
          <w:szCs w:val="28"/>
          <w:rtl/>
        </w:rPr>
        <w:t>ב</w:t>
      </w:r>
      <w:r w:rsidR="0043425A" w:rsidRPr="00EB1055">
        <w:rPr>
          <w:rFonts w:cs="David" w:hint="cs"/>
          <w:sz w:val="28"/>
          <w:szCs w:val="28"/>
          <w:rtl/>
        </w:rPr>
        <w:t>קביעתו</w:t>
      </w:r>
      <w:r w:rsidR="0043425A" w:rsidRPr="00EB1055">
        <w:rPr>
          <w:rFonts w:cs="David" w:hint="cs"/>
          <w:b/>
          <w:bCs/>
          <w:sz w:val="28"/>
          <w:szCs w:val="28"/>
          <w:rtl/>
        </w:rPr>
        <w:t xml:space="preserve"> העובדתית</w:t>
      </w:r>
      <w:r w:rsidR="0043425A" w:rsidRPr="00EB1055">
        <w:rPr>
          <w:rFonts w:cs="David" w:hint="cs"/>
          <w:sz w:val="28"/>
          <w:szCs w:val="28"/>
          <w:rtl/>
        </w:rPr>
        <w:t xml:space="preserve"> של בית הדין קמא, שלפיהן המערער "מסר את ה</w:t>
      </w:r>
      <w:r w:rsidR="00722A5D">
        <w:rPr>
          <w:rFonts w:cs="David" w:hint="cs"/>
          <w:sz w:val="28"/>
          <w:szCs w:val="28"/>
          <w:rtl/>
        </w:rPr>
        <w:t>סיסמה</w:t>
      </w:r>
      <w:r w:rsidR="0043425A" w:rsidRPr="00EB1055">
        <w:rPr>
          <w:rFonts w:cs="David" w:hint="cs"/>
          <w:sz w:val="28"/>
          <w:szCs w:val="28"/>
          <w:rtl/>
        </w:rPr>
        <w:t xml:space="preserve"> למכשיר הטלפון הנייד שלו מרצונו הטוב והחופשי"</w:t>
      </w:r>
      <w:r>
        <w:rPr>
          <w:rFonts w:cs="David" w:hint="cs"/>
          <w:sz w:val="28"/>
          <w:szCs w:val="28"/>
          <w:rtl/>
        </w:rPr>
        <w:t xml:space="preserve">. מכל מקום, אין בסדר הצגת השאלות, בראי התמונה הכוללת של החקירה ונוכח התרשמות בית הדין מן העדים השונים </w:t>
      </w:r>
      <w:r>
        <w:rPr>
          <w:rFonts w:cs="David"/>
          <w:sz w:val="28"/>
          <w:szCs w:val="28"/>
          <w:rtl/>
        </w:rPr>
        <w:t>–</w:t>
      </w:r>
      <w:r>
        <w:rPr>
          <w:rFonts w:cs="David" w:hint="cs"/>
          <w:sz w:val="28"/>
          <w:szCs w:val="28"/>
          <w:rtl/>
        </w:rPr>
        <w:t xml:space="preserve"> כדי לכרסם במשקלה של ההודיה או כדי לפגום בקבילות התיעוד שהופק בעקבות החיפוש במכשיר הטלפון הנייד. לא למותר להזכיר עוד, </w:t>
      </w:r>
      <w:r w:rsidR="0043425A">
        <w:rPr>
          <w:rFonts w:cs="David" w:hint="cs"/>
          <w:sz w:val="28"/>
          <w:szCs w:val="28"/>
          <w:rtl/>
        </w:rPr>
        <w:t xml:space="preserve">כי אליבא דגרסתו של המערער אשר נדחתה בבית הדין קמא, הוא התבקש למסור את פרטי הקוד הסודי, </w:t>
      </w:r>
      <w:r w:rsidR="0043425A" w:rsidRPr="00EB1055">
        <w:rPr>
          <w:rFonts w:cs="David" w:hint="cs"/>
          <w:b/>
          <w:bCs/>
          <w:sz w:val="28"/>
          <w:szCs w:val="28"/>
          <w:rtl/>
        </w:rPr>
        <w:t>לאחר</w:t>
      </w:r>
      <w:r w:rsidR="0043425A">
        <w:rPr>
          <w:rFonts w:cs="David" w:hint="cs"/>
          <w:sz w:val="28"/>
          <w:szCs w:val="28"/>
          <w:rtl/>
        </w:rPr>
        <w:t xml:space="preserve"> שהוצג לו הצו השיפוטי. </w:t>
      </w:r>
    </w:p>
    <w:p w14:paraId="2698F544" w14:textId="77777777" w:rsidR="00280DAA" w:rsidRDefault="0043425A" w:rsidP="00223236">
      <w:pPr>
        <w:numPr>
          <w:ilvl w:val="0"/>
          <w:numId w:val="4"/>
        </w:numPr>
        <w:tabs>
          <w:tab w:val="left" w:pos="368"/>
        </w:tabs>
        <w:spacing w:line="360" w:lineRule="auto"/>
        <w:ind w:left="-58" w:firstLine="0"/>
        <w:jc w:val="both"/>
        <w:rPr>
          <w:rFonts w:cs="David"/>
          <w:sz w:val="28"/>
          <w:szCs w:val="28"/>
        </w:rPr>
      </w:pPr>
      <w:r>
        <w:rPr>
          <w:rFonts w:cs="David" w:hint="cs"/>
          <w:sz w:val="28"/>
          <w:szCs w:val="28"/>
          <w:rtl/>
        </w:rPr>
        <w:t xml:space="preserve">עולה מן המקובץ, כי לא נפל פגם בחוקיות החיפוש שנערך במכשיר הטלפון הנייד של המערער וכפי שקבע בית הדין קמא הנכבד, רצונו החופשי להודות במיוחס לו </w:t>
      </w:r>
      <w:r>
        <w:rPr>
          <w:rFonts w:cs="David"/>
          <w:sz w:val="28"/>
          <w:szCs w:val="28"/>
          <w:rtl/>
        </w:rPr>
        <w:t>–</w:t>
      </w:r>
      <w:r>
        <w:rPr>
          <w:rFonts w:cs="David" w:hint="cs"/>
          <w:sz w:val="28"/>
          <w:szCs w:val="28"/>
          <w:rtl/>
        </w:rPr>
        <w:t xml:space="preserve"> לא נפגע. בהתאם, כפי ש</w:t>
      </w:r>
      <w:r w:rsidR="00223236">
        <w:rPr>
          <w:rFonts w:cs="David" w:hint="cs"/>
          <w:sz w:val="28"/>
          <w:szCs w:val="28"/>
          <w:rtl/>
        </w:rPr>
        <w:t>נפרט להלן</w:t>
      </w:r>
      <w:r>
        <w:rPr>
          <w:rFonts w:cs="David" w:hint="cs"/>
          <w:sz w:val="28"/>
          <w:szCs w:val="28"/>
          <w:rtl/>
        </w:rPr>
        <w:t>, אין להתערב במסקנותיו של בית הדין על אודות המשקל הרב שיש לייחס להודיה של המערער בחקירה ועל מעמדו של תיעוד השיחה מתוך מכשיר הטלפון הנייד של המערער, כראיה מאמתת שדי בא כדי לחזק ולבסס את אמינות  ההודיה.</w:t>
      </w:r>
    </w:p>
    <w:p w14:paraId="5505FC1B" w14:textId="77777777" w:rsidR="00802105" w:rsidRPr="0084135E" w:rsidRDefault="00802105" w:rsidP="00223236">
      <w:pPr>
        <w:tabs>
          <w:tab w:val="left" w:pos="368"/>
        </w:tabs>
        <w:spacing w:line="360" w:lineRule="auto"/>
        <w:jc w:val="both"/>
        <w:rPr>
          <w:rFonts w:cs="David"/>
          <w:sz w:val="28"/>
          <w:szCs w:val="28"/>
          <w:rtl/>
        </w:rPr>
      </w:pPr>
    </w:p>
    <w:p w14:paraId="61A57FCF" w14:textId="77777777" w:rsidR="001F637A" w:rsidRDefault="00711B16" w:rsidP="00711B16">
      <w:pPr>
        <w:tabs>
          <w:tab w:val="left" w:pos="368"/>
        </w:tabs>
        <w:spacing w:line="360" w:lineRule="auto"/>
        <w:ind w:left="-58"/>
        <w:jc w:val="both"/>
        <w:rPr>
          <w:rFonts w:cs="David"/>
          <w:b/>
          <w:bCs/>
          <w:sz w:val="28"/>
          <w:szCs w:val="28"/>
          <w:rtl/>
        </w:rPr>
      </w:pPr>
      <w:r>
        <w:rPr>
          <w:rFonts w:cs="David" w:hint="cs"/>
          <w:b/>
          <w:bCs/>
          <w:sz w:val="28"/>
          <w:szCs w:val="28"/>
          <w:rtl/>
        </w:rPr>
        <w:t xml:space="preserve">דיות הראיות </w:t>
      </w:r>
    </w:p>
    <w:p w14:paraId="25250689" w14:textId="77777777" w:rsidR="00272C2F" w:rsidRDefault="00EC1769" w:rsidP="00272C2F">
      <w:pPr>
        <w:numPr>
          <w:ilvl w:val="0"/>
          <w:numId w:val="4"/>
        </w:numPr>
        <w:tabs>
          <w:tab w:val="left" w:pos="368"/>
        </w:tabs>
        <w:spacing w:line="360" w:lineRule="auto"/>
        <w:ind w:left="-58" w:firstLine="0"/>
        <w:jc w:val="both"/>
        <w:rPr>
          <w:rFonts w:cs="David"/>
          <w:szCs w:val="28"/>
        </w:rPr>
      </w:pPr>
      <w:r>
        <w:rPr>
          <w:rFonts w:cs="David" w:hint="cs"/>
          <w:szCs w:val="28"/>
          <w:rtl/>
        </w:rPr>
        <w:t xml:space="preserve">כידוע, </w:t>
      </w:r>
      <w:r w:rsidR="00871188">
        <w:rPr>
          <w:rFonts w:cs="David" w:hint="cs"/>
          <w:szCs w:val="28"/>
          <w:rtl/>
        </w:rPr>
        <w:t xml:space="preserve">על מנת לבסס הרשעה בפלילים על הודיה של נאשם, </w:t>
      </w:r>
      <w:r w:rsidR="000A5E9A" w:rsidRPr="00EC1769">
        <w:rPr>
          <w:rFonts w:cs="David" w:hint="cs"/>
          <w:szCs w:val="28"/>
          <w:rtl/>
        </w:rPr>
        <w:t xml:space="preserve">יש לבחון את ההודיה באמצעות </w:t>
      </w:r>
      <w:r w:rsidR="000A5E9A" w:rsidRPr="00272C2F">
        <w:rPr>
          <w:rFonts w:cs="David" w:hint="cs"/>
          <w:b/>
          <w:bCs/>
          <w:szCs w:val="28"/>
          <w:rtl/>
        </w:rPr>
        <w:t xml:space="preserve">המבחן הפנימי </w:t>
      </w:r>
      <w:r w:rsidR="000A5E9A" w:rsidRPr="00EC1769">
        <w:rPr>
          <w:rFonts w:cs="David" w:hint="cs"/>
          <w:szCs w:val="28"/>
          <w:rtl/>
        </w:rPr>
        <w:t>שלה (</w:t>
      </w:r>
      <w:r w:rsidR="000A5E9A" w:rsidRPr="00EC1769">
        <w:rPr>
          <w:rFonts w:cs="David" w:hint="cs"/>
          <w:sz w:val="28"/>
          <w:szCs w:val="28"/>
          <w:rtl/>
        </w:rPr>
        <w:t>מבחן</w:t>
      </w:r>
      <w:r w:rsidR="000A5E9A" w:rsidRPr="00EC1769">
        <w:rPr>
          <w:rFonts w:cs="David" w:hint="cs"/>
          <w:szCs w:val="28"/>
          <w:rtl/>
        </w:rPr>
        <w:t xml:space="preserve"> "המשקל העצמי")</w:t>
      </w:r>
      <w:r w:rsidR="00871188">
        <w:rPr>
          <w:rFonts w:cs="David" w:hint="cs"/>
          <w:szCs w:val="28"/>
          <w:rtl/>
        </w:rPr>
        <w:t xml:space="preserve"> ובאמצעות </w:t>
      </w:r>
      <w:r w:rsidR="00871188" w:rsidRPr="00272C2F">
        <w:rPr>
          <w:rFonts w:cs="David" w:hint="cs"/>
          <w:b/>
          <w:bCs/>
          <w:szCs w:val="28"/>
          <w:rtl/>
        </w:rPr>
        <w:t>המבחן החיצוני</w:t>
      </w:r>
      <w:r w:rsidR="00871188">
        <w:rPr>
          <w:rFonts w:cs="David" w:hint="cs"/>
          <w:szCs w:val="28"/>
          <w:rtl/>
        </w:rPr>
        <w:t xml:space="preserve"> (דבר </w:t>
      </w:r>
      <w:r w:rsidR="00871188" w:rsidRPr="00272C2F">
        <w:rPr>
          <w:rFonts w:cs="David" w:hint="cs"/>
          <w:sz w:val="28"/>
          <w:szCs w:val="28"/>
          <w:rtl/>
        </w:rPr>
        <w:t>מה</w:t>
      </w:r>
      <w:r w:rsidR="00871188">
        <w:rPr>
          <w:rFonts w:cs="David" w:hint="cs"/>
          <w:szCs w:val="28"/>
          <w:rtl/>
        </w:rPr>
        <w:t xml:space="preserve"> נוסף)</w:t>
      </w:r>
      <w:r w:rsidR="000A5E9A" w:rsidRPr="00EC1769">
        <w:rPr>
          <w:rFonts w:cs="David" w:hint="cs"/>
          <w:szCs w:val="28"/>
          <w:rtl/>
        </w:rPr>
        <w:t xml:space="preserve">. </w:t>
      </w:r>
    </w:p>
    <w:p w14:paraId="1878838C" w14:textId="77777777" w:rsidR="00272C2F" w:rsidRDefault="000A5E9A" w:rsidP="0084135E">
      <w:pPr>
        <w:numPr>
          <w:ilvl w:val="0"/>
          <w:numId w:val="4"/>
        </w:numPr>
        <w:tabs>
          <w:tab w:val="left" w:pos="368"/>
        </w:tabs>
        <w:spacing w:line="360" w:lineRule="auto"/>
        <w:ind w:left="-58" w:firstLine="0"/>
        <w:jc w:val="both"/>
        <w:rPr>
          <w:rFonts w:cs="David"/>
          <w:szCs w:val="28"/>
        </w:rPr>
      </w:pPr>
      <w:r w:rsidRPr="00EC1769">
        <w:rPr>
          <w:rFonts w:cs="David" w:hint="cs"/>
          <w:szCs w:val="28"/>
          <w:rtl/>
        </w:rPr>
        <w:t xml:space="preserve">תפקידו של המבחן </w:t>
      </w:r>
      <w:r w:rsidR="00871188">
        <w:rPr>
          <w:rFonts w:cs="David" w:hint="cs"/>
          <w:szCs w:val="28"/>
          <w:rtl/>
        </w:rPr>
        <w:t xml:space="preserve">הפנימי </w:t>
      </w:r>
      <w:r w:rsidRPr="00EC1769">
        <w:rPr>
          <w:rFonts w:cs="David" w:hint="cs"/>
          <w:szCs w:val="28"/>
          <w:rtl/>
        </w:rPr>
        <w:t>לוודא, שההודיה לא נ</w:t>
      </w:r>
      <w:r w:rsidR="0084135E">
        <w:rPr>
          <w:rFonts w:cs="David" w:hint="cs"/>
          <w:szCs w:val="28"/>
          <w:rtl/>
        </w:rPr>
        <w:t xml:space="preserve">מסרה </w:t>
      </w:r>
      <w:r w:rsidRPr="00EC1769">
        <w:rPr>
          <w:rFonts w:cs="David" w:hint="cs"/>
          <w:szCs w:val="28"/>
          <w:rtl/>
        </w:rPr>
        <w:t>בעקבות לחץ פנימי של המודה</w:t>
      </w:r>
      <w:r w:rsidR="00871188">
        <w:rPr>
          <w:rFonts w:cs="David" w:hint="cs"/>
          <w:szCs w:val="28"/>
          <w:rtl/>
        </w:rPr>
        <w:t xml:space="preserve"> ולפיכך, </w:t>
      </w:r>
      <w:r w:rsidRPr="00EC1769">
        <w:rPr>
          <w:rFonts w:cs="David" w:hint="cs"/>
          <w:szCs w:val="28"/>
          <w:rtl/>
        </w:rPr>
        <w:t xml:space="preserve">יש לבדוק את ההודיה "על פי סימני האמת העולים מתוכה, כגון הגיונה או חוסר הגיונה הפנימי, סידורם או בלבולם של הפרטים </w:t>
      </w:r>
      <w:r w:rsidRPr="00EC1769">
        <w:rPr>
          <w:rFonts w:cs="David" w:hint="cs"/>
          <w:sz w:val="28"/>
          <w:szCs w:val="28"/>
          <w:rtl/>
        </w:rPr>
        <w:t>הנמסרים</w:t>
      </w:r>
      <w:r w:rsidRPr="00EC1769">
        <w:rPr>
          <w:rFonts w:cs="David" w:hint="cs"/>
          <w:szCs w:val="28"/>
          <w:rtl/>
        </w:rPr>
        <w:t xml:space="preserve"> בה וכיוצא בהם סימנים של שכל ישר המביאים אדם בר דעת להתייחס לדברי זולתו באמון" (ע"פ 715,744/78 </w:t>
      </w:r>
      <w:r w:rsidRPr="00871188">
        <w:rPr>
          <w:rFonts w:cs="David" w:hint="cs"/>
          <w:b/>
          <w:bCs/>
          <w:szCs w:val="28"/>
          <w:rtl/>
        </w:rPr>
        <w:t>לוי נ' מדינת ישראל</w:t>
      </w:r>
      <w:r w:rsidRPr="00EC1769">
        <w:rPr>
          <w:rFonts w:cs="David" w:hint="cs"/>
          <w:szCs w:val="28"/>
          <w:rtl/>
        </w:rPr>
        <w:t>, פ"ד ל"ג, 228, 234</w:t>
      </w:r>
      <w:r w:rsidR="004669E9">
        <w:rPr>
          <w:rFonts w:cs="David" w:hint="cs"/>
          <w:szCs w:val="28"/>
          <w:rtl/>
        </w:rPr>
        <w:t xml:space="preserve"> (1979))</w:t>
      </w:r>
      <w:r w:rsidRPr="00EC1769">
        <w:rPr>
          <w:rFonts w:cs="David" w:hint="cs"/>
          <w:szCs w:val="28"/>
          <w:rtl/>
        </w:rPr>
        <w:t xml:space="preserve">. </w:t>
      </w:r>
    </w:p>
    <w:p w14:paraId="625B5A2A" w14:textId="77777777" w:rsidR="000A5E9A" w:rsidRPr="00272C2F" w:rsidRDefault="00871188" w:rsidP="00711B16">
      <w:pPr>
        <w:numPr>
          <w:ilvl w:val="0"/>
          <w:numId w:val="4"/>
        </w:numPr>
        <w:tabs>
          <w:tab w:val="left" w:pos="368"/>
        </w:tabs>
        <w:spacing w:line="360" w:lineRule="auto"/>
        <w:ind w:left="-58" w:firstLine="0"/>
        <w:jc w:val="both"/>
        <w:rPr>
          <w:rFonts w:cs="David"/>
          <w:rtl/>
        </w:rPr>
      </w:pPr>
      <w:r w:rsidRPr="00272C2F">
        <w:rPr>
          <w:rFonts w:cs="David" w:hint="cs"/>
          <w:szCs w:val="28"/>
          <w:rtl/>
        </w:rPr>
        <w:t xml:space="preserve">לצד זאת, </w:t>
      </w:r>
      <w:r w:rsidR="00AD64FB">
        <w:rPr>
          <w:rFonts w:cs="David" w:hint="cs"/>
          <w:szCs w:val="28"/>
          <w:rtl/>
        </w:rPr>
        <w:t>במסגרת ה</w:t>
      </w:r>
      <w:r w:rsidRPr="00272C2F">
        <w:rPr>
          <w:rFonts w:cs="David" w:hint="cs"/>
          <w:szCs w:val="28"/>
          <w:rtl/>
        </w:rPr>
        <w:t xml:space="preserve">מבחן החיצוני יש להראות </w:t>
      </w:r>
      <w:r w:rsidR="000A5E9A" w:rsidRPr="00272C2F">
        <w:rPr>
          <w:rFonts w:cs="David" w:hint="cs"/>
          <w:szCs w:val="28"/>
          <w:rtl/>
        </w:rPr>
        <w:t xml:space="preserve">"ראיה הקרויה 'דבר מה נוסף', שתכליתה להציג כי הנאשם לא בדה את הסיפור מליבו" (ע"פ 1094/07 </w:t>
      </w:r>
      <w:r w:rsidR="000A5E9A" w:rsidRPr="00272C2F">
        <w:rPr>
          <w:rFonts w:cs="David" w:hint="cs"/>
          <w:b/>
          <w:bCs/>
          <w:szCs w:val="28"/>
          <w:rtl/>
        </w:rPr>
        <w:t xml:space="preserve">דדון נ' מדינת </w:t>
      </w:r>
      <w:r w:rsidR="000A5E9A" w:rsidRPr="00272C2F">
        <w:rPr>
          <w:rFonts w:cs="David" w:hint="cs"/>
          <w:b/>
          <w:bCs/>
          <w:szCs w:val="28"/>
          <w:rtl/>
        </w:rPr>
        <w:lastRenderedPageBreak/>
        <w:t>ישראל</w:t>
      </w:r>
      <w:r w:rsidR="000A5E9A" w:rsidRPr="00272C2F">
        <w:rPr>
          <w:rFonts w:cs="David" w:hint="cs"/>
          <w:szCs w:val="28"/>
          <w:rtl/>
        </w:rPr>
        <w:t>, פסקה כ"ו (</w:t>
      </w:r>
      <w:r w:rsidR="004669E9">
        <w:rPr>
          <w:rFonts w:cs="David" w:hint="cs"/>
          <w:szCs w:val="28"/>
          <w:rtl/>
        </w:rPr>
        <w:t>טרם פורסם, 3.7.</w:t>
      </w:r>
      <w:r w:rsidR="000A5E9A" w:rsidRPr="00272C2F">
        <w:rPr>
          <w:rFonts w:cs="David" w:hint="cs"/>
          <w:szCs w:val="28"/>
          <w:rtl/>
        </w:rPr>
        <w:t>2008); ראו גם</w:t>
      </w:r>
      <w:r w:rsidRPr="00272C2F">
        <w:rPr>
          <w:rFonts w:cs="David" w:hint="cs"/>
          <w:szCs w:val="28"/>
          <w:rtl/>
        </w:rPr>
        <w:t xml:space="preserve"> עניין </w:t>
      </w:r>
      <w:r w:rsidR="000A5E9A" w:rsidRPr="00272C2F">
        <w:rPr>
          <w:rFonts w:cs="David" w:hint="cs"/>
          <w:b/>
          <w:bCs/>
          <w:szCs w:val="28"/>
          <w:rtl/>
        </w:rPr>
        <w:t>אדריס</w:t>
      </w:r>
      <w:r w:rsidR="000A5E9A" w:rsidRPr="00272C2F">
        <w:rPr>
          <w:rFonts w:cs="David" w:hint="cs"/>
          <w:szCs w:val="28"/>
          <w:rtl/>
        </w:rPr>
        <w:t xml:space="preserve"> </w:t>
      </w:r>
      <w:r w:rsidRPr="00272C2F">
        <w:rPr>
          <w:rFonts w:cs="David" w:hint="cs"/>
          <w:szCs w:val="28"/>
          <w:rtl/>
        </w:rPr>
        <w:t>לעיל</w:t>
      </w:r>
      <w:r w:rsidR="000A5E9A" w:rsidRPr="00272C2F">
        <w:rPr>
          <w:rFonts w:cs="David" w:hint="cs"/>
          <w:szCs w:val="28"/>
          <w:rtl/>
        </w:rPr>
        <w:t xml:space="preserve">). </w:t>
      </w:r>
      <w:r w:rsidR="00272C2F">
        <w:rPr>
          <w:rFonts w:cs="David" w:hint="cs"/>
          <w:szCs w:val="28"/>
          <w:rtl/>
        </w:rPr>
        <w:t>כך, הוטעם, כי "</w:t>
      </w:r>
      <w:r w:rsidR="00272C2F" w:rsidRPr="00272C2F">
        <w:rPr>
          <w:rFonts w:cs="David"/>
          <w:szCs w:val="28"/>
          <w:rtl/>
        </w:rPr>
        <w:t xml:space="preserve">מטרתו של המבחן החיצוני היא להסיר את החשש כי על אף שעדות הנאשם נמצאה </w:t>
      </w:r>
      <w:r w:rsidR="00272C2F" w:rsidRPr="00272C2F">
        <w:rPr>
          <w:rFonts w:cs="David"/>
          <w:sz w:val="28"/>
          <w:szCs w:val="28"/>
          <w:rtl/>
        </w:rPr>
        <w:t>מהימנה</w:t>
      </w:r>
      <w:r w:rsidR="00272C2F" w:rsidRPr="00272C2F">
        <w:rPr>
          <w:rFonts w:cs="David"/>
          <w:szCs w:val="28"/>
          <w:rtl/>
        </w:rPr>
        <w:t>, הנאשם לקח על עצמו, מסיבה כלשהי שאינה ידועה, ביצועה של עבירה שהוא אינו אחראי לה או שאינו אחראי לה באופן מלא</w:t>
      </w:r>
      <w:r w:rsidR="00272C2F">
        <w:rPr>
          <w:rFonts w:cs="David" w:hint="cs"/>
          <w:szCs w:val="28"/>
          <w:rtl/>
        </w:rPr>
        <w:t xml:space="preserve">... </w:t>
      </w:r>
      <w:r w:rsidR="00272C2F" w:rsidRPr="00272C2F">
        <w:rPr>
          <w:rFonts w:cs="David"/>
          <w:szCs w:val="28"/>
          <w:rtl/>
        </w:rPr>
        <w:t>על כן הוגדר המבחן החיצוני כ</w:t>
      </w:r>
      <w:r w:rsidR="00272C2F">
        <w:rPr>
          <w:rFonts w:cs="David" w:hint="cs"/>
          <w:szCs w:val="28"/>
          <w:rtl/>
        </w:rPr>
        <w:t>'</w:t>
      </w:r>
      <w:r w:rsidR="00272C2F" w:rsidRPr="00272C2F">
        <w:rPr>
          <w:rFonts w:cs="David"/>
          <w:szCs w:val="28"/>
          <w:rtl/>
        </w:rPr>
        <w:t>שסתום הביטחון</w:t>
      </w:r>
      <w:r w:rsidR="00272C2F">
        <w:rPr>
          <w:rFonts w:cs="David" w:hint="cs"/>
          <w:szCs w:val="28"/>
          <w:rtl/>
        </w:rPr>
        <w:t>'</w:t>
      </w:r>
      <w:r w:rsidR="00272C2F" w:rsidRPr="00272C2F">
        <w:rPr>
          <w:rFonts w:cs="David"/>
          <w:szCs w:val="28"/>
          <w:rtl/>
        </w:rPr>
        <w:t xml:space="preserve"> של שאר המבחנים לבחינת אמיתותה של ההודאה</w:t>
      </w:r>
      <w:r w:rsidR="00272C2F">
        <w:rPr>
          <w:rFonts w:cs="David" w:hint="cs"/>
          <w:szCs w:val="28"/>
          <w:rtl/>
        </w:rPr>
        <w:t>"</w:t>
      </w:r>
      <w:r w:rsidR="008A31CF">
        <w:rPr>
          <w:rFonts w:cs="David" w:hint="cs"/>
          <w:szCs w:val="28"/>
          <w:rtl/>
        </w:rPr>
        <w:t xml:space="preserve"> </w:t>
      </w:r>
      <w:r w:rsidR="00AD64FB">
        <w:rPr>
          <w:rFonts w:cs="David" w:hint="cs"/>
          <w:szCs w:val="28"/>
          <w:rtl/>
        </w:rPr>
        <w:t>(</w:t>
      </w:r>
      <w:r w:rsidR="008A31CF">
        <w:rPr>
          <w:rFonts w:cs="David" w:hint="cs"/>
          <w:szCs w:val="28"/>
          <w:rtl/>
        </w:rPr>
        <w:t>ע"פ</w:t>
      </w:r>
      <w:r w:rsidR="00272C2F">
        <w:rPr>
          <w:rFonts w:cs="David" w:hint="cs"/>
          <w:szCs w:val="28"/>
          <w:rtl/>
        </w:rPr>
        <w:t xml:space="preserve"> </w:t>
      </w:r>
      <w:r w:rsidR="008A31CF">
        <w:rPr>
          <w:rFonts w:cs="David" w:hint="cs"/>
          <w:szCs w:val="28"/>
          <w:rtl/>
        </w:rPr>
        <w:t>6679/04</w:t>
      </w:r>
      <w:r w:rsidR="008F30E4" w:rsidRPr="00272C2F">
        <w:rPr>
          <w:rFonts w:cs="David" w:hint="cs"/>
          <w:szCs w:val="28"/>
          <w:rtl/>
        </w:rPr>
        <w:t xml:space="preserve"> </w:t>
      </w:r>
      <w:r w:rsidR="008F30E4" w:rsidRPr="00272C2F">
        <w:rPr>
          <w:rFonts w:cs="David" w:hint="cs"/>
          <w:b/>
          <w:bCs/>
          <w:szCs w:val="28"/>
          <w:rtl/>
        </w:rPr>
        <w:t>סטקלר נ' מדינת ישראל</w:t>
      </w:r>
      <w:r w:rsidR="00272C2F" w:rsidRPr="00272C2F">
        <w:rPr>
          <w:rFonts w:cs="David" w:hint="cs"/>
          <w:szCs w:val="28"/>
          <w:rtl/>
        </w:rPr>
        <w:t xml:space="preserve"> (</w:t>
      </w:r>
      <w:r w:rsidR="00DE18BF">
        <w:rPr>
          <w:rFonts w:cs="David" w:hint="cs"/>
          <w:szCs w:val="28"/>
          <w:rtl/>
        </w:rPr>
        <w:t xml:space="preserve">טרם פורסם, </w:t>
      </w:r>
      <w:r w:rsidR="00272C2F" w:rsidRPr="00272C2F">
        <w:rPr>
          <w:rFonts w:cs="David" w:hint="cs"/>
          <w:szCs w:val="28"/>
          <w:rtl/>
        </w:rPr>
        <w:t>11.5.2006))</w:t>
      </w:r>
      <w:r w:rsidR="00272C2F" w:rsidRPr="00272C2F">
        <w:rPr>
          <w:rFonts w:cs="David"/>
          <w:szCs w:val="28"/>
          <w:rtl/>
        </w:rPr>
        <w:t>.</w:t>
      </w:r>
      <w:r w:rsidR="00D57727">
        <w:rPr>
          <w:rFonts w:cs="David" w:hint="cs"/>
          <w:szCs w:val="28"/>
          <w:rtl/>
        </w:rPr>
        <w:t xml:space="preserve"> בואר</w:t>
      </w:r>
      <w:r w:rsidR="000A5E9A" w:rsidRPr="00272C2F">
        <w:rPr>
          <w:rFonts w:cs="David" w:hint="cs"/>
          <w:szCs w:val="28"/>
          <w:rtl/>
        </w:rPr>
        <w:t xml:space="preserve">, כי מדובר בתוספת ראייתית מאמתת, 'שדי שתאשר במידת מה את תוכן ההודאה... ולא בתוספת מסבכת בדמותו וברמתו של סיוע" (עניין </w:t>
      </w:r>
      <w:r w:rsidR="000A5E9A" w:rsidRPr="00272C2F">
        <w:rPr>
          <w:rFonts w:cs="David" w:hint="cs"/>
          <w:b/>
          <w:bCs/>
          <w:szCs w:val="28"/>
          <w:rtl/>
        </w:rPr>
        <w:t>דדון</w:t>
      </w:r>
      <w:r w:rsidR="000A5E9A" w:rsidRPr="00272C2F">
        <w:rPr>
          <w:rFonts w:cs="David" w:hint="cs"/>
          <w:szCs w:val="28"/>
          <w:rtl/>
        </w:rPr>
        <w:t xml:space="preserve"> לעיל, פסקה כ"ו).</w:t>
      </w:r>
      <w:r w:rsidR="000A5E9A" w:rsidRPr="00272C2F">
        <w:rPr>
          <w:rFonts w:cs="David" w:hint="cs"/>
          <w:szCs w:val="28"/>
          <w:rtl/>
        </w:rPr>
        <w:tab/>
      </w:r>
    </w:p>
    <w:p w14:paraId="659EE1F6" w14:textId="77777777" w:rsidR="000A5E9A" w:rsidRPr="00EC1769" w:rsidRDefault="00D57727" w:rsidP="006755A5">
      <w:pPr>
        <w:numPr>
          <w:ilvl w:val="0"/>
          <w:numId w:val="4"/>
        </w:numPr>
        <w:tabs>
          <w:tab w:val="left" w:pos="368"/>
        </w:tabs>
        <w:spacing w:line="360" w:lineRule="auto"/>
        <w:ind w:left="-58" w:firstLine="0"/>
        <w:jc w:val="both"/>
        <w:rPr>
          <w:rFonts w:cs="David"/>
          <w:szCs w:val="28"/>
        </w:rPr>
      </w:pPr>
      <w:r>
        <w:rPr>
          <w:rFonts w:cs="David" w:hint="cs"/>
          <w:szCs w:val="28"/>
          <w:rtl/>
        </w:rPr>
        <w:t xml:space="preserve">הלכה פסוקה היא </w:t>
      </w:r>
      <w:r w:rsidR="000A5E9A" w:rsidRPr="00EC1769">
        <w:rPr>
          <w:rFonts w:cs="David" w:hint="cs"/>
          <w:szCs w:val="28"/>
          <w:rtl/>
        </w:rPr>
        <w:t xml:space="preserve">כי קיימת "זיקת גומלין שבין המשקל הסגולי שמעניק בית המשפט להודאה עצמה, לבין משקלו של ה'דבר מה' הדרוש לאימות תוכנה, כאשר ככל שמשקלה הפנימי של ההודאה גבוה יותר, כך פוחת הנטל בגדרו של המבחן החיצוני, ולהיפך" (ע"פ 10477/09 </w:t>
      </w:r>
      <w:r w:rsidR="000A5E9A" w:rsidRPr="008532FC">
        <w:rPr>
          <w:rFonts w:cs="David" w:hint="cs"/>
          <w:b/>
          <w:bCs/>
          <w:szCs w:val="28"/>
          <w:rtl/>
        </w:rPr>
        <w:t>מובארק נ' מדינת ישראל</w:t>
      </w:r>
      <w:r w:rsidR="000A5E9A" w:rsidRPr="00EC1769">
        <w:rPr>
          <w:rFonts w:cs="David" w:hint="cs"/>
          <w:szCs w:val="28"/>
          <w:rtl/>
        </w:rPr>
        <w:t>, פסקה 7 (</w:t>
      </w:r>
      <w:r w:rsidR="004669E9">
        <w:rPr>
          <w:rFonts w:cs="David" w:hint="cs"/>
          <w:szCs w:val="28"/>
          <w:rtl/>
        </w:rPr>
        <w:t>טרם פורסם, 10.4.</w:t>
      </w:r>
      <w:r w:rsidR="000A5E9A" w:rsidRPr="00EC1769">
        <w:rPr>
          <w:rFonts w:cs="David" w:hint="cs"/>
          <w:szCs w:val="28"/>
          <w:rtl/>
        </w:rPr>
        <w:t>2013)</w:t>
      </w:r>
      <w:r w:rsidR="008A31CF">
        <w:rPr>
          <w:rFonts w:cs="David" w:hint="cs"/>
          <w:szCs w:val="28"/>
          <w:rtl/>
        </w:rPr>
        <w:t xml:space="preserve">; ראו גם: ע/88/07 </w:t>
      </w:r>
      <w:r w:rsidR="008A31CF" w:rsidRPr="008A31CF">
        <w:rPr>
          <w:rFonts w:cs="David" w:hint="cs"/>
          <w:b/>
          <w:bCs/>
          <w:szCs w:val="28"/>
          <w:rtl/>
        </w:rPr>
        <w:t>התובע הצבאי הראשי נ' סמל דרעי</w:t>
      </w:r>
      <w:r w:rsidR="008A31CF">
        <w:rPr>
          <w:rFonts w:cs="David" w:hint="cs"/>
          <w:szCs w:val="28"/>
          <w:rtl/>
        </w:rPr>
        <w:t xml:space="preserve"> (2008)</w:t>
      </w:r>
      <w:r w:rsidR="000A5E9A" w:rsidRPr="00EC1769">
        <w:rPr>
          <w:rFonts w:cs="David" w:hint="cs"/>
          <w:szCs w:val="28"/>
          <w:rtl/>
        </w:rPr>
        <w:t>)</w:t>
      </w:r>
      <w:r>
        <w:rPr>
          <w:rFonts w:cs="David" w:hint="cs"/>
          <w:szCs w:val="28"/>
          <w:rtl/>
        </w:rPr>
        <w:t>. יפים לכאן אף הדברים הבאים</w:t>
      </w:r>
      <w:r w:rsidR="000A5E9A" w:rsidRPr="00EC1769">
        <w:rPr>
          <w:rFonts w:cs="David" w:hint="cs"/>
          <w:szCs w:val="28"/>
          <w:rtl/>
        </w:rPr>
        <w:t xml:space="preserve">: </w:t>
      </w:r>
    </w:p>
    <w:p w14:paraId="1B4F7901" w14:textId="77777777" w:rsidR="000A5E9A" w:rsidRPr="000A5E9A" w:rsidRDefault="000A5E9A" w:rsidP="008532FC">
      <w:pPr>
        <w:tabs>
          <w:tab w:val="left" w:pos="226"/>
        </w:tabs>
        <w:ind w:left="1418" w:right="1418"/>
        <w:jc w:val="both"/>
        <w:rPr>
          <w:rFonts w:cs="David"/>
          <w:b/>
          <w:bCs/>
          <w:szCs w:val="28"/>
          <w:rtl/>
        </w:rPr>
      </w:pPr>
      <w:r w:rsidRPr="00F50594">
        <w:rPr>
          <w:rFonts w:cs="David" w:hint="cs"/>
          <w:szCs w:val="28"/>
          <w:rtl/>
        </w:rPr>
        <w:t>"</w:t>
      </w:r>
      <w:r w:rsidRPr="000A5E9A">
        <w:rPr>
          <w:rFonts w:cs="David" w:hint="cs"/>
          <w:b/>
          <w:bCs/>
          <w:szCs w:val="28"/>
          <w:rtl/>
        </w:rPr>
        <w:t>'</w:t>
      </w:r>
      <w:r w:rsidRPr="000A5E9A">
        <w:rPr>
          <w:rFonts w:cs="David"/>
          <w:b/>
          <w:bCs/>
          <w:szCs w:val="28"/>
          <w:rtl/>
        </w:rPr>
        <w:t>דבר מה נוסף</w:t>
      </w:r>
      <w:r w:rsidRPr="000A5E9A">
        <w:rPr>
          <w:rFonts w:cs="David" w:hint="cs"/>
          <w:b/>
          <w:bCs/>
          <w:szCs w:val="28"/>
          <w:rtl/>
        </w:rPr>
        <w:t>'</w:t>
      </w:r>
      <w:r w:rsidRPr="000A5E9A">
        <w:rPr>
          <w:rFonts w:cs="David"/>
          <w:b/>
          <w:bCs/>
          <w:szCs w:val="28"/>
          <w:rtl/>
        </w:rPr>
        <w:t xml:space="preserve"> הוא דרישה ראייתית שתפקידה מתמצה בהפרכת החשש כי בדה הנאשם את גרסתו, מסיבותיו שלו </w:t>
      </w:r>
      <w:r w:rsidRPr="000A5E9A">
        <w:rPr>
          <w:rFonts w:cs="David" w:hint="cs"/>
          <w:b/>
          <w:bCs/>
          <w:szCs w:val="28"/>
          <w:rtl/>
        </w:rPr>
        <w:t xml:space="preserve">... </w:t>
      </w:r>
      <w:r w:rsidRPr="000A5E9A">
        <w:rPr>
          <w:rFonts w:cs="David"/>
          <w:b/>
          <w:bCs/>
          <w:szCs w:val="28"/>
          <w:rtl/>
        </w:rPr>
        <w:t xml:space="preserve">דרישת </w:t>
      </w:r>
      <w:r w:rsidRPr="000A5E9A">
        <w:rPr>
          <w:rFonts w:cs="David" w:hint="cs"/>
          <w:b/>
          <w:bCs/>
          <w:szCs w:val="28"/>
          <w:rtl/>
        </w:rPr>
        <w:t>'</w:t>
      </w:r>
      <w:r w:rsidRPr="000A5E9A">
        <w:rPr>
          <w:rFonts w:cs="David"/>
          <w:b/>
          <w:bCs/>
          <w:szCs w:val="28"/>
          <w:rtl/>
        </w:rPr>
        <w:t>דבר מה נוסף</w:t>
      </w:r>
      <w:r w:rsidRPr="000A5E9A">
        <w:rPr>
          <w:rFonts w:cs="David" w:hint="cs"/>
          <w:b/>
          <w:bCs/>
          <w:szCs w:val="28"/>
          <w:rtl/>
        </w:rPr>
        <w:t>'</w:t>
      </w:r>
      <w:r w:rsidRPr="000A5E9A">
        <w:rPr>
          <w:rFonts w:cs="David"/>
          <w:b/>
          <w:bCs/>
          <w:szCs w:val="28"/>
          <w:rtl/>
        </w:rPr>
        <w:t xml:space="preserve"> באה במסגרת מבחן חיצוני להודיית נאשם </w:t>
      </w:r>
      <w:r w:rsidRPr="000A5E9A">
        <w:rPr>
          <w:rFonts w:cs="David" w:hint="cs"/>
          <w:b/>
          <w:bCs/>
          <w:szCs w:val="28"/>
          <w:rtl/>
        </w:rPr>
        <w:t>...</w:t>
      </w:r>
      <w:r w:rsidRPr="000A5E9A">
        <w:rPr>
          <w:rFonts w:cs="David"/>
          <w:b/>
          <w:bCs/>
          <w:szCs w:val="28"/>
          <w:rtl/>
        </w:rPr>
        <w:t xml:space="preserve"> </w:t>
      </w:r>
      <w:r w:rsidRPr="000A5E9A">
        <w:rPr>
          <w:rFonts w:cs="David"/>
          <w:szCs w:val="28"/>
          <w:rtl/>
        </w:rPr>
        <w:t>ועל כן היא אף אינה נבחנת לבדה, אלא ביחס למשקל שניתן לתוכן ההודיה</w:t>
      </w:r>
      <w:r w:rsidRPr="000A5E9A">
        <w:rPr>
          <w:rFonts w:cs="David" w:hint="cs"/>
          <w:szCs w:val="28"/>
          <w:rtl/>
        </w:rPr>
        <w:t>...</w:t>
      </w:r>
      <w:r w:rsidRPr="000A5E9A">
        <w:rPr>
          <w:rFonts w:cs="David"/>
          <w:szCs w:val="28"/>
          <w:rtl/>
        </w:rPr>
        <w:t xml:space="preserve"> </w:t>
      </w:r>
      <w:r w:rsidRPr="008532FC">
        <w:rPr>
          <w:rFonts w:cs="David"/>
          <w:sz w:val="28"/>
          <w:szCs w:val="28"/>
          <w:rtl/>
        </w:rPr>
        <w:t>מקום</w:t>
      </w:r>
      <w:r w:rsidRPr="000A5E9A">
        <w:rPr>
          <w:rFonts w:cs="David"/>
          <w:szCs w:val="28"/>
          <w:rtl/>
        </w:rPr>
        <w:t xml:space="preserve"> שהגיונה הפנימי של ההודיה רב וניתן לו משקל גדול, קטן כובד משקלה הנדרש של דרישת </w:t>
      </w:r>
      <w:r w:rsidRPr="000A5E9A">
        <w:rPr>
          <w:rFonts w:cs="David" w:hint="cs"/>
          <w:szCs w:val="28"/>
          <w:rtl/>
        </w:rPr>
        <w:t>'</w:t>
      </w:r>
      <w:r w:rsidRPr="000A5E9A">
        <w:rPr>
          <w:rFonts w:cs="David"/>
          <w:szCs w:val="28"/>
          <w:rtl/>
        </w:rPr>
        <w:t>דבר מה נוסף</w:t>
      </w:r>
      <w:r w:rsidRPr="000A5E9A">
        <w:rPr>
          <w:rFonts w:cs="David" w:hint="cs"/>
          <w:szCs w:val="28"/>
          <w:rtl/>
        </w:rPr>
        <w:t>'</w:t>
      </w:r>
      <w:r w:rsidRPr="00305FB7">
        <w:rPr>
          <w:rFonts w:cs="David"/>
          <w:szCs w:val="28"/>
          <w:rtl/>
        </w:rPr>
        <w:t>"</w:t>
      </w:r>
      <w:r w:rsidRPr="000A5E9A">
        <w:rPr>
          <w:rFonts w:cs="David" w:hint="cs"/>
          <w:b/>
          <w:bCs/>
          <w:szCs w:val="28"/>
          <w:rtl/>
        </w:rPr>
        <w:t xml:space="preserve"> </w:t>
      </w:r>
      <w:r w:rsidRPr="008532FC">
        <w:rPr>
          <w:rFonts w:cs="David" w:hint="cs"/>
          <w:szCs w:val="28"/>
          <w:rtl/>
        </w:rPr>
        <w:t>(</w:t>
      </w:r>
      <w:r w:rsidRPr="008532FC">
        <w:rPr>
          <w:rFonts w:cs="David"/>
          <w:szCs w:val="28"/>
          <w:rtl/>
        </w:rPr>
        <w:t xml:space="preserve">ע"פ 3370/09 </w:t>
      </w:r>
      <w:r w:rsidRPr="008532FC">
        <w:rPr>
          <w:rFonts w:cs="David"/>
          <w:b/>
          <w:bCs/>
          <w:szCs w:val="28"/>
          <w:rtl/>
        </w:rPr>
        <w:t>אלעמור נ' מדינת ישראל</w:t>
      </w:r>
      <w:r w:rsidRPr="008532FC">
        <w:rPr>
          <w:rFonts w:cs="David" w:hint="cs"/>
          <w:szCs w:val="28"/>
          <w:rtl/>
        </w:rPr>
        <w:t>, פסקאות י'-יא' (2011), הדגשות הוספו</w:t>
      </w:r>
      <w:r w:rsidRPr="004669E9">
        <w:rPr>
          <w:rFonts w:cs="David"/>
          <w:szCs w:val="28"/>
          <w:rtl/>
        </w:rPr>
        <w:t>)</w:t>
      </w:r>
      <w:r w:rsidR="009A5B6C" w:rsidRPr="004669E9">
        <w:rPr>
          <w:rFonts w:cs="David" w:hint="cs"/>
          <w:szCs w:val="28"/>
          <w:rtl/>
        </w:rPr>
        <w:t>.</w:t>
      </w:r>
    </w:p>
    <w:p w14:paraId="52E1DEA6" w14:textId="77777777" w:rsidR="000A5E9A" w:rsidRPr="000A5E9A" w:rsidRDefault="000A5E9A" w:rsidP="000A5E9A">
      <w:pPr>
        <w:spacing w:line="360" w:lineRule="auto"/>
        <w:ind w:left="357"/>
        <w:jc w:val="both"/>
        <w:rPr>
          <w:rFonts w:cs="David"/>
        </w:rPr>
      </w:pPr>
    </w:p>
    <w:p w14:paraId="3E27647D" w14:textId="77777777" w:rsidR="000A5E9A" w:rsidRPr="008532FC" w:rsidRDefault="008532FC" w:rsidP="00AD64FB">
      <w:pPr>
        <w:numPr>
          <w:ilvl w:val="0"/>
          <w:numId w:val="4"/>
        </w:numPr>
        <w:tabs>
          <w:tab w:val="left" w:pos="368"/>
        </w:tabs>
        <w:spacing w:line="360" w:lineRule="auto"/>
        <w:ind w:left="-58" w:firstLine="0"/>
        <w:jc w:val="both"/>
        <w:rPr>
          <w:rFonts w:cs="David"/>
        </w:rPr>
      </w:pPr>
      <w:r>
        <w:rPr>
          <w:rFonts w:cs="David" w:hint="cs"/>
          <w:szCs w:val="28"/>
          <w:rtl/>
        </w:rPr>
        <w:t xml:space="preserve">עולה, אפוא, כי </w:t>
      </w:r>
      <w:r w:rsidR="000A5E9A" w:rsidRPr="008532FC">
        <w:rPr>
          <w:rFonts w:cs="David" w:hint="cs"/>
          <w:szCs w:val="28"/>
          <w:rtl/>
        </w:rPr>
        <w:t>על הראיה המאמתת ל</w:t>
      </w:r>
      <w:r w:rsidR="00AD64FB">
        <w:rPr>
          <w:rFonts w:cs="David" w:hint="cs"/>
          <w:szCs w:val="28"/>
          <w:rtl/>
        </w:rPr>
        <w:t xml:space="preserve">חזק את </w:t>
      </w:r>
      <w:r w:rsidR="000A5E9A" w:rsidRPr="008532FC">
        <w:rPr>
          <w:rFonts w:cs="David" w:hint="cs"/>
          <w:szCs w:val="28"/>
          <w:rtl/>
        </w:rPr>
        <w:t>אמינות ההודיה</w:t>
      </w:r>
      <w:r w:rsidR="00AD64FB">
        <w:rPr>
          <w:rFonts w:cs="David" w:hint="cs"/>
          <w:szCs w:val="28"/>
          <w:rtl/>
        </w:rPr>
        <w:t>.</w:t>
      </w:r>
      <w:r w:rsidR="00D57727">
        <w:rPr>
          <w:rFonts w:cs="David" w:hint="cs"/>
          <w:szCs w:val="28"/>
          <w:rtl/>
        </w:rPr>
        <w:t xml:space="preserve"> ברוח תכלית זו</w:t>
      </w:r>
      <w:r w:rsidR="00AD64FB">
        <w:rPr>
          <w:rFonts w:cs="David" w:hint="cs"/>
          <w:szCs w:val="28"/>
          <w:rtl/>
        </w:rPr>
        <w:t>,</w:t>
      </w:r>
      <w:r>
        <w:rPr>
          <w:rFonts w:cs="David" w:hint="cs"/>
          <w:szCs w:val="28"/>
          <w:rtl/>
        </w:rPr>
        <w:t xml:space="preserve"> בנוגע ל</w:t>
      </w:r>
      <w:r w:rsidR="000A5E9A" w:rsidRPr="008532FC">
        <w:rPr>
          <w:rFonts w:cs="David" w:hint="cs"/>
          <w:szCs w:val="28"/>
          <w:rtl/>
        </w:rPr>
        <w:t>פרטים אשר עשויים לשמש כראיה מסוג דבר מה להודיה</w:t>
      </w:r>
      <w:r>
        <w:rPr>
          <w:rFonts w:cs="David" w:hint="cs"/>
          <w:szCs w:val="28"/>
          <w:rtl/>
        </w:rPr>
        <w:t xml:space="preserve">, </w:t>
      </w:r>
      <w:r w:rsidR="00AD64FB">
        <w:rPr>
          <w:rFonts w:cs="David" w:hint="cs"/>
          <w:szCs w:val="28"/>
          <w:rtl/>
        </w:rPr>
        <w:t xml:space="preserve">נפסק, כי </w:t>
      </w:r>
      <w:r>
        <w:rPr>
          <w:rFonts w:cs="David" w:hint="cs"/>
          <w:szCs w:val="28"/>
          <w:rtl/>
        </w:rPr>
        <w:t xml:space="preserve">ניתן להפנות אל </w:t>
      </w:r>
      <w:r w:rsidR="000A5E9A" w:rsidRPr="008532FC">
        <w:rPr>
          <w:rFonts w:cs="David" w:hint="cs"/>
          <w:szCs w:val="28"/>
          <w:rtl/>
        </w:rPr>
        <w:t xml:space="preserve">פרטים מוכמנים; </w:t>
      </w:r>
      <w:r w:rsidR="00BC696A">
        <w:rPr>
          <w:rFonts w:cs="David" w:hint="cs"/>
          <w:szCs w:val="28"/>
          <w:rtl/>
        </w:rPr>
        <w:t xml:space="preserve">אל </w:t>
      </w:r>
      <w:r w:rsidR="00F50594">
        <w:rPr>
          <w:rFonts w:cs="David" w:hint="cs"/>
          <w:szCs w:val="28"/>
          <w:rtl/>
        </w:rPr>
        <w:t xml:space="preserve">פרטים המלמדים על </w:t>
      </w:r>
      <w:r w:rsidR="000A5E9A" w:rsidRPr="008532FC">
        <w:rPr>
          <w:rFonts w:cs="David" w:hint="cs"/>
          <w:szCs w:val="28"/>
          <w:rtl/>
        </w:rPr>
        <w:t>ההזדמנות</w:t>
      </w:r>
      <w:r w:rsidR="00F50594">
        <w:rPr>
          <w:rFonts w:cs="David" w:hint="cs"/>
          <w:szCs w:val="28"/>
          <w:rtl/>
        </w:rPr>
        <w:t xml:space="preserve"> לביצוע העבירה</w:t>
      </w:r>
      <w:r w:rsidR="000A5E9A" w:rsidRPr="008532FC">
        <w:rPr>
          <w:rFonts w:cs="David" w:hint="cs"/>
          <w:szCs w:val="28"/>
          <w:rtl/>
        </w:rPr>
        <w:t xml:space="preserve">; </w:t>
      </w:r>
      <w:r w:rsidR="00F50594">
        <w:rPr>
          <w:rFonts w:cs="David" w:hint="cs"/>
          <w:szCs w:val="28"/>
          <w:rtl/>
        </w:rPr>
        <w:t xml:space="preserve">פרטים המלמדים על </w:t>
      </w:r>
      <w:r w:rsidR="000A5E9A" w:rsidRPr="008532FC">
        <w:rPr>
          <w:rFonts w:cs="David" w:hint="cs"/>
          <w:szCs w:val="28"/>
          <w:rtl/>
        </w:rPr>
        <w:t xml:space="preserve">השתלבות </w:t>
      </w:r>
      <w:r w:rsidR="00F50594">
        <w:rPr>
          <w:rFonts w:cs="David" w:hint="cs"/>
          <w:szCs w:val="28"/>
          <w:rtl/>
        </w:rPr>
        <w:t xml:space="preserve">התכנים שבהודיה </w:t>
      </w:r>
      <w:r w:rsidR="000A5E9A" w:rsidRPr="008532FC">
        <w:rPr>
          <w:rFonts w:cs="David" w:hint="cs"/>
          <w:szCs w:val="28"/>
          <w:rtl/>
        </w:rPr>
        <w:t>במציאות</w:t>
      </w:r>
      <w:r w:rsidR="00F50594">
        <w:rPr>
          <w:rFonts w:cs="David" w:hint="cs"/>
          <w:szCs w:val="28"/>
          <w:rtl/>
        </w:rPr>
        <w:t>;</w:t>
      </w:r>
      <w:r w:rsidR="000A5E9A" w:rsidRPr="008532FC">
        <w:rPr>
          <w:rFonts w:cs="David" w:hint="cs"/>
          <w:szCs w:val="28"/>
          <w:rtl/>
        </w:rPr>
        <w:t xml:space="preserve"> </w:t>
      </w:r>
      <w:r w:rsidR="00F50594">
        <w:rPr>
          <w:rFonts w:cs="David" w:hint="cs"/>
          <w:szCs w:val="28"/>
          <w:rtl/>
        </w:rPr>
        <w:t xml:space="preserve">ואף פרטים המאמתים את המניע לביצוע העבירה, כפי שתואר בהודיה </w:t>
      </w:r>
      <w:r w:rsidR="000A5E9A" w:rsidRPr="008532FC">
        <w:rPr>
          <w:rFonts w:cs="David" w:hint="cs"/>
          <w:szCs w:val="28"/>
          <w:rtl/>
        </w:rPr>
        <w:t xml:space="preserve">(ראו: </w:t>
      </w:r>
      <w:r w:rsidRPr="008532FC">
        <w:rPr>
          <w:rFonts w:cs="David" w:hint="cs"/>
          <w:szCs w:val="28"/>
          <w:rtl/>
        </w:rPr>
        <w:t xml:space="preserve">ע"פ 531/88 </w:t>
      </w:r>
      <w:r w:rsidRPr="008532FC">
        <w:rPr>
          <w:rFonts w:cs="David" w:hint="cs"/>
          <w:b/>
          <w:bCs/>
          <w:szCs w:val="28"/>
          <w:rtl/>
        </w:rPr>
        <w:t>רדעי נ' מדינת ישראל</w:t>
      </w:r>
      <w:r w:rsidR="004669E9">
        <w:rPr>
          <w:rFonts w:cs="David" w:hint="cs"/>
          <w:szCs w:val="28"/>
          <w:rtl/>
        </w:rPr>
        <w:t>, פ"ד מד (4), 559 (1990</w:t>
      </w:r>
      <w:r w:rsidRPr="008532FC">
        <w:rPr>
          <w:rFonts w:cs="David" w:hint="cs"/>
          <w:szCs w:val="28"/>
          <w:rtl/>
        </w:rPr>
        <w:t>)</w:t>
      </w:r>
      <w:r>
        <w:rPr>
          <w:rFonts w:cs="David" w:hint="cs"/>
          <w:szCs w:val="28"/>
          <w:rtl/>
        </w:rPr>
        <w:t xml:space="preserve">; ע"מ/36/20 </w:t>
      </w:r>
      <w:r w:rsidRPr="008532FC">
        <w:rPr>
          <w:rFonts w:cs="David" w:hint="cs"/>
          <w:b/>
          <w:bCs/>
          <w:szCs w:val="28"/>
          <w:rtl/>
        </w:rPr>
        <w:t>רס"ל אלמושנינו נ' התובע הצבאי הראשי</w:t>
      </w:r>
      <w:r>
        <w:rPr>
          <w:rFonts w:cs="David" w:hint="cs"/>
          <w:szCs w:val="28"/>
          <w:rtl/>
        </w:rPr>
        <w:t xml:space="preserve"> (2020); </w:t>
      </w:r>
      <w:r w:rsidR="000A5E9A" w:rsidRPr="00722A5D">
        <w:rPr>
          <w:rFonts w:cs="David" w:hint="cs"/>
          <w:szCs w:val="28"/>
          <w:rtl/>
        </w:rPr>
        <w:t>ע"מ/127/16</w:t>
      </w:r>
      <w:r w:rsidR="000A5E9A" w:rsidRPr="008532FC">
        <w:rPr>
          <w:rFonts w:cs="David" w:hint="cs"/>
          <w:b/>
          <w:bCs/>
          <w:szCs w:val="28"/>
          <w:rtl/>
        </w:rPr>
        <w:t xml:space="preserve"> התובע הצבאי הראשי נ' רב"ט גורלנד</w:t>
      </w:r>
      <w:r w:rsidR="000A5E9A" w:rsidRPr="008532FC">
        <w:rPr>
          <w:rFonts w:cs="David" w:hint="cs"/>
          <w:szCs w:val="28"/>
          <w:rtl/>
        </w:rPr>
        <w:t xml:space="preserve"> (2016)</w:t>
      </w:r>
      <w:r>
        <w:rPr>
          <w:rFonts w:cs="David" w:hint="cs"/>
          <w:szCs w:val="28"/>
          <w:rtl/>
        </w:rPr>
        <w:t>).</w:t>
      </w:r>
      <w:r w:rsidR="000A5E9A" w:rsidRPr="008532FC">
        <w:rPr>
          <w:rFonts w:cs="David" w:hint="cs"/>
          <w:szCs w:val="28"/>
          <w:rtl/>
        </w:rPr>
        <w:t xml:space="preserve"> </w:t>
      </w:r>
    </w:p>
    <w:p w14:paraId="0846F59E" w14:textId="77777777" w:rsidR="00D57727" w:rsidRPr="009603BF" w:rsidRDefault="00410DCE" w:rsidP="006755A5">
      <w:pPr>
        <w:numPr>
          <w:ilvl w:val="0"/>
          <w:numId w:val="4"/>
        </w:numPr>
        <w:tabs>
          <w:tab w:val="left" w:pos="368"/>
        </w:tabs>
        <w:spacing w:line="360" w:lineRule="auto"/>
        <w:ind w:left="-58" w:firstLine="0"/>
        <w:jc w:val="both"/>
        <w:rPr>
          <w:rFonts w:cs="David"/>
          <w:szCs w:val="28"/>
        </w:rPr>
      </w:pPr>
      <w:r w:rsidRPr="009603BF">
        <w:rPr>
          <w:rFonts w:cs="David" w:hint="cs"/>
          <w:szCs w:val="28"/>
          <w:rtl/>
        </w:rPr>
        <w:t>תיעוד של מסרונים מתוך טלפון נייד</w:t>
      </w:r>
      <w:r w:rsidR="00A359A9" w:rsidRPr="009603BF">
        <w:rPr>
          <w:rFonts w:cs="David" w:hint="cs"/>
          <w:szCs w:val="28"/>
          <w:rtl/>
        </w:rPr>
        <w:t xml:space="preserve"> של נאשם</w:t>
      </w:r>
      <w:r w:rsidRPr="009603BF">
        <w:rPr>
          <w:rFonts w:cs="David" w:hint="cs"/>
          <w:szCs w:val="28"/>
          <w:rtl/>
        </w:rPr>
        <w:t xml:space="preserve">, </w:t>
      </w:r>
      <w:r w:rsidRPr="009603BF">
        <w:rPr>
          <w:rFonts w:cs="David" w:hint="cs"/>
          <w:b/>
          <w:bCs/>
          <w:szCs w:val="28"/>
          <w:rtl/>
        </w:rPr>
        <w:t>עשוי</w:t>
      </w:r>
      <w:r w:rsidRPr="009603BF">
        <w:rPr>
          <w:rFonts w:cs="David" w:hint="cs"/>
          <w:szCs w:val="28"/>
          <w:rtl/>
        </w:rPr>
        <w:t xml:space="preserve"> לענות </w:t>
      </w:r>
      <w:r w:rsidR="009603BF">
        <w:rPr>
          <w:rFonts w:cs="David" w:hint="cs"/>
          <w:szCs w:val="28"/>
          <w:rtl/>
        </w:rPr>
        <w:t xml:space="preserve">על </w:t>
      </w:r>
      <w:r w:rsidRPr="009603BF">
        <w:rPr>
          <w:rFonts w:cs="David" w:hint="cs"/>
          <w:szCs w:val="28"/>
          <w:rtl/>
        </w:rPr>
        <w:t xml:space="preserve">הדרישה </w:t>
      </w:r>
      <w:r w:rsidR="009603BF">
        <w:rPr>
          <w:rFonts w:cs="David" w:hint="cs"/>
          <w:szCs w:val="28"/>
          <w:rtl/>
        </w:rPr>
        <w:t>ל</w:t>
      </w:r>
      <w:r w:rsidR="00A359A9" w:rsidRPr="009603BF">
        <w:rPr>
          <w:rFonts w:cs="David" w:hint="cs"/>
          <w:szCs w:val="28"/>
          <w:rtl/>
        </w:rPr>
        <w:t xml:space="preserve">אימות ועשוי להוות הנדבך החסר להוכחת אמינות ההודיה </w:t>
      </w:r>
      <w:r w:rsidR="009603BF">
        <w:rPr>
          <w:rFonts w:cs="David" w:hint="cs"/>
          <w:szCs w:val="28"/>
          <w:rtl/>
        </w:rPr>
        <w:t xml:space="preserve">שנגבתה בחקירה </w:t>
      </w:r>
      <w:r w:rsidR="00A359A9" w:rsidRPr="009603BF">
        <w:rPr>
          <w:rFonts w:cs="David" w:hint="cs"/>
          <w:szCs w:val="28"/>
          <w:rtl/>
        </w:rPr>
        <w:t xml:space="preserve">(ראו והשוו: בש"פ 7689/15 </w:t>
      </w:r>
      <w:r w:rsidR="00A359A9" w:rsidRPr="009603BF">
        <w:rPr>
          <w:rFonts w:cs="David" w:hint="cs"/>
          <w:b/>
          <w:bCs/>
          <w:szCs w:val="28"/>
          <w:rtl/>
        </w:rPr>
        <w:t>מדינת ישראל נ' אבו צבייח</w:t>
      </w:r>
      <w:r w:rsidR="00A359A9" w:rsidRPr="009603BF">
        <w:rPr>
          <w:rFonts w:cs="David" w:hint="cs"/>
          <w:szCs w:val="28"/>
          <w:rtl/>
        </w:rPr>
        <w:t xml:space="preserve"> (</w:t>
      </w:r>
      <w:r w:rsidR="00DE18BF">
        <w:rPr>
          <w:rFonts w:cs="David" w:hint="cs"/>
          <w:szCs w:val="28"/>
          <w:rtl/>
        </w:rPr>
        <w:t xml:space="preserve">טרם פורסם, </w:t>
      </w:r>
      <w:r w:rsidR="00A359A9" w:rsidRPr="009603BF">
        <w:rPr>
          <w:rFonts w:cs="David" w:hint="cs"/>
          <w:szCs w:val="28"/>
          <w:rtl/>
        </w:rPr>
        <w:t xml:space="preserve">13.11.2015); </w:t>
      </w:r>
      <w:r w:rsidR="00077097" w:rsidRPr="009603BF">
        <w:rPr>
          <w:rFonts w:cs="David" w:hint="cs"/>
          <w:szCs w:val="28"/>
          <w:rtl/>
        </w:rPr>
        <w:t xml:space="preserve">ע/79/16 </w:t>
      </w:r>
      <w:r w:rsidR="00077097" w:rsidRPr="009603BF">
        <w:rPr>
          <w:rFonts w:cs="David" w:hint="cs"/>
          <w:b/>
          <w:bCs/>
          <w:szCs w:val="28"/>
          <w:rtl/>
        </w:rPr>
        <w:t>טור' פנחס נ' התובע הצבאי הראשי</w:t>
      </w:r>
      <w:r w:rsidR="00077097" w:rsidRPr="009603BF">
        <w:rPr>
          <w:rFonts w:cs="David" w:hint="cs"/>
          <w:szCs w:val="28"/>
          <w:rtl/>
        </w:rPr>
        <w:t xml:space="preserve"> (2017)</w:t>
      </w:r>
      <w:r w:rsidR="00B84DD7">
        <w:rPr>
          <w:rFonts w:cs="David" w:hint="cs"/>
          <w:szCs w:val="28"/>
          <w:rtl/>
        </w:rPr>
        <w:t>;</w:t>
      </w:r>
      <w:r w:rsidR="00B84DD7" w:rsidRPr="00B84DD7">
        <w:rPr>
          <w:rFonts w:cs="David" w:hint="cs"/>
          <w:sz w:val="28"/>
          <w:szCs w:val="28"/>
          <w:rtl/>
        </w:rPr>
        <w:t xml:space="preserve"> ע</w:t>
      </w:r>
      <w:r w:rsidR="006755A5">
        <w:rPr>
          <w:rFonts w:cs="David" w:hint="cs"/>
          <w:sz w:val="28"/>
          <w:szCs w:val="28"/>
          <w:rtl/>
        </w:rPr>
        <w:t xml:space="preserve">ניין </w:t>
      </w:r>
      <w:r w:rsidR="00B84DD7" w:rsidRPr="00B84DD7">
        <w:rPr>
          <w:rFonts w:cs="David" w:hint="cs"/>
          <w:b/>
          <w:bCs/>
          <w:sz w:val="28"/>
          <w:szCs w:val="28"/>
          <w:rtl/>
        </w:rPr>
        <w:t xml:space="preserve">פלח </w:t>
      </w:r>
      <w:r w:rsidR="006755A5">
        <w:rPr>
          <w:rFonts w:cs="David" w:hint="cs"/>
          <w:sz w:val="28"/>
          <w:szCs w:val="28"/>
          <w:rtl/>
        </w:rPr>
        <w:t>לעיל</w:t>
      </w:r>
      <w:r w:rsidR="00A359A9" w:rsidRPr="00B84DD7">
        <w:rPr>
          <w:rFonts w:cs="David" w:hint="cs"/>
          <w:sz w:val="28"/>
          <w:szCs w:val="28"/>
          <w:rtl/>
        </w:rPr>
        <w:t>).</w:t>
      </w:r>
      <w:r w:rsidR="00077097" w:rsidRPr="009603BF">
        <w:rPr>
          <w:rFonts w:cs="David" w:hint="cs"/>
          <w:sz w:val="28"/>
          <w:szCs w:val="28"/>
          <w:rtl/>
        </w:rPr>
        <w:t xml:space="preserve"> ככלל, מדובר בממצאים אשר </w:t>
      </w:r>
      <w:r w:rsidR="00077097" w:rsidRPr="009603BF">
        <w:rPr>
          <w:rFonts w:cs="David" w:hint="cs"/>
          <w:sz w:val="28"/>
          <w:szCs w:val="28"/>
          <w:rtl/>
        </w:rPr>
        <w:lastRenderedPageBreak/>
        <w:t xml:space="preserve">קיימים בפני עצמם </w:t>
      </w:r>
      <w:r w:rsidR="00077097" w:rsidRPr="00AD64FB">
        <w:rPr>
          <w:rFonts w:cs="David" w:hint="cs"/>
          <w:b/>
          <w:bCs/>
          <w:sz w:val="28"/>
          <w:szCs w:val="28"/>
          <w:rtl/>
        </w:rPr>
        <w:t>ומנותקים מן החקירה</w:t>
      </w:r>
      <w:r w:rsidR="00077097" w:rsidRPr="009603BF">
        <w:rPr>
          <w:rFonts w:cs="David" w:hint="cs"/>
          <w:sz w:val="28"/>
          <w:szCs w:val="28"/>
          <w:rtl/>
        </w:rPr>
        <w:t>, שבמסגרתה נגבית ההודיה, בזמן ובהקשר. ודוקו: מקור ה</w:t>
      </w:r>
      <w:r w:rsidR="00A11377" w:rsidRPr="009603BF">
        <w:rPr>
          <w:rFonts w:cs="David" w:hint="cs"/>
          <w:sz w:val="28"/>
          <w:szCs w:val="28"/>
          <w:rtl/>
        </w:rPr>
        <w:t xml:space="preserve">ראיה של </w:t>
      </w:r>
      <w:r w:rsidR="00077097" w:rsidRPr="009603BF">
        <w:rPr>
          <w:rFonts w:cs="David" w:hint="cs"/>
          <w:sz w:val="28"/>
          <w:szCs w:val="28"/>
          <w:rtl/>
        </w:rPr>
        <w:t xml:space="preserve">"דבר מה" אינו, </w:t>
      </w:r>
      <w:r w:rsidR="00077097" w:rsidRPr="009603BF">
        <w:rPr>
          <w:rFonts w:cs="David" w:hint="cs"/>
          <w:b/>
          <w:bCs/>
          <w:sz w:val="28"/>
          <w:szCs w:val="28"/>
          <w:rtl/>
        </w:rPr>
        <w:t>בהכרח</w:t>
      </w:r>
      <w:r w:rsidR="00077097" w:rsidRPr="009603BF">
        <w:rPr>
          <w:rFonts w:cs="David" w:hint="cs"/>
          <w:sz w:val="28"/>
          <w:szCs w:val="28"/>
          <w:rtl/>
        </w:rPr>
        <w:t>, חיצוני למו</w:t>
      </w:r>
      <w:r w:rsidR="00077097" w:rsidRPr="009603BF">
        <w:rPr>
          <w:rFonts w:cs="David"/>
          <w:sz w:val="28"/>
          <w:szCs w:val="28"/>
          <w:rtl/>
        </w:rPr>
        <w:t>דֶה</w:t>
      </w:r>
      <w:r w:rsidR="00077097" w:rsidRPr="009603BF">
        <w:rPr>
          <w:rFonts w:cs="David" w:hint="cs"/>
          <w:sz w:val="28"/>
          <w:szCs w:val="28"/>
          <w:rtl/>
        </w:rPr>
        <w:t xml:space="preserve">, להבדיל </w:t>
      </w:r>
      <w:r w:rsidR="00077097" w:rsidRPr="009603BF">
        <w:rPr>
          <w:rFonts w:cs="David"/>
          <w:sz w:val="28"/>
          <w:szCs w:val="28"/>
          <w:rtl/>
        </w:rPr>
        <w:t xml:space="preserve"> </w:t>
      </w:r>
      <w:r w:rsidR="00077097" w:rsidRPr="009603BF">
        <w:rPr>
          <w:rFonts w:cs="David" w:hint="cs"/>
          <w:sz w:val="28"/>
          <w:szCs w:val="28"/>
          <w:rtl/>
        </w:rPr>
        <w:t xml:space="preserve">מחיצוני </w:t>
      </w:r>
      <w:r w:rsidR="00077097" w:rsidRPr="009603BF">
        <w:rPr>
          <w:rFonts w:cs="David"/>
          <w:sz w:val="28"/>
          <w:szCs w:val="28"/>
          <w:rtl/>
        </w:rPr>
        <w:t>להוד</w:t>
      </w:r>
      <w:r w:rsidR="00077097" w:rsidRPr="009603BF">
        <w:rPr>
          <w:rFonts w:cs="David" w:hint="cs"/>
          <w:sz w:val="28"/>
          <w:szCs w:val="28"/>
          <w:rtl/>
        </w:rPr>
        <w:t xml:space="preserve">יה (ראו עניין </w:t>
      </w:r>
      <w:r w:rsidR="00077097" w:rsidRPr="009603BF">
        <w:rPr>
          <w:rFonts w:cs="David" w:hint="cs"/>
          <w:b/>
          <w:bCs/>
          <w:sz w:val="28"/>
          <w:szCs w:val="28"/>
          <w:rtl/>
        </w:rPr>
        <w:t xml:space="preserve">סטקלר </w:t>
      </w:r>
      <w:r w:rsidR="00077097" w:rsidRPr="009603BF">
        <w:rPr>
          <w:rFonts w:cs="David" w:hint="cs"/>
          <w:sz w:val="28"/>
          <w:szCs w:val="28"/>
          <w:rtl/>
        </w:rPr>
        <w:t>לעיל, פסקה 23</w:t>
      </w:r>
      <w:r w:rsidR="00322A2C">
        <w:rPr>
          <w:rFonts w:cs="David" w:hint="cs"/>
          <w:sz w:val="28"/>
          <w:szCs w:val="28"/>
          <w:rtl/>
        </w:rPr>
        <w:t xml:space="preserve"> וראו גם פסקה 30 לפסק הדין, ביחס לשחזור </w:t>
      </w:r>
      <w:r w:rsidR="009B4B05">
        <w:rPr>
          <w:rFonts w:cs="David" w:hint="cs"/>
          <w:sz w:val="28"/>
          <w:szCs w:val="28"/>
          <w:rtl/>
        </w:rPr>
        <w:t xml:space="preserve">שערך נאשם, </w:t>
      </w:r>
      <w:r w:rsidR="006755A5">
        <w:rPr>
          <w:rFonts w:cs="David" w:hint="cs"/>
          <w:sz w:val="28"/>
          <w:szCs w:val="28"/>
          <w:rtl/>
        </w:rPr>
        <w:t>כ</w:t>
      </w:r>
      <w:r w:rsidR="00322A2C">
        <w:rPr>
          <w:rFonts w:cs="David" w:hint="cs"/>
          <w:sz w:val="28"/>
          <w:szCs w:val="28"/>
          <w:rtl/>
        </w:rPr>
        <w:t>דבר מה נוסף להודי</w:t>
      </w:r>
      <w:r w:rsidR="009B4B05">
        <w:rPr>
          <w:rFonts w:cs="David" w:hint="cs"/>
          <w:sz w:val="28"/>
          <w:szCs w:val="28"/>
          <w:rtl/>
        </w:rPr>
        <w:t>יתו</w:t>
      </w:r>
      <w:r w:rsidR="00077097" w:rsidRPr="009603BF">
        <w:rPr>
          <w:rFonts w:cs="David" w:hint="cs"/>
          <w:sz w:val="28"/>
          <w:szCs w:val="28"/>
          <w:rtl/>
        </w:rPr>
        <w:t>)</w:t>
      </w:r>
      <w:r w:rsidR="00BC696A">
        <w:rPr>
          <w:rFonts w:cs="David" w:hint="cs"/>
          <w:sz w:val="28"/>
          <w:szCs w:val="28"/>
          <w:rtl/>
        </w:rPr>
        <w:t>.</w:t>
      </w:r>
      <w:r w:rsidR="00A11377" w:rsidRPr="009603BF">
        <w:rPr>
          <w:rFonts w:cs="David" w:hint="cs"/>
          <w:sz w:val="28"/>
          <w:szCs w:val="28"/>
          <w:rtl/>
        </w:rPr>
        <w:t xml:space="preserve"> </w:t>
      </w:r>
      <w:r w:rsidR="00BC696A">
        <w:rPr>
          <w:rFonts w:cs="David" w:hint="cs"/>
          <w:sz w:val="28"/>
          <w:szCs w:val="28"/>
          <w:rtl/>
        </w:rPr>
        <w:t xml:space="preserve">יש לבחון </w:t>
      </w:r>
      <w:r w:rsidR="00F97CF8" w:rsidRPr="009603BF">
        <w:rPr>
          <w:rFonts w:cs="David" w:hint="cs"/>
          <w:b/>
          <w:bCs/>
          <w:sz w:val="28"/>
          <w:szCs w:val="28"/>
          <w:rtl/>
        </w:rPr>
        <w:t>כל מקרה לגופו, בהתאם לנסיבות הקונקרטיות ובראי התמונה הכוללת</w:t>
      </w:r>
      <w:r w:rsidR="00F97CF8" w:rsidRPr="009603BF">
        <w:rPr>
          <w:rFonts w:cs="David" w:hint="cs"/>
          <w:sz w:val="28"/>
          <w:szCs w:val="28"/>
          <w:rtl/>
        </w:rPr>
        <w:t xml:space="preserve">. </w:t>
      </w:r>
      <w:r w:rsidR="00F97CF8" w:rsidRPr="009603BF">
        <w:rPr>
          <w:rFonts w:cs="David" w:hint="cs"/>
          <w:szCs w:val="28"/>
          <w:rtl/>
        </w:rPr>
        <w:t xml:space="preserve">כך, בעניין </w:t>
      </w:r>
      <w:r w:rsidR="00F97CF8" w:rsidRPr="009603BF">
        <w:rPr>
          <w:rFonts w:cs="David" w:hint="cs"/>
          <w:b/>
          <w:bCs/>
          <w:szCs w:val="28"/>
          <w:rtl/>
        </w:rPr>
        <w:t>אדריס</w:t>
      </w:r>
      <w:r w:rsidR="00F97CF8" w:rsidRPr="009603BF">
        <w:rPr>
          <w:rFonts w:cs="David" w:hint="cs"/>
          <w:szCs w:val="28"/>
          <w:rtl/>
        </w:rPr>
        <w:t xml:space="preserve"> הנ"ל</w:t>
      </w:r>
      <w:r w:rsidR="00A11377" w:rsidRPr="009603BF">
        <w:rPr>
          <w:rFonts w:cs="David" w:hint="cs"/>
          <w:szCs w:val="28"/>
          <w:rtl/>
        </w:rPr>
        <w:t xml:space="preserve">, </w:t>
      </w:r>
      <w:r w:rsidR="00A11377" w:rsidRPr="009603BF">
        <w:rPr>
          <w:rFonts w:cs="David" w:hint="cs"/>
          <w:b/>
          <w:bCs/>
          <w:szCs w:val="28"/>
          <w:rtl/>
        </w:rPr>
        <w:t>להבדיל</w:t>
      </w:r>
      <w:r w:rsidR="00A11377" w:rsidRPr="009603BF">
        <w:rPr>
          <w:rFonts w:cs="David" w:hint="cs"/>
          <w:szCs w:val="28"/>
          <w:rtl/>
        </w:rPr>
        <w:t xml:space="preserve"> מן המקרה שלפנינו, </w:t>
      </w:r>
      <w:r w:rsidR="006755A5">
        <w:rPr>
          <w:rFonts w:cs="David" w:hint="cs"/>
          <w:szCs w:val="28"/>
          <w:rtl/>
        </w:rPr>
        <w:t xml:space="preserve">נדחתה עמדת התביעה כי יש להרשיע את המערער על בסיס הודיה בחקירה ודברים שמסר לאחר. באותה פרשה </w:t>
      </w:r>
      <w:r w:rsidR="009603BF">
        <w:rPr>
          <w:rFonts w:cs="David" w:hint="cs"/>
          <w:szCs w:val="28"/>
          <w:rtl/>
        </w:rPr>
        <w:t xml:space="preserve">התקיימו נסיבות שהעידו על לחץ פנימי ניכר, שבו היה שרוי המערער בחקירתו (בשב"כ); המערער כפר </w:t>
      </w:r>
      <w:r w:rsidR="00BC696A">
        <w:rPr>
          <w:rFonts w:cs="David" w:hint="cs"/>
          <w:szCs w:val="28"/>
          <w:rtl/>
        </w:rPr>
        <w:t xml:space="preserve">בעקביות </w:t>
      </w:r>
      <w:r w:rsidR="009603BF">
        <w:rPr>
          <w:rFonts w:cs="David" w:hint="cs"/>
          <w:szCs w:val="28"/>
          <w:rtl/>
        </w:rPr>
        <w:t>באשמות שיוחסו לו</w:t>
      </w:r>
      <w:r w:rsidR="00BC696A">
        <w:rPr>
          <w:rFonts w:cs="David" w:hint="cs"/>
          <w:szCs w:val="28"/>
          <w:rtl/>
        </w:rPr>
        <w:t xml:space="preserve"> ועמד על חפותו </w:t>
      </w:r>
      <w:r w:rsidR="009603BF">
        <w:rPr>
          <w:rFonts w:cs="David" w:hint="cs"/>
          <w:szCs w:val="28"/>
          <w:rtl/>
        </w:rPr>
        <w:t xml:space="preserve">לכל אורך ההליך; </w:t>
      </w:r>
      <w:r w:rsidR="009B4B05">
        <w:rPr>
          <w:rFonts w:cs="David" w:hint="cs"/>
          <w:szCs w:val="28"/>
          <w:rtl/>
        </w:rPr>
        <w:t xml:space="preserve">המערער אף </w:t>
      </w:r>
      <w:r w:rsidR="009603BF">
        <w:rPr>
          <w:rFonts w:cs="David" w:hint="cs"/>
          <w:szCs w:val="28"/>
          <w:rtl/>
        </w:rPr>
        <w:t xml:space="preserve">טען, שוב ושוב, כי הדברים שמסר לחברו (הראייה המאמתת), נבעו מרצונו להתרברב לפניו. יתרה מזאת, פרטים שמסר בהודיה, נסתרו בעובדות חיצוניות ולפיכך, בראי התמונה </w:t>
      </w:r>
      <w:r w:rsidR="009603BF" w:rsidRPr="009603BF">
        <w:rPr>
          <w:rFonts w:cs="David" w:hint="cs"/>
          <w:b/>
          <w:bCs/>
          <w:szCs w:val="28"/>
          <w:rtl/>
        </w:rPr>
        <w:t>הקונקרטית, הכוללת</w:t>
      </w:r>
      <w:r w:rsidR="00AD64FB">
        <w:rPr>
          <w:rFonts w:cs="David" w:hint="cs"/>
          <w:szCs w:val="28"/>
          <w:rtl/>
        </w:rPr>
        <w:t xml:space="preserve"> באותו עניין</w:t>
      </w:r>
      <w:r w:rsidR="009603BF">
        <w:rPr>
          <w:rFonts w:cs="David" w:hint="cs"/>
          <w:szCs w:val="28"/>
          <w:rtl/>
        </w:rPr>
        <w:t xml:space="preserve"> </w:t>
      </w:r>
      <w:r w:rsidR="009603BF">
        <w:rPr>
          <w:rFonts w:cs="David"/>
          <w:szCs w:val="28"/>
          <w:rtl/>
        </w:rPr>
        <w:t>–</w:t>
      </w:r>
      <w:r w:rsidR="009603BF">
        <w:rPr>
          <w:rFonts w:cs="David" w:hint="cs"/>
          <w:szCs w:val="28"/>
          <w:rtl/>
        </w:rPr>
        <w:t xml:space="preserve"> לא היה מקום להרשיעו</w:t>
      </w:r>
      <w:r w:rsidR="00AD64FB">
        <w:rPr>
          <w:rFonts w:cs="David" w:hint="cs"/>
          <w:szCs w:val="28"/>
          <w:rtl/>
        </w:rPr>
        <w:t xml:space="preserve"> על פי ההודיה שמסר בחקירה</w:t>
      </w:r>
      <w:r w:rsidR="006755A5">
        <w:rPr>
          <w:rFonts w:cs="David" w:hint="cs"/>
          <w:szCs w:val="28"/>
          <w:rtl/>
        </w:rPr>
        <w:t xml:space="preserve"> והדברים שמסר לאחר</w:t>
      </w:r>
      <w:r w:rsidR="009603BF">
        <w:rPr>
          <w:rFonts w:cs="David" w:hint="cs"/>
          <w:szCs w:val="28"/>
          <w:rtl/>
        </w:rPr>
        <w:t xml:space="preserve">. </w:t>
      </w:r>
    </w:p>
    <w:p w14:paraId="25495896" w14:textId="77777777" w:rsidR="00223236" w:rsidRPr="00C77EE7" w:rsidRDefault="00AD64FB" w:rsidP="00020207">
      <w:pPr>
        <w:numPr>
          <w:ilvl w:val="0"/>
          <w:numId w:val="4"/>
        </w:numPr>
        <w:tabs>
          <w:tab w:val="left" w:pos="368"/>
        </w:tabs>
        <w:spacing w:line="360" w:lineRule="auto"/>
        <w:ind w:left="-58" w:firstLine="0"/>
        <w:jc w:val="both"/>
        <w:rPr>
          <w:rFonts w:cs="David"/>
        </w:rPr>
      </w:pPr>
      <w:r w:rsidRPr="00223236">
        <w:rPr>
          <w:rFonts w:cs="David" w:hint="cs"/>
          <w:szCs w:val="28"/>
          <w:rtl/>
        </w:rPr>
        <w:t>אשר למקרה דנן, המערער שלפנינו הוא קצין</w:t>
      </w:r>
      <w:r w:rsidR="00020207">
        <w:rPr>
          <w:rFonts w:cs="David" w:hint="cs"/>
          <w:szCs w:val="28"/>
          <w:rtl/>
        </w:rPr>
        <w:t>,</w:t>
      </w:r>
      <w:r w:rsidR="00C6581D" w:rsidRPr="00223236">
        <w:rPr>
          <w:rFonts w:cs="David" w:hint="cs"/>
          <w:szCs w:val="28"/>
          <w:rtl/>
        </w:rPr>
        <w:t xml:space="preserve"> </w:t>
      </w:r>
      <w:r w:rsidR="00020207">
        <w:rPr>
          <w:rFonts w:cs="David" w:hint="cs"/>
          <w:szCs w:val="28"/>
          <w:rtl/>
        </w:rPr>
        <w:t>ש</w:t>
      </w:r>
      <w:r w:rsidRPr="00223236">
        <w:rPr>
          <w:rFonts w:cs="David" w:hint="cs"/>
          <w:szCs w:val="28"/>
          <w:rtl/>
        </w:rPr>
        <w:t>בית הדין התרשם באופן בלתי אמצעי מהיות</w:t>
      </w:r>
      <w:r w:rsidR="009B4B05" w:rsidRPr="00223236">
        <w:rPr>
          <w:rFonts w:cs="David" w:hint="cs"/>
          <w:szCs w:val="28"/>
          <w:rtl/>
        </w:rPr>
        <w:t>ו</w:t>
      </w:r>
      <w:r w:rsidR="00C6581D" w:rsidRPr="00223236">
        <w:rPr>
          <w:rFonts w:cs="David" w:hint="cs"/>
          <w:szCs w:val="28"/>
          <w:rtl/>
        </w:rPr>
        <w:t xml:space="preserve"> </w:t>
      </w:r>
      <w:r w:rsidRPr="00223236">
        <w:rPr>
          <w:rFonts w:cs="David" w:hint="cs"/>
          <w:szCs w:val="28"/>
          <w:rtl/>
        </w:rPr>
        <w:t>"אדם נבון, משכיל ואינטליגנטי"</w:t>
      </w:r>
      <w:r w:rsidR="009B4B05" w:rsidRPr="00223236">
        <w:rPr>
          <w:rFonts w:cs="David" w:hint="cs"/>
          <w:szCs w:val="28"/>
          <w:rtl/>
        </w:rPr>
        <w:t>. נ</w:t>
      </w:r>
      <w:r w:rsidRPr="00223236">
        <w:rPr>
          <w:rFonts w:cs="David" w:hint="cs"/>
          <w:szCs w:val="28"/>
          <w:rtl/>
        </w:rPr>
        <w:t xml:space="preserve">קבע, כממצא שבעובדה, כי </w:t>
      </w:r>
      <w:r w:rsidR="00C6581D" w:rsidRPr="00223236">
        <w:rPr>
          <w:rFonts w:cs="David" w:hint="cs"/>
          <w:szCs w:val="28"/>
          <w:rtl/>
        </w:rPr>
        <w:t xml:space="preserve">כלל הזכויות הוסברו לו בפתח החקירה וכי המערער </w:t>
      </w:r>
      <w:r w:rsidRPr="00223236">
        <w:rPr>
          <w:rFonts w:cs="David" w:hint="cs"/>
          <w:szCs w:val="28"/>
          <w:rtl/>
        </w:rPr>
        <w:t xml:space="preserve">חתם על מסמכים </w:t>
      </w:r>
      <w:r w:rsidR="00C6581D" w:rsidRPr="00223236">
        <w:rPr>
          <w:rFonts w:cs="David" w:hint="cs"/>
          <w:szCs w:val="28"/>
          <w:rtl/>
        </w:rPr>
        <w:t>שונים במהלך החקירה, "</w:t>
      </w:r>
      <w:r w:rsidRPr="00223236">
        <w:rPr>
          <w:rFonts w:cs="David" w:hint="cs"/>
          <w:szCs w:val="28"/>
          <w:rtl/>
        </w:rPr>
        <w:t>רק לאחר שקרא אותם והבין את משמעותם</w:t>
      </w:r>
      <w:r w:rsidR="00C6581D" w:rsidRPr="00223236">
        <w:rPr>
          <w:rFonts w:cs="David" w:hint="cs"/>
          <w:szCs w:val="28"/>
          <w:rtl/>
        </w:rPr>
        <w:t xml:space="preserve">". </w:t>
      </w:r>
      <w:r w:rsidR="00223236">
        <w:rPr>
          <w:rFonts w:cs="David" w:hint="cs"/>
          <w:szCs w:val="28"/>
          <w:rtl/>
        </w:rPr>
        <w:t>כמו כן</w:t>
      </w:r>
      <w:r w:rsidR="00DD45CB" w:rsidRPr="00223236">
        <w:rPr>
          <w:rFonts w:cs="David" w:hint="cs"/>
          <w:szCs w:val="28"/>
          <w:rtl/>
        </w:rPr>
        <w:t xml:space="preserve">, בהמשך להתרשמות בית הדין המחוזי מן המערער והממצאים ביחס למהלך החקירה בעניינו, </w:t>
      </w:r>
      <w:r w:rsidR="00223236">
        <w:rPr>
          <w:rFonts w:cs="David" w:hint="cs"/>
          <w:szCs w:val="28"/>
          <w:rtl/>
        </w:rPr>
        <w:t xml:space="preserve">בואר, כמפורט לעיל, </w:t>
      </w:r>
      <w:r w:rsidR="00DD45CB" w:rsidRPr="00223236">
        <w:rPr>
          <w:rFonts w:cs="David" w:hint="cs"/>
          <w:szCs w:val="28"/>
          <w:rtl/>
        </w:rPr>
        <w:t>כי</w:t>
      </w:r>
      <w:r w:rsidR="00223236" w:rsidRPr="00223236">
        <w:rPr>
          <w:rFonts w:cs="David" w:hint="cs"/>
          <w:szCs w:val="28"/>
          <w:rtl/>
        </w:rPr>
        <w:t xml:space="preserve"> </w:t>
      </w:r>
      <w:r w:rsidR="00DD45CB" w:rsidRPr="00223236">
        <w:rPr>
          <w:rFonts w:cs="David" w:hint="cs"/>
          <w:sz w:val="28"/>
          <w:szCs w:val="28"/>
          <w:rtl/>
        </w:rPr>
        <w:t xml:space="preserve">"... פירוט הנסיבות בהן עשה הנאשם שימוש בסם מסוכן מסוג קנאביס, בשלוש הזדמנויות אזרחיות, מגלה כי מדובר בהודאה בעלת </w:t>
      </w:r>
      <w:r w:rsidR="00DD45CB" w:rsidRPr="00223236">
        <w:rPr>
          <w:rFonts w:ascii="Arial" w:eastAsia="Arial Unicode MS" w:hAnsi="Arial" w:cs="David" w:hint="cs"/>
          <w:sz w:val="28"/>
          <w:szCs w:val="28"/>
          <w:rtl/>
        </w:rPr>
        <w:t>סימני אמת, נוכח הגיונם של הדברים והשתלבותם זה בזה</w:t>
      </w:r>
      <w:r w:rsidR="00223236">
        <w:rPr>
          <w:rFonts w:ascii="Arial" w:eastAsia="Arial Unicode MS" w:hAnsi="Arial" w:cs="David" w:hint="cs"/>
          <w:sz w:val="28"/>
          <w:szCs w:val="28"/>
          <w:rtl/>
        </w:rPr>
        <w:t>".</w:t>
      </w:r>
      <w:r w:rsidR="00DD45CB" w:rsidRPr="00223236">
        <w:rPr>
          <w:rFonts w:ascii="Arial" w:eastAsia="Arial Unicode MS" w:hAnsi="Arial" w:cs="David" w:hint="cs"/>
          <w:sz w:val="28"/>
          <w:szCs w:val="28"/>
          <w:rtl/>
        </w:rPr>
        <w:t xml:space="preserve"> </w:t>
      </w:r>
    </w:p>
    <w:p w14:paraId="09D83016" w14:textId="77777777" w:rsidR="009B4B05" w:rsidRDefault="00DD45CB" w:rsidP="00DD45CB">
      <w:pPr>
        <w:numPr>
          <w:ilvl w:val="0"/>
          <w:numId w:val="4"/>
        </w:numPr>
        <w:tabs>
          <w:tab w:val="left" w:pos="368"/>
        </w:tabs>
        <w:spacing w:line="360" w:lineRule="auto"/>
        <w:ind w:left="-58" w:firstLine="0"/>
        <w:jc w:val="both"/>
        <w:rPr>
          <w:rFonts w:cs="David"/>
          <w:szCs w:val="28"/>
        </w:rPr>
      </w:pPr>
      <w:r>
        <w:rPr>
          <w:rFonts w:cs="David" w:hint="cs"/>
          <w:szCs w:val="28"/>
          <w:rtl/>
        </w:rPr>
        <w:t xml:space="preserve">אין זאת אלא, כי על פי המבחן הפנימי, יש לייחס להודיה שמסר המערער בחקירה משקל ניכר. </w:t>
      </w:r>
      <w:r w:rsidRPr="004E5BF0">
        <w:rPr>
          <w:rFonts w:cs="David" w:hint="cs"/>
          <w:szCs w:val="28"/>
          <w:rtl/>
        </w:rPr>
        <w:t>בהתאם, נוכח מעמדה ומשקלה של ההודיה, הנטל ש</w:t>
      </w:r>
      <w:r>
        <w:rPr>
          <w:rFonts w:cs="David" w:hint="cs"/>
          <w:szCs w:val="28"/>
          <w:rtl/>
        </w:rPr>
        <w:t>ה</w:t>
      </w:r>
      <w:r w:rsidRPr="004E5BF0">
        <w:rPr>
          <w:rFonts w:cs="David" w:hint="cs"/>
          <w:szCs w:val="28"/>
          <w:rtl/>
        </w:rPr>
        <w:t xml:space="preserve">וטל על כתפי התביעה להצביע על ראייה מאמתת </w:t>
      </w:r>
      <w:r w:rsidRPr="004E5BF0">
        <w:rPr>
          <w:rFonts w:cs="David"/>
          <w:szCs w:val="28"/>
          <w:rtl/>
        </w:rPr>
        <w:t>–</w:t>
      </w:r>
      <w:r w:rsidRPr="004E5BF0">
        <w:rPr>
          <w:rFonts w:cs="David" w:hint="cs"/>
          <w:szCs w:val="28"/>
          <w:rtl/>
        </w:rPr>
        <w:t xml:space="preserve"> </w:t>
      </w:r>
      <w:r>
        <w:rPr>
          <w:rFonts w:cs="David" w:hint="cs"/>
          <w:szCs w:val="28"/>
          <w:rtl/>
        </w:rPr>
        <w:t xml:space="preserve">אינו רב. </w:t>
      </w:r>
    </w:p>
    <w:p w14:paraId="45B97B4E" w14:textId="77777777" w:rsidR="00DD45CB" w:rsidRDefault="00DD45CB" w:rsidP="00745163">
      <w:pPr>
        <w:numPr>
          <w:ilvl w:val="0"/>
          <w:numId w:val="4"/>
        </w:numPr>
        <w:tabs>
          <w:tab w:val="left" w:pos="368"/>
        </w:tabs>
        <w:spacing w:line="360" w:lineRule="auto"/>
        <w:ind w:left="-58" w:firstLine="0"/>
        <w:jc w:val="both"/>
        <w:rPr>
          <w:rFonts w:cs="David"/>
          <w:szCs w:val="28"/>
        </w:rPr>
      </w:pPr>
      <w:r>
        <w:rPr>
          <w:rFonts w:cs="David" w:hint="cs"/>
          <w:szCs w:val="28"/>
          <w:rtl/>
        </w:rPr>
        <w:t xml:space="preserve">בחינת </w:t>
      </w:r>
      <w:r w:rsidR="00745163">
        <w:rPr>
          <w:rFonts w:cs="David" w:hint="cs"/>
          <w:szCs w:val="28"/>
          <w:rtl/>
        </w:rPr>
        <w:t xml:space="preserve">תוכנה </w:t>
      </w:r>
      <w:r>
        <w:rPr>
          <w:rFonts w:cs="David" w:hint="cs"/>
          <w:szCs w:val="28"/>
          <w:rtl/>
        </w:rPr>
        <w:t xml:space="preserve">של השיחה </w:t>
      </w:r>
      <w:r w:rsidR="009B4B05">
        <w:rPr>
          <w:rFonts w:cs="David" w:hint="cs"/>
          <w:szCs w:val="28"/>
          <w:rtl/>
        </w:rPr>
        <w:t xml:space="preserve">שנערכה </w:t>
      </w:r>
      <w:r>
        <w:rPr>
          <w:rFonts w:cs="David" w:hint="cs"/>
          <w:szCs w:val="28"/>
          <w:rtl/>
        </w:rPr>
        <w:t>בין המערער לבין חברו גיא, כפי שאותר</w:t>
      </w:r>
      <w:r w:rsidR="00745163">
        <w:rPr>
          <w:rFonts w:cs="David" w:hint="cs"/>
          <w:szCs w:val="28"/>
          <w:rtl/>
        </w:rPr>
        <w:t>ה</w:t>
      </w:r>
      <w:r>
        <w:rPr>
          <w:rFonts w:cs="David" w:hint="cs"/>
          <w:szCs w:val="28"/>
          <w:rtl/>
        </w:rPr>
        <w:t xml:space="preserve"> בחיפוש שנערך במכשיר הטלפון הנייד של המערער, מ</w:t>
      </w:r>
      <w:r w:rsidR="00745163">
        <w:rPr>
          <w:rFonts w:cs="David" w:hint="cs"/>
          <w:szCs w:val="28"/>
          <w:rtl/>
        </w:rPr>
        <w:t xml:space="preserve">למדת </w:t>
      </w:r>
      <w:r>
        <w:rPr>
          <w:rFonts w:cs="David" w:hint="cs"/>
          <w:szCs w:val="28"/>
          <w:rtl/>
        </w:rPr>
        <w:t xml:space="preserve">על היכרותו של המערער עם </w:t>
      </w:r>
      <w:r w:rsidRPr="004E5BF0">
        <w:rPr>
          <w:rFonts w:cs="David" w:hint="cs"/>
          <w:szCs w:val="28"/>
          <w:rtl/>
        </w:rPr>
        <w:t>עולם הסמים</w:t>
      </w:r>
      <w:r>
        <w:rPr>
          <w:rFonts w:cs="David" w:hint="cs"/>
          <w:szCs w:val="28"/>
          <w:rtl/>
        </w:rPr>
        <w:t>, על בקיאותו בתחום ועל יחסו אליו</w:t>
      </w:r>
      <w:r w:rsidRPr="004E5BF0">
        <w:rPr>
          <w:rFonts w:cs="David" w:hint="cs"/>
          <w:szCs w:val="28"/>
          <w:rtl/>
        </w:rPr>
        <w:t xml:space="preserve"> ("</w:t>
      </w:r>
      <w:r w:rsidRPr="004E5BF0">
        <w:rPr>
          <w:rFonts w:cs="David" w:hint="cs"/>
          <w:b/>
          <w:szCs w:val="28"/>
          <w:rtl/>
        </w:rPr>
        <w:t>תקשיב אני שוקל ברצינות לקנות ירוק ולעשן בבית</w:t>
      </w:r>
      <w:r w:rsidRPr="004E5BF0">
        <w:rPr>
          <w:rFonts w:cs="David" w:hint="cs"/>
          <w:szCs w:val="28"/>
          <w:rtl/>
        </w:rPr>
        <w:t>"; "</w:t>
      </w:r>
      <w:r w:rsidRPr="004E5BF0">
        <w:rPr>
          <w:rFonts w:cs="David" w:hint="cs"/>
          <w:b/>
          <w:szCs w:val="28"/>
          <w:rtl/>
        </w:rPr>
        <w:t>אני פשוט שונא לעשן אבל אחרי כמה פעמים אני מתרגל</w:t>
      </w:r>
      <w:r w:rsidRPr="004E5BF0">
        <w:rPr>
          <w:rFonts w:cs="David" w:hint="cs"/>
          <w:szCs w:val="28"/>
          <w:rtl/>
        </w:rPr>
        <w:t>"; "</w:t>
      </w:r>
      <w:r w:rsidRPr="004E5BF0">
        <w:rPr>
          <w:rFonts w:cs="David" w:hint="cs"/>
          <w:b/>
          <w:szCs w:val="28"/>
          <w:rtl/>
        </w:rPr>
        <w:t>אני הולך להביא לך כסף בקבוע ותעזור לי לקנות מהבחור שלך</w:t>
      </w:r>
      <w:r w:rsidRPr="004E5BF0">
        <w:rPr>
          <w:rFonts w:cs="David" w:hint="cs"/>
          <w:szCs w:val="28"/>
          <w:rtl/>
        </w:rPr>
        <w:t>")</w:t>
      </w:r>
      <w:r>
        <w:rPr>
          <w:rFonts w:cs="David" w:hint="cs"/>
          <w:szCs w:val="28"/>
          <w:rtl/>
        </w:rPr>
        <w:t xml:space="preserve">. </w:t>
      </w:r>
    </w:p>
    <w:p w14:paraId="77BC4BD4" w14:textId="77777777" w:rsidR="00C51F94" w:rsidRDefault="00745163" w:rsidP="00745163">
      <w:pPr>
        <w:numPr>
          <w:ilvl w:val="0"/>
          <w:numId w:val="4"/>
        </w:numPr>
        <w:tabs>
          <w:tab w:val="left" w:pos="368"/>
        </w:tabs>
        <w:spacing w:line="360" w:lineRule="auto"/>
        <w:ind w:left="-58" w:firstLine="0"/>
        <w:jc w:val="both"/>
        <w:rPr>
          <w:rFonts w:cs="David"/>
          <w:sz w:val="28"/>
          <w:szCs w:val="28"/>
        </w:rPr>
      </w:pPr>
      <w:r>
        <w:rPr>
          <w:rFonts w:cs="David" w:hint="cs"/>
          <w:szCs w:val="28"/>
          <w:rtl/>
        </w:rPr>
        <w:t xml:space="preserve">מהלך </w:t>
      </w:r>
      <w:r w:rsidR="00DD45CB">
        <w:rPr>
          <w:rFonts w:cs="David" w:hint="cs"/>
          <w:szCs w:val="28"/>
          <w:rtl/>
        </w:rPr>
        <w:t xml:space="preserve">השיחה </w:t>
      </w:r>
      <w:r w:rsidR="00BC696A">
        <w:rPr>
          <w:rFonts w:cs="David" w:hint="cs"/>
          <w:szCs w:val="28"/>
          <w:rtl/>
        </w:rPr>
        <w:t xml:space="preserve">המתועדת </w:t>
      </w:r>
      <w:r>
        <w:rPr>
          <w:rFonts w:cs="David" w:hint="cs"/>
          <w:szCs w:val="28"/>
          <w:rtl/>
        </w:rPr>
        <w:t xml:space="preserve">ותוכנה </w:t>
      </w:r>
      <w:r w:rsidR="00DD45CB" w:rsidRPr="00C51F94">
        <w:rPr>
          <w:rFonts w:cs="David" w:hint="cs"/>
          <w:b/>
          <w:bCs/>
          <w:szCs w:val="28"/>
          <w:rtl/>
        </w:rPr>
        <w:t>חורג</w:t>
      </w:r>
      <w:r>
        <w:rPr>
          <w:rFonts w:cs="David" w:hint="cs"/>
          <w:b/>
          <w:bCs/>
          <w:szCs w:val="28"/>
          <w:rtl/>
        </w:rPr>
        <w:t>ים</w:t>
      </w:r>
      <w:r w:rsidR="00DD45CB">
        <w:rPr>
          <w:rFonts w:cs="David" w:hint="cs"/>
          <w:szCs w:val="28"/>
          <w:rtl/>
        </w:rPr>
        <w:t xml:space="preserve"> מדבריו של המערער בהודיה וכן, </w:t>
      </w:r>
      <w:r w:rsidR="00C51F94">
        <w:rPr>
          <w:rFonts w:cs="David" w:hint="cs"/>
          <w:szCs w:val="28"/>
          <w:rtl/>
        </w:rPr>
        <w:t xml:space="preserve">וזה העיקר - </w:t>
      </w:r>
      <w:r w:rsidR="00DD45CB">
        <w:rPr>
          <w:rFonts w:cs="David" w:hint="cs"/>
          <w:szCs w:val="28"/>
          <w:rtl/>
        </w:rPr>
        <w:t xml:space="preserve">יש </w:t>
      </w:r>
      <w:r w:rsidR="00C51F94">
        <w:rPr>
          <w:rFonts w:cs="David" w:hint="cs"/>
          <w:szCs w:val="28"/>
          <w:rtl/>
        </w:rPr>
        <w:t>ב</w:t>
      </w:r>
      <w:r>
        <w:rPr>
          <w:rFonts w:cs="David" w:hint="cs"/>
          <w:szCs w:val="28"/>
          <w:rtl/>
        </w:rPr>
        <w:t>הם</w:t>
      </w:r>
      <w:r w:rsidR="00C51F94">
        <w:rPr>
          <w:rFonts w:cs="David" w:hint="cs"/>
          <w:szCs w:val="28"/>
          <w:rtl/>
        </w:rPr>
        <w:t xml:space="preserve"> </w:t>
      </w:r>
      <w:r w:rsidR="00DD45CB">
        <w:rPr>
          <w:rFonts w:cs="David" w:hint="cs"/>
          <w:szCs w:val="28"/>
          <w:rtl/>
        </w:rPr>
        <w:t xml:space="preserve">כדי להצביע על </w:t>
      </w:r>
      <w:r w:rsidR="00DD45CB" w:rsidRPr="00DD45CB">
        <w:rPr>
          <w:rFonts w:cs="David" w:hint="cs"/>
          <w:b/>
          <w:bCs/>
          <w:szCs w:val="28"/>
          <w:rtl/>
        </w:rPr>
        <w:t>השתלבות</w:t>
      </w:r>
      <w:r w:rsidR="00DD45CB">
        <w:rPr>
          <w:rFonts w:cs="David" w:hint="cs"/>
          <w:szCs w:val="28"/>
          <w:rtl/>
        </w:rPr>
        <w:t xml:space="preserve"> הפרטים שמסר המערער בהודיה</w:t>
      </w:r>
      <w:r w:rsidR="005E50FF">
        <w:rPr>
          <w:rFonts w:cs="David" w:hint="cs"/>
          <w:szCs w:val="28"/>
          <w:rtl/>
        </w:rPr>
        <w:t>,</w:t>
      </w:r>
      <w:r w:rsidR="00C51F94">
        <w:rPr>
          <w:rFonts w:cs="David" w:hint="cs"/>
          <w:szCs w:val="28"/>
          <w:rtl/>
        </w:rPr>
        <w:t xml:space="preserve"> בכל הנוגע למעשי השימוש בסמים, </w:t>
      </w:r>
      <w:r w:rsidR="00C51F94" w:rsidRPr="00C51F94">
        <w:rPr>
          <w:rFonts w:cs="David" w:hint="cs"/>
          <w:b/>
          <w:bCs/>
          <w:szCs w:val="28"/>
          <w:rtl/>
        </w:rPr>
        <w:t>עם פרטי אירועים</w:t>
      </w:r>
      <w:r w:rsidR="009B4B05">
        <w:rPr>
          <w:rFonts w:cs="David" w:hint="cs"/>
          <w:b/>
          <w:bCs/>
          <w:szCs w:val="28"/>
          <w:rtl/>
        </w:rPr>
        <w:t xml:space="preserve"> </w:t>
      </w:r>
      <w:r>
        <w:rPr>
          <w:rFonts w:cs="David" w:hint="cs"/>
          <w:b/>
          <w:bCs/>
          <w:szCs w:val="28"/>
          <w:rtl/>
        </w:rPr>
        <w:t>(</w:t>
      </w:r>
      <w:r w:rsidR="00DD45CB" w:rsidRPr="00C51F94">
        <w:rPr>
          <w:rFonts w:cs="David" w:hint="cs"/>
          <w:b/>
          <w:bCs/>
          <w:szCs w:val="28"/>
          <w:rtl/>
        </w:rPr>
        <w:t xml:space="preserve">שמות </w:t>
      </w:r>
      <w:r>
        <w:rPr>
          <w:rFonts w:cs="David" w:hint="cs"/>
          <w:b/>
          <w:bCs/>
          <w:szCs w:val="28"/>
          <w:rtl/>
        </w:rPr>
        <w:t>ה</w:t>
      </w:r>
      <w:r w:rsidR="00DD45CB" w:rsidRPr="00C51F94">
        <w:rPr>
          <w:rFonts w:cs="David" w:hint="cs"/>
          <w:b/>
          <w:bCs/>
          <w:szCs w:val="28"/>
          <w:rtl/>
        </w:rPr>
        <w:t>מעורבים</w:t>
      </w:r>
      <w:r>
        <w:rPr>
          <w:rFonts w:cs="David" w:hint="cs"/>
          <w:b/>
          <w:bCs/>
          <w:szCs w:val="28"/>
          <w:rtl/>
        </w:rPr>
        <w:t xml:space="preserve"> בהם</w:t>
      </w:r>
      <w:r w:rsidR="00DD45CB" w:rsidRPr="00C51F94">
        <w:rPr>
          <w:rFonts w:cs="David" w:hint="cs"/>
          <w:b/>
          <w:bCs/>
          <w:szCs w:val="28"/>
          <w:rtl/>
        </w:rPr>
        <w:t xml:space="preserve">, </w:t>
      </w:r>
      <w:r>
        <w:rPr>
          <w:rFonts w:cs="David" w:hint="cs"/>
          <w:b/>
          <w:bCs/>
          <w:szCs w:val="28"/>
          <w:rtl/>
        </w:rPr>
        <w:t>ה</w:t>
      </w:r>
      <w:r w:rsidR="00DD45CB" w:rsidRPr="00C51F94">
        <w:rPr>
          <w:rFonts w:cs="David" w:hint="cs"/>
          <w:b/>
          <w:bCs/>
          <w:szCs w:val="28"/>
          <w:rtl/>
        </w:rPr>
        <w:t>זמני</w:t>
      </w:r>
      <w:r>
        <w:rPr>
          <w:rFonts w:cs="David" w:hint="cs"/>
          <w:b/>
          <w:bCs/>
          <w:szCs w:val="28"/>
          <w:rtl/>
        </w:rPr>
        <w:t>ם</w:t>
      </w:r>
      <w:r w:rsidR="00DD45CB" w:rsidRPr="00C51F94">
        <w:rPr>
          <w:rFonts w:cs="David" w:hint="cs"/>
          <w:b/>
          <w:bCs/>
          <w:szCs w:val="28"/>
          <w:rtl/>
        </w:rPr>
        <w:t xml:space="preserve">, </w:t>
      </w:r>
      <w:r>
        <w:rPr>
          <w:rFonts w:cs="David" w:hint="cs"/>
          <w:b/>
          <w:bCs/>
          <w:szCs w:val="28"/>
          <w:rtl/>
        </w:rPr>
        <w:lastRenderedPageBreak/>
        <w:t>ה</w:t>
      </w:r>
      <w:r w:rsidR="00DD45CB" w:rsidRPr="00C51F94">
        <w:rPr>
          <w:rFonts w:cs="David" w:hint="cs"/>
          <w:b/>
          <w:bCs/>
          <w:szCs w:val="28"/>
          <w:rtl/>
        </w:rPr>
        <w:t>מקומות והרקע להם</w:t>
      </w:r>
      <w:r>
        <w:rPr>
          <w:rFonts w:cs="David" w:hint="cs"/>
          <w:b/>
          <w:bCs/>
          <w:szCs w:val="28"/>
          <w:rtl/>
        </w:rPr>
        <w:t xml:space="preserve">), שהתרחשו </w:t>
      </w:r>
      <w:r w:rsidR="00DD45CB" w:rsidRPr="00C51F94">
        <w:rPr>
          <w:rFonts w:cs="David" w:hint="cs"/>
          <w:b/>
          <w:bCs/>
          <w:szCs w:val="28"/>
          <w:rtl/>
        </w:rPr>
        <w:t>במציאות</w:t>
      </w:r>
      <w:r w:rsidR="00267B26">
        <w:rPr>
          <w:rFonts w:cs="David" w:hint="cs"/>
          <w:b/>
          <w:bCs/>
          <w:szCs w:val="28"/>
          <w:rtl/>
        </w:rPr>
        <w:t>, לפי אישורו של החבר</w:t>
      </w:r>
      <w:r w:rsidR="00322A2C">
        <w:rPr>
          <w:rFonts w:cs="David" w:hint="cs"/>
          <w:b/>
          <w:bCs/>
          <w:szCs w:val="28"/>
          <w:rtl/>
        </w:rPr>
        <w:t xml:space="preserve"> </w:t>
      </w:r>
      <w:r w:rsidR="00322A2C" w:rsidRPr="00AB27CF">
        <w:rPr>
          <w:rFonts w:cs="David" w:hint="cs"/>
          <w:szCs w:val="28"/>
          <w:rtl/>
        </w:rPr>
        <w:t xml:space="preserve">(ראו והשוו: עניין </w:t>
      </w:r>
      <w:r w:rsidR="00322A2C">
        <w:rPr>
          <w:rFonts w:cs="David" w:hint="cs"/>
          <w:b/>
          <w:bCs/>
          <w:szCs w:val="28"/>
          <w:rtl/>
        </w:rPr>
        <w:t xml:space="preserve">סטקלר </w:t>
      </w:r>
      <w:r w:rsidR="00322A2C" w:rsidRPr="00AB27CF">
        <w:rPr>
          <w:rFonts w:cs="David" w:hint="cs"/>
          <w:szCs w:val="28"/>
          <w:rtl/>
        </w:rPr>
        <w:t>לעיל, פסקה 26</w:t>
      </w:r>
      <w:r w:rsidR="00AB27CF">
        <w:rPr>
          <w:rFonts w:cs="David" w:hint="cs"/>
          <w:szCs w:val="28"/>
          <w:rtl/>
        </w:rPr>
        <w:t>).</w:t>
      </w:r>
      <w:r w:rsidR="00DD45CB" w:rsidRPr="00AB27CF">
        <w:rPr>
          <w:rFonts w:cs="David" w:hint="cs"/>
          <w:szCs w:val="28"/>
          <w:rtl/>
        </w:rPr>
        <w:t xml:space="preserve"> </w:t>
      </w:r>
      <w:r w:rsidR="00DD45CB">
        <w:rPr>
          <w:rFonts w:cs="David" w:hint="cs"/>
          <w:szCs w:val="28"/>
          <w:rtl/>
        </w:rPr>
        <w:t>כך</w:t>
      </w:r>
      <w:r w:rsidR="005E50FF">
        <w:rPr>
          <w:rFonts w:cs="David" w:hint="cs"/>
          <w:szCs w:val="28"/>
          <w:rtl/>
        </w:rPr>
        <w:t xml:space="preserve"> למשל</w:t>
      </w:r>
      <w:r w:rsidR="00DD45CB">
        <w:rPr>
          <w:rFonts w:cs="David" w:hint="cs"/>
          <w:szCs w:val="28"/>
          <w:rtl/>
        </w:rPr>
        <w:t xml:space="preserve">, </w:t>
      </w:r>
      <w:r w:rsidR="005E50FF">
        <w:rPr>
          <w:rFonts w:cs="David" w:hint="cs"/>
          <w:szCs w:val="28"/>
          <w:rtl/>
        </w:rPr>
        <w:t>המערער וחברו</w:t>
      </w:r>
      <w:r w:rsidR="009B4B05">
        <w:rPr>
          <w:rFonts w:cs="David" w:hint="cs"/>
          <w:szCs w:val="28"/>
          <w:rtl/>
        </w:rPr>
        <w:t xml:space="preserve"> גיא</w:t>
      </w:r>
      <w:r w:rsidR="005E50FF">
        <w:rPr>
          <w:rFonts w:cs="David" w:hint="cs"/>
          <w:szCs w:val="28"/>
          <w:rtl/>
        </w:rPr>
        <w:t xml:space="preserve"> </w:t>
      </w:r>
      <w:r w:rsidR="00C51F94">
        <w:rPr>
          <w:rFonts w:cs="David" w:hint="cs"/>
          <w:szCs w:val="28"/>
          <w:rtl/>
        </w:rPr>
        <w:t xml:space="preserve">מציינים את </w:t>
      </w:r>
      <w:r w:rsidR="00DD45CB">
        <w:rPr>
          <w:rFonts w:cs="David" w:hint="cs"/>
          <w:szCs w:val="28"/>
          <w:rtl/>
        </w:rPr>
        <w:t>שמו של חבר</w:t>
      </w:r>
      <w:r w:rsidR="00C51F94">
        <w:rPr>
          <w:rFonts w:cs="David" w:hint="cs"/>
          <w:szCs w:val="28"/>
          <w:rtl/>
        </w:rPr>
        <w:t xml:space="preserve"> שלישי</w:t>
      </w:r>
      <w:r w:rsidR="00DD45CB">
        <w:rPr>
          <w:rFonts w:cs="David" w:hint="cs"/>
          <w:szCs w:val="28"/>
          <w:rtl/>
        </w:rPr>
        <w:t>, שבביתו נערך שימוש בסם</w:t>
      </w:r>
      <w:r w:rsidR="00C51F94">
        <w:rPr>
          <w:rFonts w:cs="David" w:hint="cs"/>
          <w:szCs w:val="28"/>
          <w:rtl/>
        </w:rPr>
        <w:t xml:space="preserve"> מסוכן</w:t>
      </w:r>
      <w:r w:rsidR="00DD45CB">
        <w:rPr>
          <w:rFonts w:cs="David" w:hint="cs"/>
          <w:szCs w:val="28"/>
          <w:rtl/>
        </w:rPr>
        <w:t xml:space="preserve">, </w:t>
      </w:r>
      <w:r w:rsidR="00C51F94">
        <w:rPr>
          <w:rFonts w:cs="David" w:hint="cs"/>
          <w:szCs w:val="28"/>
          <w:rtl/>
        </w:rPr>
        <w:t xml:space="preserve">ומזכירים </w:t>
      </w:r>
      <w:r w:rsidR="009B4B05">
        <w:rPr>
          <w:rFonts w:cs="David" w:hint="cs"/>
          <w:szCs w:val="28"/>
          <w:rtl/>
        </w:rPr>
        <w:t xml:space="preserve">גם </w:t>
      </w:r>
      <w:r w:rsidR="00C51F94">
        <w:rPr>
          <w:rFonts w:cs="David" w:hint="cs"/>
          <w:szCs w:val="28"/>
          <w:rtl/>
        </w:rPr>
        <w:t xml:space="preserve">מעשה שימוש בסם מסוכן, </w:t>
      </w:r>
      <w:r w:rsidR="00DD45CB">
        <w:rPr>
          <w:rFonts w:cs="David" w:hint="cs"/>
          <w:szCs w:val="28"/>
          <w:rtl/>
        </w:rPr>
        <w:t>בסמוך למועד שבו נפרד המערער מחברתו</w:t>
      </w:r>
      <w:r w:rsidR="00C51F94">
        <w:rPr>
          <w:rFonts w:cs="David" w:hint="cs"/>
          <w:szCs w:val="28"/>
          <w:rtl/>
        </w:rPr>
        <w:t xml:space="preserve">, שיר (על קבילות דבריו של חברו של המערער בשיחה, לאחר שתיעוד השיחה התקבל בהסכמת ההגנה והמערער אישר את התקיימותה, ראו השוו: </w:t>
      </w:r>
      <w:r w:rsidR="005E50FF">
        <w:rPr>
          <w:rFonts w:cs="David" w:hint="cs"/>
          <w:szCs w:val="28"/>
          <w:rtl/>
        </w:rPr>
        <w:t xml:space="preserve">ע"פ 6411/09 </w:t>
      </w:r>
      <w:r w:rsidR="005E50FF">
        <w:rPr>
          <w:rFonts w:cs="David" w:hint="cs"/>
          <w:b/>
          <w:bCs/>
          <w:szCs w:val="28"/>
          <w:rtl/>
        </w:rPr>
        <w:t xml:space="preserve">מנבר נ' מדינת ישראל </w:t>
      </w:r>
      <w:r w:rsidR="00C51F94">
        <w:rPr>
          <w:rFonts w:cs="David" w:hint="cs"/>
          <w:sz w:val="28"/>
          <w:szCs w:val="28"/>
          <w:rtl/>
        </w:rPr>
        <w:t>(</w:t>
      </w:r>
      <w:r w:rsidR="00DE18BF">
        <w:rPr>
          <w:rFonts w:cs="David" w:hint="cs"/>
          <w:sz w:val="28"/>
          <w:szCs w:val="28"/>
          <w:rtl/>
        </w:rPr>
        <w:t xml:space="preserve">טרם פורסם, </w:t>
      </w:r>
      <w:r w:rsidR="00C51F94">
        <w:rPr>
          <w:rFonts w:cs="David" w:hint="cs"/>
          <w:sz w:val="28"/>
          <w:szCs w:val="28"/>
          <w:rtl/>
        </w:rPr>
        <w:t>5.12.2</w:t>
      </w:r>
      <w:r>
        <w:rPr>
          <w:rFonts w:cs="David" w:hint="cs"/>
          <w:sz w:val="28"/>
          <w:szCs w:val="28"/>
          <w:rtl/>
        </w:rPr>
        <w:t>0</w:t>
      </w:r>
      <w:r w:rsidR="00C51F94">
        <w:rPr>
          <w:rFonts w:cs="David" w:hint="cs"/>
          <w:sz w:val="28"/>
          <w:szCs w:val="28"/>
          <w:rtl/>
        </w:rPr>
        <w:t>00</w:t>
      </w:r>
      <w:r w:rsidR="005E50FF">
        <w:rPr>
          <w:rFonts w:cs="David" w:hint="cs"/>
          <w:sz w:val="28"/>
          <w:szCs w:val="28"/>
          <w:rtl/>
        </w:rPr>
        <w:t>)</w:t>
      </w:r>
      <w:r w:rsidR="00C51F94" w:rsidRPr="00C51F94">
        <w:rPr>
          <w:rFonts w:cs="David" w:hint="cs"/>
          <w:sz w:val="28"/>
          <w:szCs w:val="28"/>
          <w:rtl/>
        </w:rPr>
        <w:t>).</w:t>
      </w:r>
    </w:p>
    <w:p w14:paraId="0DB604D2" w14:textId="77777777" w:rsidR="002719A1" w:rsidRPr="000A4638" w:rsidRDefault="00345F16" w:rsidP="00FC4A0E">
      <w:pPr>
        <w:numPr>
          <w:ilvl w:val="0"/>
          <w:numId w:val="4"/>
        </w:numPr>
        <w:tabs>
          <w:tab w:val="left" w:pos="368"/>
        </w:tabs>
        <w:spacing w:line="360" w:lineRule="auto"/>
        <w:ind w:left="-58" w:firstLine="0"/>
        <w:jc w:val="both"/>
        <w:rPr>
          <w:rFonts w:cs="David"/>
          <w:sz w:val="28"/>
          <w:szCs w:val="28"/>
          <w:rtl/>
        </w:rPr>
      </w:pPr>
      <w:r>
        <w:rPr>
          <w:rFonts w:cs="David" w:hint="cs"/>
          <w:sz w:val="28"/>
          <w:szCs w:val="28"/>
          <w:rtl/>
        </w:rPr>
        <w:t>אך מעבר לכל האמור</w:t>
      </w:r>
      <w:r w:rsidR="005E50FF" w:rsidRPr="005E50FF">
        <w:rPr>
          <w:rFonts w:cs="David" w:hint="cs"/>
          <w:sz w:val="28"/>
          <w:szCs w:val="28"/>
          <w:rtl/>
        </w:rPr>
        <w:t xml:space="preserve">, כאמור, </w:t>
      </w:r>
      <w:r w:rsidR="005E50FF" w:rsidRPr="005E50FF">
        <w:rPr>
          <w:rFonts w:cs="David" w:hint="cs"/>
          <w:b/>
          <w:bCs/>
          <w:sz w:val="28"/>
          <w:szCs w:val="28"/>
          <w:rtl/>
        </w:rPr>
        <w:t>בשונה</w:t>
      </w:r>
      <w:r w:rsidR="005E50FF" w:rsidRPr="005E50FF">
        <w:rPr>
          <w:rFonts w:cs="David" w:hint="cs"/>
          <w:sz w:val="28"/>
          <w:szCs w:val="28"/>
          <w:rtl/>
        </w:rPr>
        <w:t xml:space="preserve"> מעניין </w:t>
      </w:r>
      <w:r w:rsidR="005E50FF" w:rsidRPr="005E50FF">
        <w:rPr>
          <w:rFonts w:cs="David" w:hint="cs"/>
          <w:b/>
          <w:bCs/>
          <w:sz w:val="28"/>
          <w:szCs w:val="28"/>
          <w:rtl/>
        </w:rPr>
        <w:t>אדריס</w:t>
      </w:r>
      <w:r w:rsidR="005E50FF" w:rsidRPr="005E50FF">
        <w:rPr>
          <w:rFonts w:cs="David" w:hint="cs"/>
          <w:sz w:val="28"/>
          <w:szCs w:val="28"/>
          <w:rtl/>
        </w:rPr>
        <w:t xml:space="preserve"> לעיל, המערער, לכל אורך ההליך בבית הדין קמא</w:t>
      </w:r>
      <w:r w:rsidR="00745163">
        <w:rPr>
          <w:rFonts w:cs="David" w:hint="cs"/>
          <w:sz w:val="28"/>
          <w:szCs w:val="28"/>
          <w:rtl/>
        </w:rPr>
        <w:t xml:space="preserve"> (</w:t>
      </w:r>
      <w:r w:rsidR="00355E46">
        <w:rPr>
          <w:rFonts w:cs="David" w:hint="cs"/>
          <w:sz w:val="28"/>
          <w:szCs w:val="28"/>
          <w:rtl/>
        </w:rPr>
        <w:t>בהודעות של באי כוחו שנמסרו בהזדמנויות שונות</w:t>
      </w:r>
      <w:r w:rsidR="005E50FF" w:rsidRPr="005E50FF">
        <w:rPr>
          <w:rFonts w:cs="David" w:hint="cs"/>
          <w:sz w:val="28"/>
          <w:szCs w:val="28"/>
          <w:rtl/>
        </w:rPr>
        <w:t xml:space="preserve">, בעדותו </w:t>
      </w:r>
      <w:r w:rsidR="00355E46">
        <w:rPr>
          <w:rFonts w:cs="David" w:hint="cs"/>
          <w:sz w:val="28"/>
          <w:szCs w:val="28"/>
          <w:rtl/>
        </w:rPr>
        <w:t xml:space="preserve">בפרשת ההגנה </w:t>
      </w:r>
      <w:r w:rsidR="005E50FF" w:rsidRPr="005E50FF">
        <w:rPr>
          <w:rFonts w:cs="David" w:hint="cs"/>
          <w:sz w:val="28"/>
          <w:szCs w:val="28"/>
          <w:rtl/>
        </w:rPr>
        <w:t>ו</w:t>
      </w:r>
      <w:r w:rsidR="00BC696A">
        <w:rPr>
          <w:rFonts w:cs="David" w:hint="cs"/>
          <w:sz w:val="28"/>
          <w:szCs w:val="28"/>
          <w:rtl/>
        </w:rPr>
        <w:t xml:space="preserve">אף </w:t>
      </w:r>
      <w:r w:rsidR="005E50FF" w:rsidRPr="005E50FF">
        <w:rPr>
          <w:rFonts w:cs="David" w:hint="cs"/>
          <w:sz w:val="28"/>
          <w:szCs w:val="28"/>
          <w:rtl/>
        </w:rPr>
        <w:t>בדברו האחרון</w:t>
      </w:r>
      <w:r w:rsidR="00745163">
        <w:rPr>
          <w:rFonts w:cs="David" w:hint="cs"/>
          <w:sz w:val="28"/>
          <w:szCs w:val="28"/>
          <w:rtl/>
        </w:rPr>
        <w:t xml:space="preserve">) </w:t>
      </w:r>
      <w:r w:rsidR="005E50FF" w:rsidRPr="005E50FF">
        <w:rPr>
          <w:rFonts w:cs="David"/>
          <w:sz w:val="28"/>
          <w:szCs w:val="28"/>
          <w:rtl/>
        </w:rPr>
        <w:t>–</w:t>
      </w:r>
      <w:r w:rsidR="005E50FF" w:rsidRPr="005E50FF">
        <w:rPr>
          <w:rFonts w:cs="David" w:hint="cs"/>
          <w:sz w:val="28"/>
          <w:szCs w:val="28"/>
          <w:rtl/>
        </w:rPr>
        <w:t xml:space="preserve"> ביקש ליטול אחריות על מעשיו </w:t>
      </w:r>
      <w:r w:rsidR="005E50FF" w:rsidRPr="005E50FF">
        <w:rPr>
          <w:rFonts w:cs="David" w:hint="cs"/>
          <w:szCs w:val="28"/>
          <w:rtl/>
        </w:rPr>
        <w:t>והודה</w:t>
      </w:r>
      <w:r w:rsidR="005E50FF" w:rsidRPr="005E50FF">
        <w:rPr>
          <w:rFonts w:cs="David" w:hint="cs"/>
          <w:sz w:val="28"/>
          <w:szCs w:val="28"/>
          <w:rtl/>
        </w:rPr>
        <w:t xml:space="preserve"> בהם</w:t>
      </w:r>
      <w:r w:rsidR="009B4B05">
        <w:rPr>
          <w:rFonts w:cs="David" w:hint="cs"/>
          <w:sz w:val="28"/>
          <w:szCs w:val="28"/>
          <w:rtl/>
        </w:rPr>
        <w:t xml:space="preserve"> בבית הדין</w:t>
      </w:r>
      <w:r w:rsidR="005E50FF" w:rsidRPr="005E50FF">
        <w:rPr>
          <w:rFonts w:cs="David" w:hint="cs"/>
          <w:sz w:val="28"/>
          <w:szCs w:val="28"/>
          <w:rtl/>
        </w:rPr>
        <w:t xml:space="preserve">. רק בשלב הערעור נטען, לראשונה, כי אין להרשיעו. למעשה, גם עתה, בשלב הערעור, המערער אינו מבקש </w:t>
      </w:r>
      <w:r w:rsidR="005E50FF" w:rsidRPr="005E50FF">
        <w:rPr>
          <w:rFonts w:cs="David" w:hint="cs"/>
          <w:b/>
          <w:bCs/>
          <w:sz w:val="28"/>
          <w:szCs w:val="28"/>
          <w:rtl/>
        </w:rPr>
        <w:t>במפורש</w:t>
      </w:r>
      <w:r w:rsidR="005E50FF" w:rsidRPr="005E50FF">
        <w:rPr>
          <w:rFonts w:cs="David" w:hint="cs"/>
          <w:sz w:val="28"/>
          <w:szCs w:val="28"/>
          <w:rtl/>
        </w:rPr>
        <w:t xml:space="preserve"> לחזור בו מן ההודאה, אלא, עוטף את דבריו בטענות משפטיות כאלו ואחרות</w:t>
      </w:r>
      <w:r w:rsidR="00355E46">
        <w:rPr>
          <w:rFonts w:cs="David" w:hint="cs"/>
          <w:sz w:val="28"/>
          <w:szCs w:val="28"/>
          <w:rtl/>
        </w:rPr>
        <w:t xml:space="preserve">, שבהן אף הטענה להפליה, </w:t>
      </w:r>
      <w:r w:rsidR="00823145">
        <w:rPr>
          <w:rFonts w:cs="David" w:hint="cs"/>
          <w:sz w:val="28"/>
          <w:szCs w:val="28"/>
          <w:rtl/>
        </w:rPr>
        <w:t>א</w:t>
      </w:r>
      <w:r w:rsidR="00355E46">
        <w:rPr>
          <w:rFonts w:cs="David" w:hint="cs"/>
          <w:sz w:val="28"/>
          <w:szCs w:val="28"/>
          <w:rtl/>
        </w:rPr>
        <w:t>ש</w:t>
      </w:r>
      <w:r w:rsidR="00823145">
        <w:rPr>
          <w:rFonts w:cs="David" w:hint="cs"/>
          <w:sz w:val="28"/>
          <w:szCs w:val="28"/>
          <w:rtl/>
        </w:rPr>
        <w:t xml:space="preserve">ר </w:t>
      </w:r>
      <w:r w:rsidR="00355E46">
        <w:rPr>
          <w:rFonts w:cs="David" w:hint="cs"/>
          <w:sz w:val="28"/>
          <w:szCs w:val="28"/>
          <w:rtl/>
        </w:rPr>
        <w:t>בבסיסה בקש</w:t>
      </w:r>
      <w:r w:rsidR="00745163">
        <w:rPr>
          <w:rFonts w:cs="David" w:hint="cs"/>
          <w:sz w:val="28"/>
          <w:szCs w:val="28"/>
          <w:rtl/>
        </w:rPr>
        <w:t xml:space="preserve">תו </w:t>
      </w:r>
      <w:r w:rsidR="00355E46">
        <w:rPr>
          <w:rFonts w:cs="David" w:hint="cs"/>
          <w:sz w:val="28"/>
          <w:szCs w:val="28"/>
          <w:rtl/>
        </w:rPr>
        <w:t xml:space="preserve">להשוות </w:t>
      </w:r>
      <w:r w:rsidR="00745163">
        <w:rPr>
          <w:rFonts w:cs="David" w:hint="cs"/>
          <w:sz w:val="28"/>
          <w:szCs w:val="28"/>
          <w:rtl/>
        </w:rPr>
        <w:t xml:space="preserve">בקירוב </w:t>
      </w:r>
      <w:r w:rsidR="00355E46">
        <w:rPr>
          <w:rFonts w:cs="David" w:hint="cs"/>
          <w:sz w:val="28"/>
          <w:szCs w:val="28"/>
          <w:rtl/>
        </w:rPr>
        <w:t xml:space="preserve">את </w:t>
      </w:r>
      <w:r w:rsidR="00745163">
        <w:rPr>
          <w:rFonts w:cs="David" w:hint="cs"/>
          <w:sz w:val="28"/>
          <w:szCs w:val="28"/>
          <w:rtl/>
        </w:rPr>
        <w:t xml:space="preserve">מצבו </w:t>
      </w:r>
      <w:r w:rsidR="00355E46">
        <w:rPr>
          <w:rFonts w:cs="David" w:hint="cs"/>
          <w:sz w:val="28"/>
          <w:szCs w:val="28"/>
          <w:rtl/>
        </w:rPr>
        <w:t>ל</w:t>
      </w:r>
      <w:r w:rsidR="00745163">
        <w:rPr>
          <w:rFonts w:cs="David" w:hint="cs"/>
          <w:sz w:val="28"/>
          <w:szCs w:val="28"/>
          <w:rtl/>
        </w:rPr>
        <w:t xml:space="preserve">מצבם </w:t>
      </w:r>
      <w:r w:rsidR="00355E46">
        <w:rPr>
          <w:rFonts w:cs="David" w:hint="cs"/>
          <w:sz w:val="28"/>
          <w:szCs w:val="28"/>
          <w:rtl/>
        </w:rPr>
        <w:t xml:space="preserve">של חיילים שזכו להסדר מותנה, </w:t>
      </w:r>
      <w:r w:rsidR="00355E46" w:rsidRPr="00355E46">
        <w:rPr>
          <w:rFonts w:cs="David" w:hint="cs"/>
          <w:b/>
          <w:bCs/>
          <w:sz w:val="28"/>
          <w:szCs w:val="28"/>
          <w:rtl/>
        </w:rPr>
        <w:t xml:space="preserve">לאחר שהודו באשמה </w:t>
      </w:r>
      <w:r w:rsidR="00355E46">
        <w:rPr>
          <w:rFonts w:cs="David" w:hint="cs"/>
          <w:sz w:val="28"/>
          <w:szCs w:val="28"/>
          <w:rtl/>
        </w:rPr>
        <w:t xml:space="preserve">ונטלו אחריות למעשיהם. </w:t>
      </w:r>
      <w:r>
        <w:rPr>
          <w:rFonts w:cs="David" w:hint="cs"/>
          <w:sz w:val="28"/>
          <w:szCs w:val="28"/>
          <w:rtl/>
        </w:rPr>
        <w:t xml:space="preserve">במצב דברים זה, </w:t>
      </w:r>
      <w:r w:rsidR="008C7C23" w:rsidRPr="008C7C23">
        <w:rPr>
          <w:rFonts w:cs="David"/>
          <w:sz w:val="28"/>
          <w:szCs w:val="28"/>
          <w:rtl/>
        </w:rPr>
        <w:t xml:space="preserve">ניתן לבסס את הרשעתו של </w:t>
      </w:r>
      <w:r w:rsidR="008D78B2">
        <w:rPr>
          <w:rFonts w:cs="David" w:hint="cs"/>
          <w:sz w:val="28"/>
          <w:szCs w:val="28"/>
          <w:rtl/>
        </w:rPr>
        <w:t xml:space="preserve">המערער </w:t>
      </w:r>
      <w:r w:rsidR="008C7C23" w:rsidRPr="008C7C23">
        <w:rPr>
          <w:rFonts w:cs="David"/>
          <w:sz w:val="28"/>
          <w:szCs w:val="28"/>
          <w:rtl/>
        </w:rPr>
        <w:t xml:space="preserve">על </w:t>
      </w:r>
      <w:r w:rsidR="008D78B2">
        <w:rPr>
          <w:rFonts w:cs="David" w:hint="cs"/>
          <w:sz w:val="28"/>
          <w:szCs w:val="28"/>
          <w:rtl/>
        </w:rPr>
        <w:t>ההוד</w:t>
      </w:r>
      <w:r w:rsidR="00FC4A0E">
        <w:rPr>
          <w:rFonts w:cs="David" w:hint="cs"/>
          <w:sz w:val="28"/>
          <w:szCs w:val="28"/>
          <w:rtl/>
        </w:rPr>
        <w:t>א</w:t>
      </w:r>
      <w:r w:rsidR="008D78B2">
        <w:rPr>
          <w:rFonts w:cs="David" w:hint="cs"/>
          <w:sz w:val="28"/>
          <w:szCs w:val="28"/>
          <w:rtl/>
        </w:rPr>
        <w:t xml:space="preserve">ה </w:t>
      </w:r>
      <w:r w:rsidR="008C7C23" w:rsidRPr="008C7C23">
        <w:rPr>
          <w:rFonts w:cs="David"/>
          <w:sz w:val="28"/>
          <w:szCs w:val="28"/>
          <w:rtl/>
        </w:rPr>
        <w:t xml:space="preserve">שמסר במהלך משפטו </w:t>
      </w:r>
      <w:r w:rsidR="008C7C23" w:rsidRPr="00020207">
        <w:rPr>
          <w:rFonts w:cs="David"/>
          <w:b/>
          <w:bCs/>
          <w:sz w:val="28"/>
          <w:szCs w:val="28"/>
          <w:rtl/>
        </w:rPr>
        <w:t>כראייה יחידה</w:t>
      </w:r>
      <w:r w:rsidR="008D78B2" w:rsidRPr="00020207">
        <w:rPr>
          <w:rFonts w:cs="David"/>
          <w:b/>
          <w:bCs/>
          <w:sz w:val="28"/>
          <w:szCs w:val="28"/>
          <w:rtl/>
        </w:rPr>
        <w:t xml:space="preserve">, </w:t>
      </w:r>
      <w:r w:rsidR="008D78B2" w:rsidRPr="00020207">
        <w:rPr>
          <w:rFonts w:cs="David" w:hint="eastAsia"/>
          <w:b/>
          <w:bCs/>
          <w:sz w:val="28"/>
          <w:szCs w:val="28"/>
          <w:rtl/>
        </w:rPr>
        <w:t>ללא</w:t>
      </w:r>
      <w:r w:rsidR="008D78B2" w:rsidRPr="00020207">
        <w:rPr>
          <w:rFonts w:cs="David"/>
          <w:b/>
          <w:bCs/>
          <w:sz w:val="28"/>
          <w:szCs w:val="28"/>
          <w:rtl/>
        </w:rPr>
        <w:t xml:space="preserve"> </w:t>
      </w:r>
      <w:r w:rsidR="008D78B2" w:rsidRPr="00020207">
        <w:rPr>
          <w:rFonts w:cs="David" w:hint="eastAsia"/>
          <w:b/>
          <w:bCs/>
          <w:sz w:val="28"/>
          <w:szCs w:val="28"/>
          <w:rtl/>
        </w:rPr>
        <w:t>צורך</w:t>
      </w:r>
      <w:r w:rsidR="008D78B2" w:rsidRPr="00020207">
        <w:rPr>
          <w:rFonts w:cs="David"/>
          <w:b/>
          <w:bCs/>
          <w:sz w:val="28"/>
          <w:szCs w:val="28"/>
          <w:rtl/>
        </w:rPr>
        <w:t xml:space="preserve"> </w:t>
      </w:r>
      <w:r w:rsidR="008D78B2" w:rsidRPr="00020207">
        <w:rPr>
          <w:rFonts w:cs="David" w:hint="eastAsia"/>
          <w:b/>
          <w:bCs/>
          <w:sz w:val="28"/>
          <w:szCs w:val="28"/>
          <w:rtl/>
        </w:rPr>
        <w:t>בתוספת</w:t>
      </w:r>
      <w:r w:rsidR="008D78B2" w:rsidRPr="00020207">
        <w:rPr>
          <w:rFonts w:cs="David"/>
          <w:b/>
          <w:bCs/>
          <w:sz w:val="28"/>
          <w:szCs w:val="28"/>
          <w:rtl/>
        </w:rPr>
        <w:t xml:space="preserve"> </w:t>
      </w:r>
      <w:r w:rsidR="008D78B2" w:rsidRPr="00020207">
        <w:rPr>
          <w:rFonts w:cs="David" w:hint="eastAsia"/>
          <w:b/>
          <w:bCs/>
          <w:sz w:val="28"/>
          <w:szCs w:val="28"/>
          <w:rtl/>
        </w:rPr>
        <w:t>ראייתית</w:t>
      </w:r>
      <w:r w:rsidR="008D78B2" w:rsidRPr="00020207">
        <w:rPr>
          <w:rFonts w:cs="David"/>
          <w:b/>
          <w:bCs/>
          <w:sz w:val="28"/>
          <w:szCs w:val="28"/>
          <w:rtl/>
        </w:rPr>
        <w:t xml:space="preserve"> </w:t>
      </w:r>
      <w:r w:rsidR="008D78B2" w:rsidRPr="00020207">
        <w:rPr>
          <w:rFonts w:cs="David" w:hint="eastAsia"/>
          <w:b/>
          <w:bCs/>
          <w:sz w:val="28"/>
          <w:szCs w:val="28"/>
          <w:rtl/>
        </w:rPr>
        <w:t>כלשהי</w:t>
      </w:r>
      <w:r w:rsidR="008C7C23" w:rsidRPr="008C7C23">
        <w:rPr>
          <w:rFonts w:cs="David"/>
          <w:sz w:val="28"/>
          <w:szCs w:val="28"/>
          <w:rtl/>
        </w:rPr>
        <w:t xml:space="preserve"> (ראו סעיף 154 לחוק סדר הדין הפלילי</w:t>
      </w:r>
      <w:r w:rsidR="008D78B2">
        <w:rPr>
          <w:rFonts w:cs="David" w:hint="cs"/>
          <w:sz w:val="28"/>
          <w:szCs w:val="28"/>
          <w:rtl/>
        </w:rPr>
        <w:t xml:space="preserve"> [נוסח משולב], התשמ"ב </w:t>
      </w:r>
      <w:r w:rsidR="008D78B2">
        <w:rPr>
          <w:rFonts w:cs="David"/>
          <w:sz w:val="28"/>
          <w:szCs w:val="28"/>
          <w:rtl/>
        </w:rPr>
        <w:t>–</w:t>
      </w:r>
      <w:r w:rsidR="008D78B2">
        <w:rPr>
          <w:rFonts w:cs="David" w:hint="cs"/>
          <w:sz w:val="28"/>
          <w:szCs w:val="28"/>
          <w:rtl/>
        </w:rPr>
        <w:t xml:space="preserve"> 1982; סעיף 358(ב) לחוק השיפוט הצבאי, </w:t>
      </w:r>
      <w:r w:rsidR="00DE18BF">
        <w:rPr>
          <w:rFonts w:cs="David" w:hint="cs"/>
          <w:sz w:val="28"/>
          <w:szCs w:val="28"/>
          <w:rtl/>
        </w:rPr>
        <w:t>ה</w:t>
      </w:r>
      <w:r w:rsidR="008D78B2">
        <w:rPr>
          <w:rFonts w:cs="David" w:hint="cs"/>
          <w:sz w:val="28"/>
          <w:szCs w:val="28"/>
          <w:rtl/>
        </w:rPr>
        <w:t xml:space="preserve">תשט"ו </w:t>
      </w:r>
      <w:r w:rsidR="008D78B2">
        <w:rPr>
          <w:rFonts w:cs="David"/>
          <w:sz w:val="28"/>
          <w:szCs w:val="28"/>
          <w:rtl/>
        </w:rPr>
        <w:t>–</w:t>
      </w:r>
      <w:r w:rsidR="008D78B2">
        <w:rPr>
          <w:rFonts w:cs="David" w:hint="cs"/>
          <w:sz w:val="28"/>
          <w:szCs w:val="28"/>
          <w:rtl/>
        </w:rPr>
        <w:t xml:space="preserve"> 1955;</w:t>
      </w:r>
      <w:r w:rsidR="002719A1">
        <w:rPr>
          <w:rFonts w:cs="David" w:hint="cs"/>
          <w:sz w:val="28"/>
          <w:szCs w:val="28"/>
          <w:rtl/>
        </w:rPr>
        <w:t xml:space="preserve"> </w:t>
      </w:r>
      <w:r w:rsidR="002719A1" w:rsidRPr="008C7C23">
        <w:rPr>
          <w:rFonts w:cs="David"/>
          <w:sz w:val="28"/>
          <w:szCs w:val="28"/>
          <w:rtl/>
        </w:rPr>
        <w:t xml:space="preserve">רע"פ 4142/04 </w:t>
      </w:r>
      <w:r w:rsidR="002719A1" w:rsidRPr="005B3D96">
        <w:rPr>
          <w:rFonts w:cs="David"/>
          <w:b/>
          <w:bCs/>
          <w:sz w:val="28"/>
          <w:szCs w:val="28"/>
          <w:rtl/>
        </w:rPr>
        <w:t>מילשטיין נ' התובע הצבאי הראשי</w:t>
      </w:r>
      <w:r w:rsidR="002719A1">
        <w:rPr>
          <w:rFonts w:cs="David" w:hint="cs"/>
          <w:sz w:val="28"/>
          <w:szCs w:val="28"/>
          <w:rtl/>
        </w:rPr>
        <w:t>, פסקה 13 לפסק דינו של השופט לוי (</w:t>
      </w:r>
      <w:r w:rsidR="00DE18BF">
        <w:rPr>
          <w:rFonts w:cs="David" w:hint="cs"/>
          <w:sz w:val="28"/>
          <w:szCs w:val="28"/>
          <w:rtl/>
        </w:rPr>
        <w:t xml:space="preserve">טרם פורסם, </w:t>
      </w:r>
      <w:r w:rsidR="002719A1">
        <w:rPr>
          <w:rFonts w:cs="David" w:hint="cs"/>
          <w:sz w:val="28"/>
          <w:szCs w:val="28"/>
          <w:rtl/>
        </w:rPr>
        <w:t>14.12.2006)).</w:t>
      </w:r>
    </w:p>
    <w:p w14:paraId="1AE3A90F" w14:textId="77777777" w:rsidR="00DD45CB" w:rsidRDefault="00C115EA" w:rsidP="00FC4A0E">
      <w:pPr>
        <w:numPr>
          <w:ilvl w:val="0"/>
          <w:numId w:val="4"/>
        </w:numPr>
        <w:tabs>
          <w:tab w:val="left" w:pos="368"/>
        </w:tabs>
        <w:spacing w:line="360" w:lineRule="auto"/>
        <w:ind w:left="-58" w:firstLine="0"/>
        <w:jc w:val="both"/>
        <w:rPr>
          <w:rFonts w:cs="David"/>
          <w:sz w:val="28"/>
          <w:szCs w:val="28"/>
        </w:rPr>
      </w:pPr>
      <w:r>
        <w:rPr>
          <w:rFonts w:cs="David" w:hint="cs"/>
          <w:sz w:val="28"/>
          <w:szCs w:val="28"/>
          <w:rtl/>
        </w:rPr>
        <w:t xml:space="preserve">לא לחינם, </w:t>
      </w:r>
      <w:r w:rsidR="000A4638" w:rsidRPr="00322A2C">
        <w:rPr>
          <w:rFonts w:cs="David" w:hint="cs"/>
          <w:sz w:val="28"/>
          <w:szCs w:val="28"/>
          <w:rtl/>
        </w:rPr>
        <w:t xml:space="preserve">חזרה </w:t>
      </w:r>
      <w:r w:rsidR="000A4638" w:rsidRPr="00322A2C">
        <w:rPr>
          <w:rFonts w:cs="David" w:hint="eastAsia"/>
          <w:sz w:val="28"/>
          <w:szCs w:val="28"/>
          <w:rtl/>
        </w:rPr>
        <w:t>מהוד</w:t>
      </w:r>
      <w:r w:rsidR="009B4B05">
        <w:rPr>
          <w:rFonts w:cs="David" w:hint="cs"/>
          <w:sz w:val="28"/>
          <w:szCs w:val="28"/>
          <w:rtl/>
        </w:rPr>
        <w:t>א</w:t>
      </w:r>
      <w:r w:rsidR="000A4638" w:rsidRPr="00322A2C">
        <w:rPr>
          <w:rFonts w:cs="David" w:hint="eastAsia"/>
          <w:sz w:val="28"/>
          <w:szCs w:val="28"/>
          <w:rtl/>
        </w:rPr>
        <w:t>ה</w:t>
      </w:r>
      <w:r w:rsidR="000A4638" w:rsidRPr="00322A2C">
        <w:rPr>
          <w:rFonts w:cs="David"/>
          <w:sz w:val="28"/>
          <w:szCs w:val="28"/>
          <w:rtl/>
        </w:rPr>
        <w:t xml:space="preserve"> </w:t>
      </w:r>
      <w:r w:rsidR="009B4B05">
        <w:rPr>
          <w:rFonts w:cs="David" w:hint="cs"/>
          <w:sz w:val="28"/>
          <w:szCs w:val="28"/>
          <w:rtl/>
        </w:rPr>
        <w:t xml:space="preserve">שנמסרה בבית משפט </w:t>
      </w:r>
      <w:r w:rsidR="00745163">
        <w:rPr>
          <w:rFonts w:cs="David" w:hint="cs"/>
          <w:sz w:val="28"/>
          <w:szCs w:val="28"/>
          <w:rtl/>
        </w:rPr>
        <w:t>מותנית ב</w:t>
      </w:r>
      <w:r w:rsidR="000A4638" w:rsidRPr="00322A2C">
        <w:rPr>
          <w:rFonts w:cs="David" w:hint="cs"/>
          <w:sz w:val="28"/>
          <w:szCs w:val="28"/>
          <w:rtl/>
        </w:rPr>
        <w:t xml:space="preserve">היתר </w:t>
      </w:r>
      <w:r w:rsidR="00745163">
        <w:rPr>
          <w:rFonts w:cs="David" w:hint="cs"/>
          <w:sz w:val="28"/>
          <w:szCs w:val="28"/>
          <w:rtl/>
        </w:rPr>
        <w:t xml:space="preserve">של </w:t>
      </w:r>
      <w:r w:rsidR="000A4638" w:rsidRPr="00322A2C">
        <w:rPr>
          <w:rFonts w:cs="David" w:hint="eastAsia"/>
          <w:sz w:val="28"/>
          <w:szCs w:val="28"/>
          <w:rtl/>
        </w:rPr>
        <w:t>בית</w:t>
      </w:r>
      <w:r w:rsidR="000A4638" w:rsidRPr="00322A2C">
        <w:rPr>
          <w:rFonts w:cs="David"/>
          <w:sz w:val="28"/>
          <w:szCs w:val="28"/>
          <w:rtl/>
        </w:rPr>
        <w:t xml:space="preserve"> </w:t>
      </w:r>
      <w:r w:rsidR="000A4638" w:rsidRPr="00322A2C">
        <w:rPr>
          <w:rFonts w:cs="David" w:hint="eastAsia"/>
          <w:sz w:val="28"/>
          <w:szCs w:val="28"/>
          <w:rtl/>
        </w:rPr>
        <w:t>המשפט</w:t>
      </w:r>
      <w:r w:rsidR="00553C81" w:rsidRPr="00322A2C">
        <w:rPr>
          <w:rFonts w:cs="David" w:hint="cs"/>
          <w:sz w:val="28"/>
          <w:szCs w:val="28"/>
          <w:rtl/>
        </w:rPr>
        <w:t xml:space="preserve"> (סעיף 153 לחוק סדר הדין הפלילי; וראו גם: סעיף </w:t>
      </w:r>
      <w:r w:rsidR="00322A2C" w:rsidRPr="00322A2C">
        <w:rPr>
          <w:rFonts w:cs="David" w:hint="cs"/>
          <w:sz w:val="28"/>
          <w:szCs w:val="28"/>
          <w:rtl/>
        </w:rPr>
        <w:t>357 לחוק השיפוט הצבאי</w:t>
      </w:r>
      <w:r w:rsidR="00630802">
        <w:rPr>
          <w:rFonts w:cs="David" w:hint="cs"/>
          <w:sz w:val="28"/>
          <w:szCs w:val="28"/>
          <w:rtl/>
        </w:rPr>
        <w:t xml:space="preserve"> </w:t>
      </w:r>
      <w:r w:rsidR="009B4B05">
        <w:rPr>
          <w:rFonts w:cs="David" w:hint="cs"/>
          <w:sz w:val="28"/>
          <w:szCs w:val="28"/>
          <w:rtl/>
        </w:rPr>
        <w:t>בנוגע ל</w:t>
      </w:r>
      <w:r w:rsidR="00322A2C" w:rsidRPr="00322A2C">
        <w:rPr>
          <w:rFonts w:cs="David" w:hint="cs"/>
          <w:sz w:val="28"/>
          <w:szCs w:val="28"/>
          <w:rtl/>
        </w:rPr>
        <w:t xml:space="preserve">חזרה מהודאה </w:t>
      </w:r>
      <w:r w:rsidR="009B4B05">
        <w:rPr>
          <w:rFonts w:cs="David" w:hint="cs"/>
          <w:sz w:val="28"/>
          <w:szCs w:val="28"/>
          <w:rtl/>
        </w:rPr>
        <w:t xml:space="preserve">ברשות בית הדין, </w:t>
      </w:r>
      <w:r w:rsidR="00322A2C" w:rsidRPr="00322A2C">
        <w:rPr>
          <w:rFonts w:cs="David" w:hint="cs"/>
          <w:sz w:val="28"/>
          <w:szCs w:val="28"/>
          <w:rtl/>
        </w:rPr>
        <w:t xml:space="preserve">עד לשלב הכרעת הדין). </w:t>
      </w:r>
      <w:r w:rsidR="009B4B05">
        <w:rPr>
          <w:rFonts w:cs="David" w:hint="cs"/>
          <w:sz w:val="28"/>
          <w:szCs w:val="28"/>
          <w:rtl/>
        </w:rPr>
        <w:t>הוטעם ב</w:t>
      </w:r>
      <w:r w:rsidR="000A4638" w:rsidRPr="00322A2C">
        <w:rPr>
          <w:rFonts w:cs="David" w:hint="cs"/>
          <w:sz w:val="28"/>
          <w:szCs w:val="28"/>
          <w:rtl/>
        </w:rPr>
        <w:t>הלכה הפסוקה</w:t>
      </w:r>
      <w:r w:rsidR="009B4B05">
        <w:rPr>
          <w:rFonts w:cs="David" w:hint="cs"/>
          <w:sz w:val="28"/>
          <w:szCs w:val="28"/>
          <w:rtl/>
        </w:rPr>
        <w:t>,</w:t>
      </w:r>
      <w:r w:rsidR="000A4638" w:rsidRPr="00322A2C">
        <w:rPr>
          <w:rFonts w:cs="David" w:hint="cs"/>
          <w:sz w:val="28"/>
          <w:szCs w:val="28"/>
          <w:rtl/>
        </w:rPr>
        <w:t xml:space="preserve"> </w:t>
      </w:r>
      <w:r w:rsidR="000A4638" w:rsidRPr="00322A2C">
        <w:rPr>
          <w:rFonts w:cs="David" w:hint="eastAsia"/>
          <w:sz w:val="28"/>
          <w:szCs w:val="28"/>
          <w:rtl/>
        </w:rPr>
        <w:t>כי</w:t>
      </w:r>
      <w:r w:rsidR="000A4638" w:rsidRPr="00322A2C">
        <w:rPr>
          <w:rFonts w:cs="David"/>
          <w:sz w:val="28"/>
          <w:szCs w:val="28"/>
          <w:rtl/>
        </w:rPr>
        <w:t xml:space="preserve"> </w:t>
      </w:r>
      <w:r w:rsidR="009B4B05">
        <w:rPr>
          <w:rFonts w:cs="David" w:hint="cs"/>
          <w:sz w:val="28"/>
          <w:szCs w:val="28"/>
          <w:rtl/>
        </w:rPr>
        <w:t xml:space="preserve">במסגרת שיקול הדעת של בית המשפט בשאלה אימתי להתיר לנאשם לחזור בו מן ההודאה, קיימת </w:t>
      </w:r>
      <w:r w:rsidR="000A4638" w:rsidRPr="00322A2C">
        <w:rPr>
          <w:rFonts w:cs="David" w:hint="eastAsia"/>
          <w:sz w:val="28"/>
          <w:szCs w:val="28"/>
          <w:rtl/>
        </w:rPr>
        <w:t>חשיבות</w:t>
      </w:r>
      <w:r w:rsidR="000A4638" w:rsidRPr="00322A2C">
        <w:rPr>
          <w:rFonts w:cs="David"/>
          <w:sz w:val="28"/>
          <w:szCs w:val="28"/>
          <w:rtl/>
        </w:rPr>
        <w:t xml:space="preserve"> </w:t>
      </w:r>
      <w:r w:rsidR="000A4638" w:rsidRPr="00322A2C">
        <w:rPr>
          <w:rFonts w:cs="David" w:hint="eastAsia"/>
          <w:sz w:val="28"/>
          <w:szCs w:val="28"/>
          <w:rtl/>
        </w:rPr>
        <w:t>רבה</w:t>
      </w:r>
      <w:r w:rsidR="000A4638" w:rsidRPr="00322A2C">
        <w:rPr>
          <w:rFonts w:cs="David"/>
          <w:sz w:val="28"/>
          <w:szCs w:val="28"/>
          <w:rtl/>
        </w:rPr>
        <w:t xml:space="preserve"> </w:t>
      </w:r>
      <w:r w:rsidR="000A4638" w:rsidRPr="00322A2C">
        <w:rPr>
          <w:rFonts w:cs="David" w:hint="eastAsia"/>
          <w:sz w:val="28"/>
          <w:szCs w:val="28"/>
          <w:rtl/>
        </w:rPr>
        <w:t>לשאלת</w:t>
      </w:r>
      <w:r w:rsidR="000A4638" w:rsidRPr="00322A2C">
        <w:rPr>
          <w:rFonts w:cs="David"/>
          <w:sz w:val="28"/>
          <w:szCs w:val="28"/>
          <w:rtl/>
        </w:rPr>
        <w:t xml:space="preserve"> </w:t>
      </w:r>
      <w:r w:rsidR="000A4638" w:rsidRPr="00322A2C">
        <w:rPr>
          <w:rFonts w:cs="David" w:hint="cs"/>
          <w:sz w:val="28"/>
          <w:szCs w:val="28"/>
          <w:rtl/>
        </w:rPr>
        <w:t>השלב הדיוני</w:t>
      </w:r>
      <w:r w:rsidR="009B4B05">
        <w:rPr>
          <w:rFonts w:cs="David" w:hint="cs"/>
          <w:sz w:val="28"/>
          <w:szCs w:val="28"/>
          <w:rtl/>
        </w:rPr>
        <w:t>,</w:t>
      </w:r>
      <w:r w:rsidR="000A4638" w:rsidRPr="00322A2C">
        <w:rPr>
          <w:rFonts w:cs="David"/>
          <w:sz w:val="28"/>
          <w:szCs w:val="28"/>
          <w:rtl/>
        </w:rPr>
        <w:t xml:space="preserve"> </w:t>
      </w:r>
      <w:r w:rsidR="00322A2C" w:rsidRPr="00322A2C">
        <w:rPr>
          <w:rFonts w:cs="David" w:hint="cs"/>
          <w:sz w:val="28"/>
          <w:szCs w:val="28"/>
          <w:rtl/>
        </w:rPr>
        <w:t>ש</w:t>
      </w:r>
      <w:r w:rsidR="000A4638" w:rsidRPr="00322A2C">
        <w:rPr>
          <w:rFonts w:cs="David" w:hint="cs"/>
          <w:sz w:val="28"/>
          <w:szCs w:val="28"/>
          <w:rtl/>
        </w:rPr>
        <w:t>בו מוגשת</w:t>
      </w:r>
      <w:r w:rsidR="000A4638" w:rsidRPr="00322A2C">
        <w:rPr>
          <w:rFonts w:cs="David"/>
          <w:sz w:val="28"/>
          <w:szCs w:val="28"/>
          <w:rtl/>
        </w:rPr>
        <w:t xml:space="preserve"> </w:t>
      </w:r>
      <w:r w:rsidR="000A4638" w:rsidRPr="00322A2C">
        <w:rPr>
          <w:rFonts w:cs="David" w:hint="eastAsia"/>
          <w:sz w:val="28"/>
          <w:szCs w:val="28"/>
          <w:rtl/>
        </w:rPr>
        <w:t>בקשה</w:t>
      </w:r>
      <w:r w:rsidR="000A4638" w:rsidRPr="00322A2C">
        <w:rPr>
          <w:rFonts w:cs="David"/>
          <w:sz w:val="28"/>
          <w:szCs w:val="28"/>
          <w:rtl/>
        </w:rPr>
        <w:t xml:space="preserve"> </w:t>
      </w:r>
      <w:r w:rsidR="00630802">
        <w:rPr>
          <w:rFonts w:cs="David" w:hint="cs"/>
          <w:sz w:val="28"/>
          <w:szCs w:val="28"/>
          <w:rtl/>
        </w:rPr>
        <w:t>כאמור</w:t>
      </w:r>
      <w:r w:rsidR="009B4B05">
        <w:rPr>
          <w:rFonts w:cs="David" w:hint="cs"/>
          <w:sz w:val="28"/>
          <w:szCs w:val="28"/>
          <w:rtl/>
        </w:rPr>
        <w:t xml:space="preserve">. </w:t>
      </w:r>
      <w:r w:rsidR="000A4638" w:rsidRPr="00322A2C">
        <w:rPr>
          <w:rFonts w:cs="David" w:hint="cs"/>
          <w:sz w:val="28"/>
          <w:szCs w:val="28"/>
          <w:rtl/>
        </w:rPr>
        <w:t>נקבע</w:t>
      </w:r>
      <w:r w:rsidR="00322A2C">
        <w:rPr>
          <w:rFonts w:cs="David" w:hint="cs"/>
          <w:sz w:val="28"/>
          <w:szCs w:val="28"/>
          <w:rtl/>
        </w:rPr>
        <w:t xml:space="preserve">, </w:t>
      </w:r>
      <w:r w:rsidR="000A4638" w:rsidRPr="00322A2C">
        <w:rPr>
          <w:rFonts w:cs="David" w:hint="cs"/>
          <w:sz w:val="28"/>
          <w:szCs w:val="28"/>
          <w:rtl/>
        </w:rPr>
        <w:t>כי בקשת נאשם לחזור בו מהוד</w:t>
      </w:r>
      <w:r w:rsidR="00FC4A0E">
        <w:rPr>
          <w:rFonts w:cs="David" w:hint="cs"/>
          <w:sz w:val="28"/>
          <w:szCs w:val="28"/>
          <w:rtl/>
        </w:rPr>
        <w:t>אתו</w:t>
      </w:r>
      <w:r w:rsidR="000A4638" w:rsidRPr="00322A2C">
        <w:rPr>
          <w:rFonts w:cs="David" w:hint="cs"/>
          <w:sz w:val="28"/>
          <w:szCs w:val="28"/>
          <w:rtl/>
        </w:rPr>
        <w:t xml:space="preserve"> לאחר מתן גזר הדין בעניינו </w:t>
      </w:r>
      <w:r w:rsidR="001244C2">
        <w:rPr>
          <w:rFonts w:cs="David" w:hint="cs"/>
          <w:sz w:val="28"/>
          <w:szCs w:val="28"/>
          <w:rtl/>
        </w:rPr>
        <w:t>"</w:t>
      </w:r>
      <w:r w:rsidR="000A4638" w:rsidRPr="00322A2C">
        <w:rPr>
          <w:rFonts w:cs="David" w:hint="cs"/>
          <w:sz w:val="28"/>
          <w:szCs w:val="28"/>
          <w:rtl/>
        </w:rPr>
        <w:t>תתקבל רק במקרים חריגים</w:t>
      </w:r>
      <w:r w:rsidR="000A4638" w:rsidRPr="00322A2C">
        <w:rPr>
          <w:rFonts w:cs="David"/>
          <w:sz w:val="28"/>
          <w:szCs w:val="28"/>
          <w:rtl/>
        </w:rPr>
        <w:t xml:space="preserve">, </w:t>
      </w:r>
      <w:r w:rsidR="000A4638" w:rsidRPr="00322A2C">
        <w:rPr>
          <w:rFonts w:cs="David" w:hint="eastAsia"/>
          <w:sz w:val="28"/>
          <w:szCs w:val="28"/>
          <w:rtl/>
        </w:rPr>
        <w:t>כאשר</w:t>
      </w:r>
      <w:r w:rsidR="000A4638" w:rsidRPr="00322A2C">
        <w:rPr>
          <w:rFonts w:cs="David"/>
          <w:sz w:val="28"/>
          <w:szCs w:val="28"/>
          <w:rtl/>
        </w:rPr>
        <w:t xml:space="preserve"> </w:t>
      </w:r>
      <w:r w:rsidR="000A4638" w:rsidRPr="00322A2C">
        <w:rPr>
          <w:rFonts w:cs="David" w:hint="eastAsia"/>
          <w:sz w:val="28"/>
          <w:szCs w:val="28"/>
          <w:rtl/>
        </w:rPr>
        <w:t>מכלול</w:t>
      </w:r>
      <w:r w:rsidR="000A4638" w:rsidRPr="00322A2C">
        <w:rPr>
          <w:rFonts w:cs="David"/>
          <w:sz w:val="28"/>
          <w:szCs w:val="28"/>
          <w:rtl/>
        </w:rPr>
        <w:t xml:space="preserve"> </w:t>
      </w:r>
      <w:r w:rsidR="000A4638" w:rsidRPr="00322A2C">
        <w:rPr>
          <w:rFonts w:cs="David" w:hint="eastAsia"/>
          <w:sz w:val="28"/>
          <w:szCs w:val="28"/>
          <w:rtl/>
        </w:rPr>
        <w:t>הנסיבות</w:t>
      </w:r>
      <w:r w:rsidR="000A4638" w:rsidRPr="00322A2C">
        <w:rPr>
          <w:rFonts w:cs="David"/>
          <w:sz w:val="28"/>
          <w:szCs w:val="28"/>
          <w:rtl/>
        </w:rPr>
        <w:t xml:space="preserve"> </w:t>
      </w:r>
      <w:r w:rsidR="000A4638" w:rsidRPr="00322A2C">
        <w:rPr>
          <w:rFonts w:cs="David" w:hint="cs"/>
          <w:sz w:val="28"/>
          <w:szCs w:val="28"/>
          <w:rtl/>
        </w:rPr>
        <w:t>מעורר</w:t>
      </w:r>
      <w:r w:rsidR="000A4638" w:rsidRPr="00322A2C">
        <w:rPr>
          <w:rFonts w:cs="David"/>
          <w:sz w:val="28"/>
          <w:szCs w:val="28"/>
          <w:rtl/>
        </w:rPr>
        <w:t xml:space="preserve"> </w:t>
      </w:r>
      <w:r w:rsidR="000A4638" w:rsidRPr="00322A2C">
        <w:rPr>
          <w:rFonts w:cs="David" w:hint="eastAsia"/>
          <w:sz w:val="28"/>
          <w:szCs w:val="28"/>
          <w:rtl/>
        </w:rPr>
        <w:t>חשש</w:t>
      </w:r>
      <w:r w:rsidR="000A4638" w:rsidRPr="00322A2C">
        <w:rPr>
          <w:rFonts w:cs="David"/>
          <w:sz w:val="28"/>
          <w:szCs w:val="28"/>
          <w:rtl/>
        </w:rPr>
        <w:t xml:space="preserve"> </w:t>
      </w:r>
      <w:r w:rsidR="000A4638" w:rsidRPr="00322A2C">
        <w:rPr>
          <w:rFonts w:cs="David" w:hint="eastAsia"/>
          <w:sz w:val="28"/>
          <w:szCs w:val="28"/>
          <w:rtl/>
        </w:rPr>
        <w:t>ממשי</w:t>
      </w:r>
      <w:r w:rsidR="000A4638" w:rsidRPr="00322A2C">
        <w:rPr>
          <w:rFonts w:cs="David"/>
          <w:sz w:val="28"/>
          <w:szCs w:val="28"/>
          <w:rtl/>
        </w:rPr>
        <w:t xml:space="preserve"> </w:t>
      </w:r>
      <w:r w:rsidR="000A4638" w:rsidRPr="00322A2C">
        <w:rPr>
          <w:rFonts w:cs="David" w:hint="eastAsia"/>
          <w:sz w:val="28"/>
          <w:szCs w:val="28"/>
          <w:rtl/>
        </w:rPr>
        <w:t>שהנאשם</w:t>
      </w:r>
      <w:r w:rsidR="000A4638" w:rsidRPr="00322A2C">
        <w:rPr>
          <w:rFonts w:cs="David"/>
          <w:sz w:val="28"/>
          <w:szCs w:val="28"/>
          <w:rtl/>
        </w:rPr>
        <w:t xml:space="preserve"> </w:t>
      </w:r>
      <w:r w:rsidR="000A4638" w:rsidRPr="00322A2C">
        <w:rPr>
          <w:rFonts w:cs="David" w:hint="eastAsia"/>
          <w:sz w:val="28"/>
          <w:szCs w:val="28"/>
          <w:rtl/>
        </w:rPr>
        <w:t>הודה</w:t>
      </w:r>
      <w:r w:rsidR="000A4638" w:rsidRPr="00322A2C">
        <w:rPr>
          <w:rFonts w:cs="David"/>
          <w:sz w:val="28"/>
          <w:szCs w:val="28"/>
          <w:rtl/>
        </w:rPr>
        <w:t xml:space="preserve"> </w:t>
      </w:r>
      <w:r w:rsidR="000A4638" w:rsidRPr="00322A2C">
        <w:rPr>
          <w:rFonts w:cs="David" w:hint="eastAsia"/>
          <w:sz w:val="28"/>
          <w:szCs w:val="28"/>
          <w:rtl/>
        </w:rPr>
        <w:t>באשמה</w:t>
      </w:r>
      <w:r w:rsidR="000A4638" w:rsidRPr="00322A2C">
        <w:rPr>
          <w:rFonts w:cs="David"/>
          <w:sz w:val="28"/>
          <w:szCs w:val="28"/>
          <w:rtl/>
        </w:rPr>
        <w:t xml:space="preserve"> </w:t>
      </w:r>
      <w:r w:rsidR="000A4638" w:rsidRPr="00322A2C">
        <w:rPr>
          <w:rFonts w:cs="David" w:hint="eastAsia"/>
          <w:sz w:val="28"/>
          <w:szCs w:val="28"/>
          <w:rtl/>
        </w:rPr>
        <w:t>בניגוד</w:t>
      </w:r>
      <w:r w:rsidR="000A4638" w:rsidRPr="00322A2C">
        <w:rPr>
          <w:rFonts w:cs="David"/>
          <w:sz w:val="28"/>
          <w:szCs w:val="28"/>
          <w:rtl/>
        </w:rPr>
        <w:t xml:space="preserve"> </w:t>
      </w:r>
      <w:r w:rsidR="000A4638" w:rsidRPr="00322A2C">
        <w:rPr>
          <w:rFonts w:cs="David" w:hint="eastAsia"/>
          <w:sz w:val="28"/>
          <w:szCs w:val="28"/>
          <w:rtl/>
        </w:rPr>
        <w:t>לרצונו</w:t>
      </w:r>
      <w:r w:rsidR="000A4638" w:rsidRPr="00322A2C">
        <w:rPr>
          <w:rFonts w:cs="David"/>
          <w:sz w:val="28"/>
          <w:szCs w:val="28"/>
          <w:rtl/>
        </w:rPr>
        <w:t xml:space="preserve"> </w:t>
      </w:r>
      <w:r w:rsidR="000A4638" w:rsidRPr="00322A2C">
        <w:rPr>
          <w:rFonts w:cs="David" w:hint="eastAsia"/>
          <w:sz w:val="28"/>
          <w:szCs w:val="28"/>
          <w:rtl/>
        </w:rPr>
        <w:t>החופשי</w:t>
      </w:r>
      <w:r w:rsidR="000A4638" w:rsidRPr="00322A2C">
        <w:rPr>
          <w:rFonts w:cs="David"/>
          <w:sz w:val="28"/>
          <w:szCs w:val="28"/>
          <w:rtl/>
        </w:rPr>
        <w:t xml:space="preserve">, </w:t>
      </w:r>
      <w:r w:rsidR="000A4638" w:rsidRPr="00322A2C">
        <w:rPr>
          <w:rFonts w:cs="David" w:hint="eastAsia"/>
          <w:sz w:val="28"/>
          <w:szCs w:val="28"/>
          <w:rtl/>
        </w:rPr>
        <w:t>או</w:t>
      </w:r>
      <w:r w:rsidR="000A4638" w:rsidRPr="00322A2C">
        <w:rPr>
          <w:rFonts w:cs="David"/>
          <w:sz w:val="28"/>
          <w:szCs w:val="28"/>
          <w:rtl/>
        </w:rPr>
        <w:t xml:space="preserve"> </w:t>
      </w:r>
      <w:r w:rsidR="000A4638" w:rsidRPr="00322A2C">
        <w:rPr>
          <w:rFonts w:cs="David" w:hint="eastAsia"/>
          <w:sz w:val="28"/>
          <w:szCs w:val="28"/>
          <w:rtl/>
        </w:rPr>
        <w:t>תוך</w:t>
      </w:r>
      <w:r w:rsidR="000A4638" w:rsidRPr="00322A2C">
        <w:rPr>
          <w:rFonts w:cs="David"/>
          <w:sz w:val="28"/>
          <w:szCs w:val="28"/>
          <w:rtl/>
        </w:rPr>
        <w:t xml:space="preserve"> </w:t>
      </w:r>
      <w:r w:rsidR="000A4638" w:rsidRPr="00322A2C">
        <w:rPr>
          <w:rFonts w:cs="David" w:hint="eastAsia"/>
          <w:sz w:val="28"/>
          <w:szCs w:val="28"/>
          <w:rtl/>
        </w:rPr>
        <w:t>שהוא</w:t>
      </w:r>
      <w:r w:rsidR="000A4638" w:rsidRPr="00322A2C">
        <w:rPr>
          <w:rFonts w:cs="David"/>
          <w:sz w:val="28"/>
          <w:szCs w:val="28"/>
          <w:rtl/>
        </w:rPr>
        <w:t xml:space="preserve"> </w:t>
      </w:r>
      <w:r w:rsidR="000A4638" w:rsidRPr="00322A2C">
        <w:rPr>
          <w:rFonts w:cs="David" w:hint="eastAsia"/>
          <w:sz w:val="28"/>
          <w:szCs w:val="28"/>
          <w:rtl/>
        </w:rPr>
        <w:t>אינו</w:t>
      </w:r>
      <w:r w:rsidR="000A4638" w:rsidRPr="00322A2C">
        <w:rPr>
          <w:rFonts w:cs="David"/>
          <w:sz w:val="28"/>
          <w:szCs w:val="28"/>
          <w:rtl/>
        </w:rPr>
        <w:t xml:space="preserve"> </w:t>
      </w:r>
      <w:r w:rsidR="000A4638" w:rsidRPr="00322A2C">
        <w:rPr>
          <w:rFonts w:cs="David" w:hint="eastAsia"/>
          <w:sz w:val="28"/>
          <w:szCs w:val="28"/>
          <w:rtl/>
        </w:rPr>
        <w:t>מבין</w:t>
      </w:r>
      <w:r w:rsidR="000A4638" w:rsidRPr="00322A2C">
        <w:rPr>
          <w:rFonts w:cs="David"/>
          <w:sz w:val="28"/>
          <w:szCs w:val="28"/>
          <w:rtl/>
        </w:rPr>
        <w:t xml:space="preserve"> </w:t>
      </w:r>
      <w:r w:rsidR="000A4638" w:rsidRPr="00322A2C">
        <w:rPr>
          <w:rFonts w:cs="David" w:hint="eastAsia"/>
          <w:sz w:val="28"/>
          <w:szCs w:val="28"/>
          <w:rtl/>
        </w:rPr>
        <w:t>את</w:t>
      </w:r>
      <w:r w:rsidR="000A4638" w:rsidRPr="00322A2C">
        <w:rPr>
          <w:rFonts w:cs="David"/>
          <w:sz w:val="28"/>
          <w:szCs w:val="28"/>
          <w:rtl/>
        </w:rPr>
        <w:t xml:space="preserve"> </w:t>
      </w:r>
      <w:r w:rsidR="000A4638" w:rsidRPr="00322A2C">
        <w:rPr>
          <w:rFonts w:cs="David" w:hint="eastAsia"/>
          <w:sz w:val="28"/>
          <w:szCs w:val="28"/>
          <w:rtl/>
        </w:rPr>
        <w:t>משמעות</w:t>
      </w:r>
      <w:r w:rsidR="000A4638" w:rsidRPr="00322A2C">
        <w:rPr>
          <w:rFonts w:cs="David"/>
          <w:sz w:val="28"/>
          <w:szCs w:val="28"/>
          <w:rtl/>
        </w:rPr>
        <w:t xml:space="preserve"> </w:t>
      </w:r>
      <w:r w:rsidR="000A4638" w:rsidRPr="00322A2C">
        <w:rPr>
          <w:rFonts w:cs="David" w:hint="eastAsia"/>
          <w:sz w:val="28"/>
          <w:szCs w:val="28"/>
          <w:rtl/>
        </w:rPr>
        <w:t>הודייתו</w:t>
      </w:r>
      <w:r w:rsidR="00322A2C">
        <w:rPr>
          <w:rFonts w:cs="David" w:hint="cs"/>
          <w:sz w:val="28"/>
          <w:szCs w:val="28"/>
          <w:rtl/>
        </w:rPr>
        <w:t>.</w:t>
      </w:r>
      <w:r w:rsidR="001244C2">
        <w:rPr>
          <w:rFonts w:cs="David" w:hint="cs"/>
          <w:sz w:val="28"/>
          <w:szCs w:val="28"/>
          <w:rtl/>
        </w:rPr>
        <w:t>..</w:t>
      </w:r>
      <w:r w:rsidR="00322A2C">
        <w:rPr>
          <w:rFonts w:cs="David" w:hint="cs"/>
          <w:sz w:val="28"/>
          <w:szCs w:val="28"/>
          <w:rtl/>
        </w:rPr>
        <w:t xml:space="preserve"> </w:t>
      </w:r>
      <w:r w:rsidR="001244C2">
        <w:rPr>
          <w:rFonts w:cs="David" w:hint="cs"/>
          <w:sz w:val="28"/>
          <w:szCs w:val="28"/>
          <w:rtl/>
        </w:rPr>
        <w:t xml:space="preserve">או </w:t>
      </w:r>
      <w:r w:rsidR="000A4638" w:rsidRPr="00322A2C">
        <w:rPr>
          <w:rFonts w:cs="David" w:hint="cs"/>
          <w:sz w:val="28"/>
          <w:szCs w:val="28"/>
          <w:rtl/>
        </w:rPr>
        <w:t>בנסיבות של כשל בייצוג</w:t>
      </w:r>
      <w:r w:rsidR="00322A2C">
        <w:rPr>
          <w:rFonts w:cs="David" w:hint="cs"/>
          <w:sz w:val="28"/>
          <w:szCs w:val="28"/>
          <w:rtl/>
        </w:rPr>
        <w:t xml:space="preserve"> </w:t>
      </w:r>
      <w:r w:rsidR="001244C2">
        <w:rPr>
          <w:rFonts w:cs="David" w:hint="cs"/>
          <w:sz w:val="28"/>
          <w:szCs w:val="28"/>
          <w:rtl/>
        </w:rPr>
        <w:t xml:space="preserve">..." </w:t>
      </w:r>
      <w:r w:rsidR="00322A2C">
        <w:rPr>
          <w:rFonts w:cs="David" w:hint="cs"/>
          <w:sz w:val="28"/>
          <w:szCs w:val="28"/>
          <w:rtl/>
        </w:rPr>
        <w:t>(</w:t>
      </w:r>
      <w:r w:rsidR="001244C2" w:rsidRPr="001244C2">
        <w:rPr>
          <w:rFonts w:cs="David" w:hint="cs"/>
          <w:sz w:val="28"/>
          <w:szCs w:val="28"/>
          <w:rtl/>
        </w:rPr>
        <w:t xml:space="preserve">ע"פ 5735/18 </w:t>
      </w:r>
      <w:r w:rsidR="001244C2" w:rsidRPr="001244C2">
        <w:rPr>
          <w:rFonts w:cs="David" w:hint="cs"/>
          <w:b/>
          <w:bCs/>
          <w:sz w:val="28"/>
          <w:szCs w:val="28"/>
          <w:rtl/>
        </w:rPr>
        <w:t xml:space="preserve">גודובסקי נ' מדינת ישראל </w:t>
      </w:r>
      <w:r w:rsidR="001244C2" w:rsidRPr="001244C2">
        <w:rPr>
          <w:rFonts w:cs="David" w:hint="cs"/>
          <w:sz w:val="28"/>
          <w:szCs w:val="28"/>
          <w:rtl/>
        </w:rPr>
        <w:t>(</w:t>
      </w:r>
      <w:r w:rsidR="00DE18BF">
        <w:rPr>
          <w:rFonts w:cs="David" w:hint="cs"/>
          <w:sz w:val="28"/>
          <w:szCs w:val="28"/>
          <w:rtl/>
        </w:rPr>
        <w:t xml:space="preserve">טרם פורסם, </w:t>
      </w:r>
      <w:r w:rsidR="001244C2" w:rsidRPr="001244C2">
        <w:rPr>
          <w:rFonts w:cs="David" w:hint="cs"/>
          <w:sz w:val="28"/>
          <w:szCs w:val="28"/>
          <w:rtl/>
        </w:rPr>
        <w:t>19.12.2019)</w:t>
      </w:r>
      <w:r w:rsidR="001244C2">
        <w:rPr>
          <w:rFonts w:cs="David" w:hint="cs"/>
          <w:sz w:val="28"/>
          <w:szCs w:val="28"/>
          <w:rtl/>
        </w:rPr>
        <w:t xml:space="preserve">; וראו גם: </w:t>
      </w:r>
      <w:r w:rsidR="00322A2C">
        <w:rPr>
          <w:rFonts w:cs="David" w:hint="cs"/>
          <w:sz w:val="28"/>
          <w:szCs w:val="28"/>
          <w:rtl/>
        </w:rPr>
        <w:t xml:space="preserve">ע"פ 5401/18 </w:t>
      </w:r>
      <w:r w:rsidR="00322A2C" w:rsidRPr="00322A2C">
        <w:rPr>
          <w:rFonts w:cs="David" w:hint="cs"/>
          <w:b/>
          <w:bCs/>
          <w:sz w:val="28"/>
          <w:szCs w:val="28"/>
          <w:rtl/>
        </w:rPr>
        <w:t>פלוני נ' מדינת ישראל</w:t>
      </w:r>
      <w:r w:rsidR="00322A2C">
        <w:rPr>
          <w:rFonts w:cs="David" w:hint="cs"/>
          <w:sz w:val="28"/>
          <w:szCs w:val="28"/>
          <w:rtl/>
        </w:rPr>
        <w:t xml:space="preserve"> (</w:t>
      </w:r>
      <w:r w:rsidR="00DE18BF">
        <w:rPr>
          <w:rFonts w:cs="David" w:hint="cs"/>
          <w:sz w:val="28"/>
          <w:szCs w:val="28"/>
          <w:rtl/>
        </w:rPr>
        <w:t xml:space="preserve">טרם פורסם, </w:t>
      </w:r>
      <w:r w:rsidR="00322A2C">
        <w:rPr>
          <w:rFonts w:cs="David" w:hint="cs"/>
          <w:sz w:val="28"/>
          <w:szCs w:val="28"/>
          <w:rtl/>
        </w:rPr>
        <w:t>5.2</w:t>
      </w:r>
      <w:r w:rsidR="00DE18BF">
        <w:rPr>
          <w:rFonts w:cs="David" w:hint="cs"/>
          <w:sz w:val="28"/>
          <w:szCs w:val="28"/>
          <w:rtl/>
        </w:rPr>
        <w:t>.</w:t>
      </w:r>
      <w:r w:rsidR="00322A2C">
        <w:rPr>
          <w:rFonts w:cs="David" w:hint="cs"/>
          <w:sz w:val="28"/>
          <w:szCs w:val="28"/>
          <w:rtl/>
        </w:rPr>
        <w:t xml:space="preserve">2019)). </w:t>
      </w:r>
      <w:r w:rsidR="001244C2">
        <w:rPr>
          <w:rFonts w:cs="David" w:hint="cs"/>
          <w:sz w:val="28"/>
          <w:szCs w:val="28"/>
          <w:rtl/>
        </w:rPr>
        <w:t xml:space="preserve">ברי, כי במקרה שלפנינו לא עולה כל חשש כי המערער הודה באשמה בבית הדין בניגוד לרצונו החופשי, או תוך שאינו מבין את משמעות דבריו, </w:t>
      </w:r>
      <w:r w:rsidR="00630802">
        <w:rPr>
          <w:rFonts w:cs="David" w:hint="cs"/>
          <w:sz w:val="28"/>
          <w:szCs w:val="28"/>
          <w:rtl/>
        </w:rPr>
        <w:t>או ב</w:t>
      </w:r>
      <w:r w:rsidR="001244C2">
        <w:rPr>
          <w:rFonts w:cs="David" w:hint="cs"/>
          <w:sz w:val="28"/>
          <w:szCs w:val="28"/>
          <w:rtl/>
        </w:rPr>
        <w:t>נסיבות של כשל בייצוג</w:t>
      </w:r>
      <w:r w:rsidR="00630802">
        <w:rPr>
          <w:rFonts w:cs="David" w:hint="cs"/>
          <w:sz w:val="28"/>
          <w:szCs w:val="28"/>
          <w:rtl/>
        </w:rPr>
        <w:t xml:space="preserve"> </w:t>
      </w:r>
      <w:r w:rsidR="00630802">
        <w:rPr>
          <w:rFonts w:cs="David"/>
          <w:sz w:val="28"/>
          <w:szCs w:val="28"/>
          <w:rtl/>
        </w:rPr>
        <w:t>–</w:t>
      </w:r>
      <w:r w:rsidR="00630802">
        <w:rPr>
          <w:rFonts w:cs="David" w:hint="cs"/>
          <w:sz w:val="28"/>
          <w:szCs w:val="28"/>
          <w:rtl/>
        </w:rPr>
        <w:t xml:space="preserve"> וטענות אלה אף לא נטענו מפי ההגנה</w:t>
      </w:r>
      <w:r w:rsidR="001244C2">
        <w:rPr>
          <w:rFonts w:cs="David" w:hint="cs"/>
          <w:sz w:val="28"/>
          <w:szCs w:val="28"/>
          <w:rtl/>
        </w:rPr>
        <w:t>.</w:t>
      </w:r>
    </w:p>
    <w:p w14:paraId="2AD963D7" w14:textId="77777777" w:rsidR="004A2A9C" w:rsidRDefault="004A2A9C" w:rsidP="004A2A9C">
      <w:pPr>
        <w:tabs>
          <w:tab w:val="left" w:pos="368"/>
        </w:tabs>
        <w:spacing w:line="360" w:lineRule="auto"/>
        <w:jc w:val="both"/>
        <w:rPr>
          <w:rFonts w:cs="David"/>
          <w:rtl/>
        </w:rPr>
      </w:pPr>
    </w:p>
    <w:p w14:paraId="70D7FC34" w14:textId="77777777" w:rsidR="004A2A9C" w:rsidRPr="004A2A9C" w:rsidRDefault="004A2A9C" w:rsidP="004A2A9C">
      <w:pPr>
        <w:tabs>
          <w:tab w:val="left" w:pos="368"/>
        </w:tabs>
        <w:spacing w:line="360" w:lineRule="auto"/>
        <w:jc w:val="both"/>
        <w:rPr>
          <w:rFonts w:cs="David"/>
          <w:b/>
          <w:bCs/>
          <w:sz w:val="28"/>
          <w:szCs w:val="28"/>
          <w:rtl/>
        </w:rPr>
      </w:pPr>
      <w:r w:rsidRPr="004A2A9C">
        <w:rPr>
          <w:rFonts w:cs="David" w:hint="cs"/>
          <w:b/>
          <w:bCs/>
          <w:sz w:val="28"/>
          <w:szCs w:val="28"/>
          <w:rtl/>
        </w:rPr>
        <w:t>התנהלות התביעה</w:t>
      </w:r>
    </w:p>
    <w:p w14:paraId="28F35393" w14:textId="77777777" w:rsidR="00EF2704" w:rsidRPr="00AE0C4D" w:rsidRDefault="004D092A" w:rsidP="006B5558">
      <w:pPr>
        <w:numPr>
          <w:ilvl w:val="0"/>
          <w:numId w:val="4"/>
        </w:numPr>
        <w:tabs>
          <w:tab w:val="left" w:pos="368"/>
        </w:tabs>
        <w:spacing w:line="360" w:lineRule="auto"/>
        <w:ind w:left="-58" w:firstLine="0"/>
        <w:jc w:val="both"/>
        <w:rPr>
          <w:rFonts w:cs="David"/>
          <w:sz w:val="28"/>
          <w:szCs w:val="28"/>
        </w:rPr>
      </w:pPr>
      <w:r w:rsidRPr="00AE0C4D">
        <w:rPr>
          <w:rFonts w:cs="David" w:hint="cs"/>
          <w:sz w:val="28"/>
          <w:szCs w:val="28"/>
          <w:rtl/>
        </w:rPr>
        <w:t>בפתח חלק זה של הדיון יש להבהיר, כי אין בידינו לקבל את טענ</w:t>
      </w:r>
      <w:r w:rsidR="00CF1817" w:rsidRPr="00AE0C4D">
        <w:rPr>
          <w:rFonts w:cs="David" w:hint="cs"/>
          <w:sz w:val="28"/>
          <w:szCs w:val="28"/>
          <w:rtl/>
        </w:rPr>
        <w:t>ת</w:t>
      </w:r>
      <w:r w:rsidRPr="00AE0C4D">
        <w:rPr>
          <w:rFonts w:cs="David" w:hint="cs"/>
          <w:sz w:val="28"/>
          <w:szCs w:val="28"/>
          <w:rtl/>
        </w:rPr>
        <w:t xml:space="preserve">ה </w:t>
      </w:r>
      <w:r w:rsidR="00CF1817" w:rsidRPr="00AE0C4D">
        <w:rPr>
          <w:rFonts w:cs="David" w:hint="cs"/>
          <w:b/>
          <w:bCs/>
          <w:sz w:val="28"/>
          <w:szCs w:val="28"/>
          <w:rtl/>
        </w:rPr>
        <w:t>ה</w:t>
      </w:r>
      <w:r w:rsidRPr="00AE0C4D">
        <w:rPr>
          <w:rFonts w:cs="David" w:hint="cs"/>
          <w:b/>
          <w:bCs/>
          <w:sz w:val="28"/>
          <w:szCs w:val="28"/>
          <w:rtl/>
        </w:rPr>
        <w:t>חדשה</w:t>
      </w:r>
      <w:r w:rsidRPr="00AE0C4D">
        <w:rPr>
          <w:rFonts w:cs="David" w:hint="cs"/>
          <w:sz w:val="28"/>
          <w:szCs w:val="28"/>
          <w:rtl/>
        </w:rPr>
        <w:t xml:space="preserve"> של ההגנה, על פגם שנפל </w:t>
      </w:r>
      <w:r w:rsidR="006E1930">
        <w:rPr>
          <w:rFonts w:cs="David" w:hint="cs"/>
          <w:sz w:val="28"/>
          <w:szCs w:val="28"/>
          <w:rtl/>
        </w:rPr>
        <w:t xml:space="preserve">לכאורה </w:t>
      </w:r>
      <w:r w:rsidRPr="00AE0C4D">
        <w:rPr>
          <w:rFonts w:cs="David" w:hint="cs"/>
          <w:sz w:val="28"/>
          <w:szCs w:val="28"/>
          <w:rtl/>
        </w:rPr>
        <w:t>בהתנהלות התביעה</w:t>
      </w:r>
      <w:r w:rsidR="00C22B30">
        <w:rPr>
          <w:rFonts w:cs="David" w:hint="cs"/>
          <w:sz w:val="28"/>
          <w:szCs w:val="28"/>
          <w:rtl/>
        </w:rPr>
        <w:t>,</w:t>
      </w:r>
      <w:r w:rsidRPr="00AE0C4D">
        <w:rPr>
          <w:rFonts w:cs="David" w:hint="cs"/>
          <w:sz w:val="28"/>
          <w:szCs w:val="28"/>
          <w:rtl/>
        </w:rPr>
        <w:t xml:space="preserve"> נוכח הגשת כתב האישום</w:t>
      </w:r>
      <w:r w:rsidR="00C22B30">
        <w:rPr>
          <w:rFonts w:cs="David" w:hint="cs"/>
          <w:sz w:val="28"/>
          <w:szCs w:val="28"/>
          <w:rtl/>
        </w:rPr>
        <w:t>,</w:t>
      </w:r>
      <w:r w:rsidRPr="00AE0C4D">
        <w:rPr>
          <w:rFonts w:cs="David" w:hint="cs"/>
          <w:sz w:val="28"/>
          <w:szCs w:val="28"/>
          <w:rtl/>
        </w:rPr>
        <w:t xml:space="preserve"> מבלי שנמצא בחומר הראיות דבר מה נוסף לאימות ההודיה שמסר המערער בחקירה. מ</w:t>
      </w:r>
      <w:r w:rsidR="00EB0CD2">
        <w:rPr>
          <w:rFonts w:cs="David" w:hint="cs"/>
          <w:sz w:val="28"/>
          <w:szCs w:val="28"/>
          <w:rtl/>
        </w:rPr>
        <w:t>שקבענו,</w:t>
      </w:r>
      <w:r w:rsidRPr="00AE0C4D">
        <w:rPr>
          <w:rFonts w:cs="David" w:hint="cs"/>
          <w:sz w:val="28"/>
          <w:szCs w:val="28"/>
          <w:rtl/>
        </w:rPr>
        <w:t xml:space="preserve"> </w:t>
      </w:r>
      <w:r w:rsidR="00C22B30">
        <w:rPr>
          <w:rFonts w:cs="David" w:hint="cs"/>
          <w:sz w:val="28"/>
          <w:szCs w:val="28"/>
          <w:rtl/>
        </w:rPr>
        <w:t xml:space="preserve">כאמור, </w:t>
      </w:r>
      <w:r w:rsidRPr="00AE0C4D">
        <w:rPr>
          <w:rFonts w:cs="David" w:hint="cs"/>
          <w:sz w:val="28"/>
          <w:szCs w:val="28"/>
          <w:rtl/>
        </w:rPr>
        <w:t xml:space="preserve">כי קיים </w:t>
      </w:r>
      <w:r w:rsidR="006E1930">
        <w:rPr>
          <w:rFonts w:cs="David" w:hint="cs"/>
          <w:sz w:val="28"/>
          <w:szCs w:val="28"/>
          <w:rtl/>
        </w:rPr>
        <w:t xml:space="preserve">גם קיים </w:t>
      </w:r>
      <w:r w:rsidRPr="00AE0C4D">
        <w:rPr>
          <w:rFonts w:cs="David" w:hint="cs"/>
          <w:sz w:val="28"/>
          <w:szCs w:val="28"/>
          <w:rtl/>
        </w:rPr>
        <w:t>בחומר הראיות דבר מה נוסף, מתאים, לביסוס אמינות</w:t>
      </w:r>
      <w:r w:rsidR="00C22B30">
        <w:rPr>
          <w:rFonts w:cs="David" w:hint="cs"/>
          <w:sz w:val="28"/>
          <w:szCs w:val="28"/>
          <w:rtl/>
        </w:rPr>
        <w:t xml:space="preserve">ה של </w:t>
      </w:r>
      <w:r w:rsidRPr="00AE0C4D">
        <w:rPr>
          <w:rFonts w:cs="David" w:hint="cs"/>
          <w:sz w:val="28"/>
          <w:szCs w:val="28"/>
          <w:rtl/>
        </w:rPr>
        <w:t xml:space="preserve">ההודיה </w:t>
      </w:r>
      <w:r w:rsidRPr="00AE0C4D">
        <w:rPr>
          <w:rFonts w:cs="David"/>
          <w:sz w:val="28"/>
          <w:szCs w:val="28"/>
          <w:rtl/>
        </w:rPr>
        <w:t>–</w:t>
      </w:r>
      <w:r w:rsidRPr="00AE0C4D">
        <w:rPr>
          <w:rFonts w:cs="David" w:hint="cs"/>
          <w:sz w:val="28"/>
          <w:szCs w:val="28"/>
          <w:rtl/>
        </w:rPr>
        <w:t xml:space="preserve"> יש לדחות את הטענה</w:t>
      </w:r>
      <w:r w:rsidR="00EF2704" w:rsidRPr="00AE0C4D">
        <w:rPr>
          <w:rFonts w:cs="David" w:hint="cs"/>
          <w:sz w:val="28"/>
          <w:szCs w:val="28"/>
          <w:rtl/>
        </w:rPr>
        <w:t xml:space="preserve">. </w:t>
      </w:r>
    </w:p>
    <w:p w14:paraId="19D9EB79" w14:textId="77777777" w:rsidR="00EF2704" w:rsidRDefault="00EF2704" w:rsidP="00C22B30">
      <w:pPr>
        <w:numPr>
          <w:ilvl w:val="0"/>
          <w:numId w:val="4"/>
        </w:numPr>
        <w:tabs>
          <w:tab w:val="left" w:pos="368"/>
        </w:tabs>
        <w:spacing w:line="360" w:lineRule="auto"/>
        <w:ind w:left="-58" w:firstLine="0"/>
        <w:jc w:val="both"/>
        <w:rPr>
          <w:rFonts w:cs="David"/>
          <w:sz w:val="28"/>
          <w:szCs w:val="28"/>
        </w:rPr>
      </w:pPr>
      <w:r>
        <w:rPr>
          <w:rFonts w:cs="David" w:hint="cs"/>
          <w:sz w:val="28"/>
          <w:szCs w:val="28"/>
          <w:rtl/>
        </w:rPr>
        <w:t xml:space="preserve">נציין עוד, כי הודאתו של המערער במעשים שיוחסו לו, אשר נמסרה בבית הדין קמא במספר הזדמנויות, </w:t>
      </w:r>
      <w:r w:rsidR="00C22B30">
        <w:rPr>
          <w:rFonts w:cs="David" w:hint="cs"/>
          <w:sz w:val="28"/>
          <w:szCs w:val="28"/>
          <w:rtl/>
        </w:rPr>
        <w:t>בשים לב לכך ש</w:t>
      </w:r>
      <w:r>
        <w:rPr>
          <w:rFonts w:cs="David" w:hint="cs"/>
          <w:sz w:val="28"/>
          <w:szCs w:val="28"/>
          <w:rtl/>
        </w:rPr>
        <w:t>המערער היה מיוצג על ידי סנגור כבר משלב החקירה ולכל אורך ההליך - אף היא מצביעה על הקושי הכרוך בטענת ההגנה הנ"ל, בוודאי לנוכח העלאתה בשלב הערעור</w:t>
      </w:r>
      <w:r w:rsidR="006C69D2">
        <w:rPr>
          <w:rFonts w:cs="David" w:hint="cs"/>
          <w:sz w:val="28"/>
          <w:szCs w:val="28"/>
          <w:rtl/>
        </w:rPr>
        <w:t xml:space="preserve"> בלבד</w:t>
      </w:r>
      <w:r>
        <w:rPr>
          <w:rFonts w:cs="David" w:hint="cs"/>
          <w:sz w:val="28"/>
          <w:szCs w:val="28"/>
          <w:rtl/>
        </w:rPr>
        <w:t xml:space="preserve">. </w:t>
      </w:r>
    </w:p>
    <w:p w14:paraId="582B35DB" w14:textId="77777777" w:rsidR="005B1372" w:rsidRDefault="006C69D2" w:rsidP="00EB0CD2">
      <w:pPr>
        <w:numPr>
          <w:ilvl w:val="0"/>
          <w:numId w:val="4"/>
        </w:numPr>
        <w:tabs>
          <w:tab w:val="left" w:pos="368"/>
        </w:tabs>
        <w:spacing w:line="360" w:lineRule="auto"/>
        <w:ind w:left="-58" w:firstLine="0"/>
        <w:jc w:val="both"/>
        <w:rPr>
          <w:rFonts w:cs="David"/>
          <w:sz w:val="28"/>
          <w:szCs w:val="28"/>
        </w:rPr>
      </w:pPr>
      <w:r>
        <w:rPr>
          <w:rFonts w:cs="David" w:hint="cs"/>
          <w:sz w:val="28"/>
          <w:szCs w:val="28"/>
          <w:rtl/>
        </w:rPr>
        <w:t>כ</w:t>
      </w:r>
      <w:r w:rsidR="00EB0CD2">
        <w:rPr>
          <w:rFonts w:cs="David" w:hint="cs"/>
          <w:sz w:val="28"/>
          <w:szCs w:val="28"/>
          <w:rtl/>
        </w:rPr>
        <w:t xml:space="preserve">מפורט לעיל, </w:t>
      </w:r>
      <w:r>
        <w:rPr>
          <w:rFonts w:cs="David" w:hint="cs"/>
          <w:sz w:val="28"/>
          <w:szCs w:val="28"/>
          <w:rtl/>
        </w:rPr>
        <w:t>ההגנה טענה עוד כי המערער הופלה לרעה נוכח העמדתו לדין בעבירה של שימוש בסם מסוכן לפי פקודת הסמים המסוכנים לעומת חיילים בשירות חובה, אשר בנסיבות דומות, על פי מדיניות האכיפה של התביעה הצבאית, יכולים להיקשר עם התביעה בהסדר מותנה שבסיומו, בחלוף תקופת תנאי של כשנה, אם לא נכשלו בעבירות נוספות - יבוטל כתב האישום בעניינם (</w:t>
      </w:r>
      <w:r w:rsidRPr="006C69D2">
        <w:rPr>
          <w:rFonts w:cs="David"/>
          <w:sz w:val="28"/>
          <w:szCs w:val="28"/>
          <w:rtl/>
        </w:rPr>
        <w:t>הנחי</w:t>
      </w:r>
      <w:r w:rsidR="005B1372">
        <w:rPr>
          <w:rFonts w:cs="David" w:hint="cs"/>
          <w:sz w:val="28"/>
          <w:szCs w:val="28"/>
          <w:rtl/>
        </w:rPr>
        <w:t xml:space="preserve">ית התביעה הצבאית הראשית </w:t>
      </w:r>
      <w:r w:rsidRPr="006C69D2">
        <w:rPr>
          <w:rFonts w:cs="David"/>
          <w:sz w:val="28"/>
          <w:szCs w:val="28"/>
          <w:rtl/>
        </w:rPr>
        <w:t>3.07</w:t>
      </w:r>
      <w:r w:rsidR="00EB0CD2">
        <w:rPr>
          <w:rFonts w:cs="David" w:hint="cs"/>
          <w:sz w:val="28"/>
          <w:szCs w:val="28"/>
          <w:rtl/>
        </w:rPr>
        <w:t>,</w:t>
      </w:r>
      <w:r w:rsidR="005B1372">
        <w:rPr>
          <w:rFonts w:cs="David" w:hint="cs"/>
          <w:sz w:val="28"/>
          <w:szCs w:val="28"/>
          <w:rtl/>
        </w:rPr>
        <w:t xml:space="preserve"> </w:t>
      </w:r>
      <w:r w:rsidR="00EB0CD2">
        <w:rPr>
          <w:rFonts w:cs="David" w:hint="cs"/>
          <w:sz w:val="28"/>
          <w:szCs w:val="28"/>
          <w:rtl/>
        </w:rPr>
        <w:t xml:space="preserve">בעניין </w:t>
      </w:r>
      <w:r w:rsidRPr="006C69D2">
        <w:rPr>
          <w:rFonts w:cs="David"/>
          <w:sz w:val="28"/>
          <w:szCs w:val="28"/>
          <w:rtl/>
        </w:rPr>
        <w:t>"הסדרים מותנים והסדרי הקפאה"</w:t>
      </w:r>
      <w:r w:rsidR="005B1372">
        <w:rPr>
          <w:rFonts w:cs="David" w:hint="cs"/>
          <w:sz w:val="28"/>
          <w:szCs w:val="28"/>
          <w:rtl/>
        </w:rPr>
        <w:t>)</w:t>
      </w:r>
      <w:r>
        <w:rPr>
          <w:rFonts w:cs="David" w:hint="cs"/>
          <w:sz w:val="28"/>
          <w:szCs w:val="28"/>
          <w:rtl/>
        </w:rPr>
        <w:t xml:space="preserve">. </w:t>
      </w:r>
      <w:r w:rsidR="005B1372">
        <w:rPr>
          <w:rFonts w:cs="David" w:hint="cs"/>
          <w:sz w:val="28"/>
          <w:szCs w:val="28"/>
          <w:rtl/>
        </w:rPr>
        <w:t>לדידה של ההגנה המד</w:t>
      </w:r>
      <w:r w:rsidR="00D415DF">
        <w:rPr>
          <w:rFonts w:cs="David" w:hint="cs"/>
          <w:sz w:val="28"/>
          <w:szCs w:val="28"/>
          <w:rtl/>
        </w:rPr>
        <w:t>ו</w:t>
      </w:r>
      <w:r w:rsidR="005B1372">
        <w:rPr>
          <w:rFonts w:cs="David" w:hint="cs"/>
          <w:sz w:val="28"/>
          <w:szCs w:val="28"/>
          <w:rtl/>
        </w:rPr>
        <w:t xml:space="preserve">בר בהפליה פסולה ומשום כך קמה בעניינו של המערער </w:t>
      </w:r>
      <w:r>
        <w:rPr>
          <w:rFonts w:cs="David" w:hint="cs"/>
          <w:sz w:val="28"/>
          <w:szCs w:val="28"/>
          <w:rtl/>
        </w:rPr>
        <w:t xml:space="preserve">הגנה מן הצדק, שהסעד ההולם בגינה, הוא המרת סעיף האישום לכזה שאינו נושא רישום פלילי. </w:t>
      </w:r>
    </w:p>
    <w:p w14:paraId="0CBDF58B" w14:textId="77777777" w:rsidR="008E0E50" w:rsidRPr="008B2921" w:rsidRDefault="006C69D2" w:rsidP="005B1372">
      <w:pPr>
        <w:numPr>
          <w:ilvl w:val="0"/>
          <w:numId w:val="4"/>
        </w:numPr>
        <w:tabs>
          <w:tab w:val="left" w:pos="368"/>
        </w:tabs>
        <w:spacing w:line="360" w:lineRule="auto"/>
        <w:ind w:left="-58" w:firstLine="0"/>
        <w:jc w:val="both"/>
        <w:rPr>
          <w:rFonts w:cs="David"/>
          <w:sz w:val="28"/>
          <w:szCs w:val="28"/>
          <w:rtl/>
        </w:rPr>
      </w:pPr>
      <w:r>
        <w:rPr>
          <w:rFonts w:cs="David" w:hint="cs"/>
          <w:sz w:val="28"/>
          <w:szCs w:val="28"/>
          <w:rtl/>
        </w:rPr>
        <w:t xml:space="preserve">טענה זו נדונה לאחרונה, בהרחבה בעניין </w:t>
      </w:r>
      <w:r w:rsidRPr="006C69D2">
        <w:rPr>
          <w:rFonts w:cs="David" w:hint="cs"/>
          <w:b/>
          <w:bCs/>
          <w:sz w:val="28"/>
          <w:szCs w:val="28"/>
          <w:rtl/>
        </w:rPr>
        <w:t>רס"ל יעקב</w:t>
      </w:r>
      <w:r>
        <w:rPr>
          <w:rFonts w:cs="David" w:hint="cs"/>
          <w:sz w:val="28"/>
          <w:szCs w:val="28"/>
          <w:rtl/>
        </w:rPr>
        <w:t xml:space="preserve"> לעיל. באותו מקרה, לאחר בחינת פסקי הדין המרכזיים בנושא, סוכמה ההלכה בנוגע להתערבות בהחלטות התביעה, לרבות בסוגית בחירת סעיף האישום, כדלקמן: </w:t>
      </w:r>
    </w:p>
    <w:p w14:paraId="6E8186F2" w14:textId="77777777" w:rsidR="006C69D2" w:rsidRDefault="006C69D2" w:rsidP="00E96E8C">
      <w:pPr>
        <w:tabs>
          <w:tab w:val="left" w:pos="226"/>
        </w:tabs>
        <w:ind w:left="1418" w:right="1418"/>
        <w:jc w:val="both"/>
        <w:rPr>
          <w:rFonts w:cs="David"/>
          <w:sz w:val="28"/>
          <w:szCs w:val="28"/>
          <w:rtl/>
        </w:rPr>
      </w:pPr>
      <w:r>
        <w:rPr>
          <w:rFonts w:cs="David" w:hint="cs"/>
          <w:sz w:val="28"/>
          <w:szCs w:val="28"/>
          <w:rtl/>
        </w:rPr>
        <w:t>"</w:t>
      </w:r>
      <w:r w:rsidR="00EB0CD2">
        <w:rPr>
          <w:rFonts w:cs="David" w:hint="cs"/>
          <w:sz w:val="28"/>
          <w:szCs w:val="28"/>
          <w:rtl/>
        </w:rPr>
        <w:t>...</w:t>
      </w:r>
      <w:r w:rsidR="003263F8" w:rsidRPr="003263F8">
        <w:rPr>
          <w:rFonts w:cs="David" w:hint="cs"/>
          <w:sz w:val="28"/>
          <w:szCs w:val="28"/>
          <w:rtl/>
        </w:rPr>
        <w:t xml:space="preserve"> </w:t>
      </w:r>
      <w:r>
        <w:rPr>
          <w:rFonts w:cs="David" w:hint="cs"/>
          <w:sz w:val="28"/>
          <w:szCs w:val="28"/>
          <w:rtl/>
        </w:rPr>
        <w:t>'</w:t>
      </w:r>
      <w:r w:rsidR="003263F8" w:rsidRPr="003263F8">
        <w:rPr>
          <w:rFonts w:cs="David" w:hint="cs"/>
          <w:sz w:val="28"/>
          <w:szCs w:val="28"/>
          <w:rtl/>
        </w:rPr>
        <w:t xml:space="preserve">הלכה ותיקה עמנו כי בית משפט זה אינו נוטה להתערב בהחלטות רשויות התביעה בנושא העמדה לדין, אלא במשורה, במקרים חריגים, </w:t>
      </w:r>
      <w:r w:rsidR="003263F8" w:rsidRPr="0062369F">
        <w:rPr>
          <w:rFonts w:cs="David" w:hint="cs"/>
          <w:b/>
          <w:bCs/>
          <w:sz w:val="28"/>
          <w:szCs w:val="28"/>
          <w:rtl/>
        </w:rPr>
        <w:t>מקום בו ההחלטה בלתי סבירה באופן קיצוני או עלולה לגרום עיוות דין מהותי</w:t>
      </w:r>
      <w:r>
        <w:rPr>
          <w:rFonts w:cs="David" w:hint="cs"/>
          <w:b/>
          <w:bCs/>
          <w:sz w:val="28"/>
          <w:szCs w:val="28"/>
          <w:rtl/>
        </w:rPr>
        <w:t>'</w:t>
      </w:r>
      <w:r w:rsidR="003263F8" w:rsidRPr="003263F8">
        <w:rPr>
          <w:rFonts w:cs="David" w:hint="cs"/>
          <w:sz w:val="28"/>
          <w:szCs w:val="28"/>
          <w:rtl/>
        </w:rPr>
        <w:t xml:space="preserve"> (</w:t>
      </w:r>
      <w:r w:rsidR="0062369F">
        <w:rPr>
          <w:rFonts w:cs="David" w:hint="cs"/>
          <w:sz w:val="28"/>
          <w:szCs w:val="28"/>
          <w:rtl/>
        </w:rPr>
        <w:t xml:space="preserve">עניין </w:t>
      </w:r>
      <w:r w:rsidR="0062369F" w:rsidRPr="0062369F">
        <w:rPr>
          <w:rFonts w:cs="David" w:hint="cs"/>
          <w:b/>
          <w:bCs/>
          <w:sz w:val="28"/>
          <w:szCs w:val="28"/>
          <w:rtl/>
        </w:rPr>
        <w:t>ג'בר</w:t>
      </w:r>
      <w:r w:rsidR="0062369F">
        <w:rPr>
          <w:rFonts w:cs="David" w:hint="cs"/>
          <w:sz w:val="28"/>
          <w:szCs w:val="28"/>
          <w:rtl/>
        </w:rPr>
        <w:t xml:space="preserve"> לעיל, פסקה 5, הדגשות הוספו</w:t>
      </w:r>
      <w:r w:rsidR="003263F8" w:rsidRPr="003263F8">
        <w:rPr>
          <w:rFonts w:cs="David" w:hint="cs"/>
          <w:sz w:val="28"/>
          <w:szCs w:val="28"/>
          <w:rtl/>
        </w:rPr>
        <w:t xml:space="preserve">; ראו גם: בג"ץ 8814/18 </w:t>
      </w:r>
      <w:r w:rsidR="003263F8" w:rsidRPr="003263F8">
        <w:rPr>
          <w:rFonts w:cs="David" w:hint="cs"/>
          <w:b/>
          <w:bCs/>
          <w:sz w:val="28"/>
          <w:szCs w:val="28"/>
          <w:rtl/>
        </w:rPr>
        <w:t>אמסלם שלו נ' מדינת ישראל-פרקליטות מחוז תל אביב</w:t>
      </w:r>
      <w:r w:rsidR="003263F8" w:rsidRPr="003263F8">
        <w:rPr>
          <w:rFonts w:cs="David" w:hint="cs"/>
          <w:sz w:val="28"/>
          <w:szCs w:val="28"/>
          <w:rtl/>
        </w:rPr>
        <w:t xml:space="preserve"> (27.1.2019)). אשר על כן, </w:t>
      </w:r>
      <w:r w:rsidR="003263F8" w:rsidRPr="003263F8">
        <w:rPr>
          <w:rFonts w:cs="David" w:hint="cs"/>
          <w:b/>
          <w:bCs/>
          <w:sz w:val="28"/>
          <w:szCs w:val="28"/>
          <w:rtl/>
        </w:rPr>
        <w:t>נקודת המוצא</w:t>
      </w:r>
      <w:r w:rsidR="003263F8" w:rsidRPr="003263F8">
        <w:rPr>
          <w:rFonts w:cs="David" w:hint="cs"/>
          <w:sz w:val="28"/>
          <w:szCs w:val="28"/>
          <w:rtl/>
        </w:rPr>
        <w:t xml:space="preserve"> לדיון שלפנינו היא, כי כל עוד החלטתה של התביעה הצבאית נמצאת במתחם הסבירות ואי</w:t>
      </w:r>
      <w:r w:rsidR="0062369F">
        <w:rPr>
          <w:rFonts w:cs="David" w:hint="cs"/>
          <w:sz w:val="28"/>
          <w:szCs w:val="28"/>
          <w:rtl/>
        </w:rPr>
        <w:t>נה</w:t>
      </w:r>
      <w:r w:rsidR="003263F8" w:rsidRPr="003263F8">
        <w:rPr>
          <w:rFonts w:cs="David" w:hint="cs"/>
          <w:sz w:val="28"/>
          <w:szCs w:val="28"/>
          <w:rtl/>
        </w:rPr>
        <w:t xml:space="preserve"> לוקה בפגם משמעותי, בית הדין הצבאי </w:t>
      </w:r>
      <w:r w:rsidR="0062369F">
        <w:rPr>
          <w:rFonts w:cs="David" w:hint="cs"/>
          <w:sz w:val="28"/>
          <w:szCs w:val="28"/>
          <w:rtl/>
        </w:rPr>
        <w:t>לא י</w:t>
      </w:r>
      <w:r w:rsidR="003263F8" w:rsidRPr="003263F8">
        <w:rPr>
          <w:rFonts w:cs="David" w:hint="cs"/>
          <w:sz w:val="28"/>
          <w:szCs w:val="28"/>
          <w:rtl/>
        </w:rPr>
        <w:t xml:space="preserve">חליף את שיקול דעתה של התביעה בשיקול דעתו שלו (ראו: ע/16/19 </w:t>
      </w:r>
      <w:r w:rsidR="003263F8" w:rsidRPr="003263F8">
        <w:rPr>
          <w:rFonts w:cs="David" w:hint="cs"/>
          <w:b/>
          <w:bCs/>
          <w:sz w:val="28"/>
          <w:szCs w:val="28"/>
          <w:rtl/>
        </w:rPr>
        <w:t xml:space="preserve">התובע הצבאי הראשי נ' סמל ארגואטי </w:t>
      </w:r>
      <w:r w:rsidR="003263F8" w:rsidRPr="003263F8">
        <w:rPr>
          <w:rFonts w:cs="David" w:hint="cs"/>
          <w:sz w:val="28"/>
          <w:szCs w:val="28"/>
          <w:rtl/>
        </w:rPr>
        <w:t xml:space="preserve">(2019)). </w:t>
      </w:r>
      <w:r w:rsidR="0062369F">
        <w:rPr>
          <w:rFonts w:cs="David" w:hint="cs"/>
          <w:sz w:val="28"/>
          <w:szCs w:val="28"/>
          <w:rtl/>
        </w:rPr>
        <w:t xml:space="preserve">ולעניינו, לנוכח </w:t>
      </w:r>
      <w:r w:rsidR="00AC0D50">
        <w:rPr>
          <w:rFonts w:cs="David" w:hint="cs"/>
          <w:sz w:val="28"/>
          <w:szCs w:val="28"/>
          <w:rtl/>
        </w:rPr>
        <w:t>טענ</w:t>
      </w:r>
      <w:r w:rsidR="0062369F">
        <w:rPr>
          <w:rFonts w:cs="David" w:hint="cs"/>
          <w:sz w:val="28"/>
          <w:szCs w:val="28"/>
          <w:rtl/>
        </w:rPr>
        <w:t xml:space="preserve">ת ההגנה </w:t>
      </w:r>
      <w:r w:rsidR="00AC0D50">
        <w:rPr>
          <w:rFonts w:cs="David" w:hint="cs"/>
          <w:sz w:val="28"/>
          <w:szCs w:val="28"/>
          <w:rtl/>
        </w:rPr>
        <w:t>לאכיפה בררנית</w:t>
      </w:r>
      <w:r w:rsidR="0062369F">
        <w:rPr>
          <w:rFonts w:cs="David" w:hint="cs"/>
          <w:sz w:val="28"/>
          <w:szCs w:val="28"/>
          <w:rtl/>
        </w:rPr>
        <w:t xml:space="preserve"> </w:t>
      </w:r>
      <w:r w:rsidR="008E0E50">
        <w:rPr>
          <w:rFonts w:cs="David" w:hint="cs"/>
          <w:sz w:val="28"/>
          <w:szCs w:val="28"/>
          <w:rtl/>
        </w:rPr>
        <w:t xml:space="preserve">- </w:t>
      </w:r>
      <w:r w:rsidR="00A15097" w:rsidRPr="0062369F">
        <w:rPr>
          <w:rFonts w:cs="David" w:hint="cs"/>
          <w:sz w:val="28"/>
          <w:szCs w:val="28"/>
          <w:rtl/>
        </w:rPr>
        <w:t>היקף ההתערבות של בית ה</w:t>
      </w:r>
      <w:r w:rsidR="0062369F" w:rsidRPr="0062369F">
        <w:rPr>
          <w:rFonts w:cs="David" w:hint="cs"/>
          <w:sz w:val="28"/>
          <w:szCs w:val="28"/>
          <w:rtl/>
        </w:rPr>
        <w:t xml:space="preserve">דין </w:t>
      </w:r>
      <w:r w:rsidR="00A15097" w:rsidRPr="0062369F">
        <w:rPr>
          <w:rFonts w:cs="David" w:hint="cs"/>
          <w:sz w:val="28"/>
          <w:szCs w:val="28"/>
          <w:rtl/>
        </w:rPr>
        <w:t xml:space="preserve">נותר מצומצם ומוגבל לאותם מקרים חריגים, שבהם הצביעה ההגנה </w:t>
      </w:r>
      <w:r w:rsidR="00A15097" w:rsidRPr="0062369F">
        <w:rPr>
          <w:rFonts w:cs="David" w:hint="cs"/>
          <w:sz w:val="28"/>
          <w:szCs w:val="28"/>
          <w:rtl/>
        </w:rPr>
        <w:lastRenderedPageBreak/>
        <w:t xml:space="preserve">על מדיניות אכיפה </w:t>
      </w:r>
      <w:r w:rsidR="0062369F" w:rsidRPr="0062369F">
        <w:rPr>
          <w:rFonts w:cs="David" w:hint="cs"/>
          <w:sz w:val="28"/>
          <w:szCs w:val="28"/>
          <w:rtl/>
        </w:rPr>
        <w:t xml:space="preserve">של התביעה </w:t>
      </w:r>
      <w:r w:rsidR="00A15097" w:rsidRPr="0062369F">
        <w:rPr>
          <w:rFonts w:cs="David" w:hint="cs"/>
          <w:sz w:val="28"/>
          <w:szCs w:val="28"/>
          <w:rtl/>
        </w:rPr>
        <w:t xml:space="preserve">שהובילה </w:t>
      </w:r>
      <w:r w:rsidR="008E0E50" w:rsidRPr="0062369F">
        <w:rPr>
          <w:rFonts w:cs="David" w:hint="cs"/>
          <w:sz w:val="28"/>
          <w:szCs w:val="28"/>
          <w:rtl/>
        </w:rPr>
        <w:t>ל</w:t>
      </w:r>
      <w:r w:rsidR="00A15097" w:rsidRPr="0062369F">
        <w:rPr>
          <w:rFonts w:cs="David" w:hint="cs"/>
          <w:sz w:val="28"/>
          <w:szCs w:val="28"/>
          <w:rtl/>
        </w:rPr>
        <w:t>הפליה פסולה</w:t>
      </w:r>
      <w:r w:rsidR="008E0E50" w:rsidRPr="0062369F">
        <w:rPr>
          <w:rFonts w:cs="David" w:hint="cs"/>
          <w:sz w:val="28"/>
          <w:szCs w:val="28"/>
          <w:rtl/>
        </w:rPr>
        <w:t xml:space="preserve">, </w:t>
      </w:r>
      <w:r w:rsidR="0062369F">
        <w:rPr>
          <w:rFonts w:cs="David" w:hint="cs"/>
          <w:sz w:val="28"/>
          <w:szCs w:val="28"/>
          <w:rtl/>
        </w:rPr>
        <w:t xml:space="preserve">הפליה </w:t>
      </w:r>
      <w:r w:rsidR="008E0E50" w:rsidRPr="0062369F">
        <w:rPr>
          <w:rFonts w:cs="David" w:hint="cs"/>
          <w:sz w:val="28"/>
          <w:szCs w:val="28"/>
          <w:rtl/>
        </w:rPr>
        <w:t xml:space="preserve">שתוצאתה </w:t>
      </w:r>
      <w:r w:rsidR="00A15097" w:rsidRPr="0062369F">
        <w:rPr>
          <w:rFonts w:cs="David" w:hint="cs"/>
          <w:sz w:val="28"/>
          <w:szCs w:val="28"/>
          <w:rtl/>
        </w:rPr>
        <w:t>פגיעה ממשית בתחושת הצדק</w:t>
      </w:r>
      <w:r>
        <w:rPr>
          <w:rFonts w:cs="David" w:hint="cs"/>
          <w:sz w:val="28"/>
          <w:szCs w:val="28"/>
          <w:rtl/>
        </w:rPr>
        <w:t>"</w:t>
      </w:r>
      <w:r w:rsidR="005B1372">
        <w:rPr>
          <w:rFonts w:cs="David" w:hint="cs"/>
          <w:sz w:val="28"/>
          <w:szCs w:val="28"/>
          <w:rtl/>
        </w:rPr>
        <w:t xml:space="preserve"> (עניין </w:t>
      </w:r>
      <w:r w:rsidR="00E96E8C">
        <w:rPr>
          <w:rFonts w:cs="David" w:hint="cs"/>
          <w:b/>
          <w:bCs/>
          <w:sz w:val="28"/>
          <w:szCs w:val="28"/>
          <w:rtl/>
        </w:rPr>
        <w:t>יעקב</w:t>
      </w:r>
      <w:r w:rsidR="005B1372">
        <w:rPr>
          <w:rFonts w:cs="David" w:hint="cs"/>
          <w:sz w:val="28"/>
          <w:szCs w:val="28"/>
          <w:rtl/>
        </w:rPr>
        <w:t xml:space="preserve"> לעיל, פסקה 30</w:t>
      </w:r>
      <w:r w:rsidR="00EB0CD2">
        <w:rPr>
          <w:rFonts w:cs="David" w:hint="cs"/>
          <w:sz w:val="28"/>
          <w:szCs w:val="28"/>
          <w:rtl/>
        </w:rPr>
        <w:t>, הדגשות במקור</w:t>
      </w:r>
      <w:r w:rsidR="005B1372">
        <w:rPr>
          <w:rFonts w:cs="David" w:hint="cs"/>
          <w:sz w:val="28"/>
          <w:szCs w:val="28"/>
          <w:rtl/>
        </w:rPr>
        <w:t>)</w:t>
      </w:r>
      <w:r w:rsidR="00F20B1B">
        <w:rPr>
          <w:rFonts w:cs="David" w:hint="cs"/>
          <w:sz w:val="28"/>
          <w:szCs w:val="28"/>
          <w:rtl/>
        </w:rPr>
        <w:t>.</w:t>
      </w:r>
    </w:p>
    <w:p w14:paraId="7A22ED9E" w14:textId="77777777" w:rsidR="00A15097" w:rsidRDefault="008E0E50" w:rsidP="006C69D2">
      <w:pPr>
        <w:tabs>
          <w:tab w:val="left" w:pos="226"/>
        </w:tabs>
        <w:ind w:left="1418" w:right="1418"/>
        <w:jc w:val="both"/>
        <w:rPr>
          <w:rFonts w:cs="David"/>
          <w:sz w:val="28"/>
          <w:szCs w:val="28"/>
        </w:rPr>
      </w:pPr>
      <w:r w:rsidRPr="0062369F">
        <w:rPr>
          <w:rFonts w:cs="David" w:hint="cs"/>
          <w:sz w:val="28"/>
          <w:szCs w:val="28"/>
          <w:rtl/>
        </w:rPr>
        <w:t xml:space="preserve"> </w:t>
      </w:r>
    </w:p>
    <w:p w14:paraId="2902C268" w14:textId="77777777" w:rsidR="00595B69" w:rsidRPr="00D51446" w:rsidRDefault="006C69D2" w:rsidP="005B1372">
      <w:pPr>
        <w:numPr>
          <w:ilvl w:val="0"/>
          <w:numId w:val="4"/>
        </w:numPr>
        <w:tabs>
          <w:tab w:val="left" w:pos="368"/>
        </w:tabs>
        <w:spacing w:line="360" w:lineRule="auto"/>
        <w:ind w:left="-58" w:firstLine="0"/>
        <w:jc w:val="both"/>
        <w:rPr>
          <w:rFonts w:cs="David"/>
          <w:sz w:val="28"/>
          <w:szCs w:val="28"/>
          <w:rtl/>
        </w:rPr>
      </w:pPr>
      <w:r>
        <w:rPr>
          <w:rFonts w:cs="David" w:hint="cs"/>
          <w:sz w:val="28"/>
          <w:szCs w:val="28"/>
          <w:rtl/>
        </w:rPr>
        <w:t>אשר ל</w:t>
      </w:r>
      <w:r w:rsidR="00EB0CD2">
        <w:rPr>
          <w:rFonts w:cs="David" w:hint="cs"/>
          <w:sz w:val="28"/>
          <w:szCs w:val="28"/>
          <w:rtl/>
        </w:rPr>
        <w:t>טיב ה</w:t>
      </w:r>
      <w:r>
        <w:rPr>
          <w:rFonts w:cs="David" w:hint="cs"/>
          <w:sz w:val="28"/>
          <w:szCs w:val="28"/>
          <w:rtl/>
        </w:rPr>
        <w:t>הבחנה בי</w:t>
      </w:r>
      <w:r w:rsidR="005B1372">
        <w:rPr>
          <w:rFonts w:cs="David" w:hint="cs"/>
          <w:sz w:val="28"/>
          <w:szCs w:val="28"/>
          <w:rtl/>
        </w:rPr>
        <w:t>ן חיילים בשירות חובה לקצינים ב</w:t>
      </w:r>
      <w:r w:rsidR="00EB0CD2">
        <w:rPr>
          <w:rFonts w:cs="David" w:hint="cs"/>
          <w:sz w:val="28"/>
          <w:szCs w:val="28"/>
          <w:rtl/>
        </w:rPr>
        <w:t xml:space="preserve">שירות </w:t>
      </w:r>
      <w:r w:rsidR="005B1372">
        <w:rPr>
          <w:rFonts w:cs="David" w:hint="cs"/>
          <w:sz w:val="28"/>
          <w:szCs w:val="28"/>
          <w:rtl/>
        </w:rPr>
        <w:t xml:space="preserve">חובה ולמשרתי הקבע, הוטעם, כי: </w:t>
      </w:r>
    </w:p>
    <w:p w14:paraId="69E8DAEF" w14:textId="77777777" w:rsidR="005B1372" w:rsidRDefault="005B1372" w:rsidP="005B1372">
      <w:pPr>
        <w:tabs>
          <w:tab w:val="left" w:pos="226"/>
        </w:tabs>
        <w:ind w:left="1418" w:right="1418"/>
        <w:jc w:val="both"/>
        <w:rPr>
          <w:rFonts w:cs="David"/>
          <w:sz w:val="28"/>
          <w:szCs w:val="28"/>
          <w:rtl/>
        </w:rPr>
      </w:pPr>
      <w:r>
        <w:rPr>
          <w:rFonts w:cs="David" w:hint="cs"/>
          <w:sz w:val="28"/>
          <w:szCs w:val="28"/>
          <w:rtl/>
        </w:rPr>
        <w:t>"...</w:t>
      </w:r>
      <w:r w:rsidR="00233C87">
        <w:rPr>
          <w:rFonts w:cs="David" w:hint="cs"/>
          <w:sz w:val="28"/>
          <w:szCs w:val="28"/>
          <w:rtl/>
        </w:rPr>
        <w:t xml:space="preserve"> </w:t>
      </w:r>
      <w:r w:rsidR="00595B69" w:rsidRPr="008947D4">
        <w:rPr>
          <w:rFonts w:cs="David" w:hint="cs"/>
          <w:sz w:val="28"/>
          <w:szCs w:val="28"/>
          <w:rtl/>
        </w:rPr>
        <w:t xml:space="preserve">משרתי הקבע, אשר </w:t>
      </w:r>
      <w:r w:rsidR="00595B69" w:rsidRPr="00BE43F3">
        <w:rPr>
          <w:rFonts w:cs="David" w:hint="cs"/>
          <w:b/>
          <w:bCs/>
          <w:sz w:val="28"/>
          <w:szCs w:val="28"/>
          <w:rtl/>
        </w:rPr>
        <w:t>בחרו</w:t>
      </w:r>
      <w:r w:rsidR="00595B69" w:rsidRPr="008947D4">
        <w:rPr>
          <w:rFonts w:cs="David" w:hint="cs"/>
          <w:sz w:val="28"/>
          <w:szCs w:val="28"/>
          <w:rtl/>
        </w:rPr>
        <w:t xml:space="preserve"> ל</w:t>
      </w:r>
      <w:r w:rsidR="00AE4CDF">
        <w:rPr>
          <w:rFonts w:cs="David" w:hint="cs"/>
          <w:sz w:val="28"/>
          <w:szCs w:val="28"/>
          <w:rtl/>
        </w:rPr>
        <w:t xml:space="preserve">שרת </w:t>
      </w:r>
      <w:r w:rsidR="00595B69" w:rsidRPr="008947D4">
        <w:rPr>
          <w:rFonts w:cs="David" w:hint="cs"/>
          <w:sz w:val="28"/>
          <w:szCs w:val="28"/>
          <w:rtl/>
        </w:rPr>
        <w:t xml:space="preserve">בצבא, </w:t>
      </w:r>
      <w:r w:rsidR="00BE43F3">
        <w:rPr>
          <w:rFonts w:cs="David" w:hint="cs"/>
          <w:sz w:val="28"/>
          <w:szCs w:val="28"/>
          <w:rtl/>
        </w:rPr>
        <w:t xml:space="preserve">שהוא </w:t>
      </w:r>
      <w:r w:rsidR="00595B69" w:rsidRPr="008947D4">
        <w:rPr>
          <w:rFonts w:cs="David" w:hint="cs"/>
          <w:sz w:val="28"/>
          <w:szCs w:val="28"/>
          <w:rtl/>
        </w:rPr>
        <w:t xml:space="preserve">ארגון היררכי נורמטיבי, שהמשמעת בו היא </w:t>
      </w:r>
      <w:r w:rsidR="00BE43F3">
        <w:rPr>
          <w:rFonts w:cs="David" w:hint="cs"/>
          <w:sz w:val="28"/>
          <w:szCs w:val="28"/>
          <w:rtl/>
        </w:rPr>
        <w:t xml:space="preserve">אבן </w:t>
      </w:r>
      <w:r w:rsidR="00595B69" w:rsidRPr="008947D4">
        <w:rPr>
          <w:rFonts w:cs="David" w:hint="cs"/>
          <w:sz w:val="28"/>
          <w:szCs w:val="28"/>
          <w:rtl/>
        </w:rPr>
        <w:t xml:space="preserve">היסוד להגשמת ייעודו </w:t>
      </w:r>
      <w:r w:rsidR="00595B69" w:rsidRPr="008947D4">
        <w:rPr>
          <w:rFonts w:cs="David"/>
          <w:sz w:val="28"/>
          <w:szCs w:val="28"/>
          <w:rtl/>
        </w:rPr>
        <w:t>–</w:t>
      </w:r>
      <w:r w:rsidR="00595B69" w:rsidRPr="008947D4">
        <w:rPr>
          <w:rFonts w:cs="David" w:hint="cs"/>
          <w:sz w:val="28"/>
          <w:szCs w:val="28"/>
          <w:rtl/>
        </w:rPr>
        <w:t xml:space="preserve"> ההגנה על בטחון המדינה</w:t>
      </w:r>
      <w:r w:rsidR="00233C87">
        <w:rPr>
          <w:rFonts w:cs="David" w:hint="cs"/>
          <w:sz w:val="28"/>
          <w:szCs w:val="28"/>
          <w:rtl/>
        </w:rPr>
        <w:t xml:space="preserve"> - </w:t>
      </w:r>
      <w:r w:rsidR="00595B69" w:rsidRPr="00BE43F3">
        <w:rPr>
          <w:rFonts w:cs="David" w:hint="cs"/>
          <w:b/>
          <w:bCs/>
          <w:sz w:val="28"/>
          <w:szCs w:val="28"/>
          <w:rtl/>
        </w:rPr>
        <w:t>מקבלים על עצמם</w:t>
      </w:r>
      <w:r w:rsidR="00595B69" w:rsidRPr="008947D4">
        <w:rPr>
          <w:rFonts w:cs="David" w:hint="cs"/>
          <w:sz w:val="28"/>
          <w:szCs w:val="28"/>
          <w:rtl/>
        </w:rPr>
        <w:t>, לכל אורך השירות, את התנאים ה</w:t>
      </w:r>
      <w:r w:rsidR="008947D4" w:rsidRPr="008947D4">
        <w:rPr>
          <w:rFonts w:cs="David" w:hint="cs"/>
          <w:sz w:val="28"/>
          <w:szCs w:val="28"/>
          <w:rtl/>
        </w:rPr>
        <w:t>קפדנים</w:t>
      </w:r>
      <w:r w:rsidR="00595B69" w:rsidRPr="008947D4">
        <w:rPr>
          <w:rFonts w:cs="David" w:hint="cs"/>
          <w:sz w:val="28"/>
          <w:szCs w:val="28"/>
          <w:rtl/>
        </w:rPr>
        <w:t xml:space="preserve"> והדרישות ה</w:t>
      </w:r>
      <w:r w:rsidR="00AE4CDF">
        <w:rPr>
          <w:rFonts w:cs="David" w:hint="cs"/>
          <w:sz w:val="28"/>
          <w:szCs w:val="28"/>
          <w:rtl/>
        </w:rPr>
        <w:t xml:space="preserve">ייחודיות </w:t>
      </w:r>
      <w:r w:rsidR="00595B69" w:rsidRPr="008947D4">
        <w:rPr>
          <w:rFonts w:cs="David" w:hint="cs"/>
          <w:sz w:val="28"/>
          <w:szCs w:val="28"/>
          <w:rtl/>
        </w:rPr>
        <w:t>של המערכת הצבאית.</w:t>
      </w:r>
      <w:r>
        <w:rPr>
          <w:rFonts w:cs="David" w:hint="cs"/>
          <w:sz w:val="28"/>
          <w:szCs w:val="28"/>
          <w:rtl/>
        </w:rPr>
        <w:t xml:space="preserve">.. </w:t>
      </w:r>
    </w:p>
    <w:p w14:paraId="2523E3C9" w14:textId="77777777" w:rsidR="00C37D74" w:rsidRDefault="00BE43F3" w:rsidP="005B1372">
      <w:pPr>
        <w:tabs>
          <w:tab w:val="left" w:pos="226"/>
        </w:tabs>
        <w:ind w:left="1418" w:right="1418"/>
        <w:jc w:val="both"/>
        <w:rPr>
          <w:rFonts w:cs="David"/>
          <w:sz w:val="28"/>
          <w:szCs w:val="28"/>
          <w:rtl/>
        </w:rPr>
      </w:pPr>
      <w:r>
        <w:rPr>
          <w:rFonts w:cs="David" w:hint="cs"/>
          <w:sz w:val="28"/>
          <w:szCs w:val="28"/>
          <w:rtl/>
        </w:rPr>
        <w:t>המגבלות ו</w:t>
      </w:r>
      <w:r w:rsidR="007C6D01">
        <w:rPr>
          <w:rFonts w:cs="David" w:hint="cs"/>
          <w:sz w:val="28"/>
          <w:szCs w:val="28"/>
          <w:rtl/>
        </w:rPr>
        <w:t>ההשלכות הנלוות למעמד המפקד</w:t>
      </w:r>
      <w:r>
        <w:rPr>
          <w:rFonts w:cs="David" w:hint="cs"/>
          <w:sz w:val="28"/>
          <w:szCs w:val="28"/>
          <w:rtl/>
        </w:rPr>
        <w:t xml:space="preserve">, ובכלל זה </w:t>
      </w:r>
      <w:r>
        <w:rPr>
          <w:rFonts w:cs="David"/>
          <w:sz w:val="28"/>
          <w:szCs w:val="28"/>
          <w:rtl/>
        </w:rPr>
        <w:t>–</w:t>
      </w:r>
      <w:r>
        <w:rPr>
          <w:rFonts w:cs="David" w:hint="cs"/>
          <w:sz w:val="28"/>
          <w:szCs w:val="28"/>
          <w:rtl/>
        </w:rPr>
        <w:t xml:space="preserve"> משרת הקבע,</w:t>
      </w:r>
      <w:r w:rsidR="007C6D01">
        <w:rPr>
          <w:rFonts w:cs="David" w:hint="cs"/>
          <w:sz w:val="28"/>
          <w:szCs w:val="28"/>
          <w:rtl/>
        </w:rPr>
        <w:t xml:space="preserve"> </w:t>
      </w:r>
      <w:r>
        <w:rPr>
          <w:rFonts w:cs="David" w:hint="cs"/>
          <w:sz w:val="28"/>
          <w:szCs w:val="28"/>
          <w:rtl/>
        </w:rPr>
        <w:t>קשורות במישרין ל</w:t>
      </w:r>
      <w:r w:rsidR="00745427">
        <w:rPr>
          <w:rFonts w:cs="David" w:hint="cs"/>
          <w:sz w:val="28"/>
          <w:szCs w:val="28"/>
          <w:rtl/>
        </w:rPr>
        <w:t xml:space="preserve">אופיו הייחודי של </w:t>
      </w:r>
      <w:r>
        <w:rPr>
          <w:rFonts w:cs="David" w:hint="cs"/>
          <w:sz w:val="28"/>
          <w:szCs w:val="28"/>
          <w:rtl/>
        </w:rPr>
        <w:t>צה"ל</w:t>
      </w:r>
      <w:r w:rsidR="007C6D01">
        <w:rPr>
          <w:rFonts w:cs="David" w:hint="cs"/>
          <w:sz w:val="28"/>
          <w:szCs w:val="28"/>
          <w:rtl/>
        </w:rPr>
        <w:t xml:space="preserve"> - </w:t>
      </w:r>
      <w:r w:rsidR="00A14B3C">
        <w:rPr>
          <w:rFonts w:cs="David" w:hint="cs"/>
          <w:sz w:val="28"/>
          <w:szCs w:val="28"/>
          <w:rtl/>
        </w:rPr>
        <w:t>צבאה של המדינה</w:t>
      </w:r>
      <w:r>
        <w:rPr>
          <w:rFonts w:cs="David" w:hint="cs"/>
          <w:sz w:val="28"/>
          <w:szCs w:val="28"/>
          <w:rtl/>
        </w:rPr>
        <w:t xml:space="preserve">. כאמור, </w:t>
      </w:r>
      <w:r w:rsidR="00A14B3C">
        <w:rPr>
          <w:rFonts w:cs="David" w:hint="cs"/>
          <w:sz w:val="28"/>
          <w:szCs w:val="28"/>
          <w:rtl/>
        </w:rPr>
        <w:t xml:space="preserve"> </w:t>
      </w:r>
      <w:r>
        <w:rPr>
          <w:rFonts w:cs="David" w:hint="cs"/>
          <w:sz w:val="28"/>
          <w:szCs w:val="28"/>
          <w:rtl/>
        </w:rPr>
        <w:t xml:space="preserve">הצבא הוא </w:t>
      </w:r>
      <w:r w:rsidR="00A14B3C">
        <w:rPr>
          <w:rFonts w:cs="David" w:hint="cs"/>
          <w:sz w:val="28"/>
          <w:szCs w:val="28"/>
          <w:rtl/>
        </w:rPr>
        <w:t xml:space="preserve">ארגון </w:t>
      </w:r>
      <w:r w:rsidR="00CE4E50" w:rsidRPr="00A14B3C">
        <w:rPr>
          <w:rFonts w:cs="David" w:hint="cs"/>
          <w:sz w:val="28"/>
          <w:szCs w:val="28"/>
          <w:rtl/>
        </w:rPr>
        <w:t>היררכי</w:t>
      </w:r>
      <w:r w:rsidR="00A14B3C">
        <w:rPr>
          <w:rFonts w:cs="David" w:hint="cs"/>
          <w:sz w:val="28"/>
          <w:szCs w:val="28"/>
          <w:rtl/>
        </w:rPr>
        <w:t>, ה</w:t>
      </w:r>
      <w:r w:rsidR="00D312E9">
        <w:rPr>
          <w:rFonts w:cs="David" w:hint="cs"/>
          <w:sz w:val="28"/>
          <w:szCs w:val="28"/>
          <w:rtl/>
        </w:rPr>
        <w:t>נושא באחריות ל</w:t>
      </w:r>
      <w:r w:rsidR="00A14B3C">
        <w:rPr>
          <w:rFonts w:cs="David" w:hint="cs"/>
          <w:sz w:val="28"/>
          <w:szCs w:val="28"/>
          <w:rtl/>
        </w:rPr>
        <w:t xml:space="preserve">ביטחון המדינה </w:t>
      </w:r>
      <w:r w:rsidR="007C6D01">
        <w:rPr>
          <w:rFonts w:cs="David" w:hint="cs"/>
          <w:sz w:val="28"/>
          <w:szCs w:val="28"/>
          <w:rtl/>
        </w:rPr>
        <w:t>ו</w:t>
      </w:r>
      <w:r w:rsidR="00D312E9">
        <w:rPr>
          <w:rFonts w:cs="David" w:hint="cs"/>
          <w:sz w:val="28"/>
          <w:szCs w:val="28"/>
          <w:rtl/>
        </w:rPr>
        <w:t>ל</w:t>
      </w:r>
      <w:r w:rsidR="007C6D01">
        <w:rPr>
          <w:rFonts w:cs="David" w:hint="cs"/>
          <w:sz w:val="28"/>
          <w:szCs w:val="28"/>
          <w:rtl/>
        </w:rPr>
        <w:t xml:space="preserve">שלום תושביה, </w:t>
      </w:r>
      <w:r w:rsidR="00A14B3C">
        <w:rPr>
          <w:rFonts w:cs="David" w:hint="cs"/>
          <w:sz w:val="28"/>
          <w:szCs w:val="28"/>
          <w:rtl/>
        </w:rPr>
        <w:t>ו</w:t>
      </w:r>
      <w:r w:rsidR="007C6D01">
        <w:rPr>
          <w:rFonts w:cs="David" w:hint="cs"/>
          <w:sz w:val="28"/>
          <w:szCs w:val="28"/>
          <w:rtl/>
        </w:rPr>
        <w:t xml:space="preserve">מתגייסים </w:t>
      </w:r>
      <w:r w:rsidR="00A14B3C">
        <w:rPr>
          <w:rFonts w:cs="David" w:hint="cs"/>
          <w:sz w:val="28"/>
          <w:szCs w:val="28"/>
          <w:rtl/>
        </w:rPr>
        <w:t>אליו</w:t>
      </w:r>
      <w:r w:rsidR="00843E9F">
        <w:rPr>
          <w:rFonts w:cs="David" w:hint="cs"/>
          <w:sz w:val="28"/>
          <w:szCs w:val="28"/>
          <w:rtl/>
        </w:rPr>
        <w:t>, מכוח חוק,</w:t>
      </w:r>
      <w:r w:rsidR="00A14B3C">
        <w:rPr>
          <w:rFonts w:cs="David" w:hint="cs"/>
          <w:sz w:val="28"/>
          <w:szCs w:val="28"/>
          <w:rtl/>
        </w:rPr>
        <w:t xml:space="preserve"> אזרחי המדינה בגילים המתאימים. </w:t>
      </w:r>
      <w:r w:rsidR="003B4DE8">
        <w:rPr>
          <w:rFonts w:cs="David" w:hint="cs"/>
          <w:sz w:val="28"/>
          <w:szCs w:val="28"/>
          <w:rtl/>
        </w:rPr>
        <w:t>תפקידו ו</w:t>
      </w:r>
      <w:r w:rsidR="00D312E9">
        <w:rPr>
          <w:rFonts w:cs="David" w:hint="cs"/>
          <w:sz w:val="28"/>
          <w:szCs w:val="28"/>
          <w:rtl/>
        </w:rPr>
        <w:t>מעמדו של המפקד נגזר</w:t>
      </w:r>
      <w:r w:rsidR="003B4DE8">
        <w:rPr>
          <w:rFonts w:cs="David" w:hint="cs"/>
          <w:sz w:val="28"/>
          <w:szCs w:val="28"/>
          <w:rtl/>
        </w:rPr>
        <w:t>ים</w:t>
      </w:r>
      <w:r w:rsidR="00D312E9">
        <w:rPr>
          <w:rFonts w:cs="David" w:hint="cs"/>
          <w:sz w:val="28"/>
          <w:szCs w:val="28"/>
          <w:rtl/>
        </w:rPr>
        <w:t xml:space="preserve"> מייעודו של הצבא ומן הדרישה שאין להתפשר בה - להקפיד על דריכות מבצעית וכוננות מלאה, לאורך זמן.</w:t>
      </w:r>
      <w:r w:rsidR="005B1372">
        <w:rPr>
          <w:rFonts w:cs="David" w:hint="cs"/>
          <w:sz w:val="28"/>
          <w:szCs w:val="28"/>
          <w:rtl/>
        </w:rPr>
        <w:t>..</w:t>
      </w:r>
      <w:r w:rsidR="00D312E9">
        <w:rPr>
          <w:rFonts w:cs="David" w:hint="cs"/>
          <w:sz w:val="28"/>
          <w:szCs w:val="28"/>
          <w:rtl/>
        </w:rPr>
        <w:t xml:space="preserve"> </w:t>
      </w:r>
    </w:p>
    <w:p w14:paraId="6CE64B24" w14:textId="77777777" w:rsidR="005B1372" w:rsidRDefault="00C37D74" w:rsidP="005B1372">
      <w:pPr>
        <w:tabs>
          <w:tab w:val="left" w:pos="226"/>
        </w:tabs>
        <w:ind w:left="1418" w:right="1418"/>
        <w:jc w:val="both"/>
        <w:rPr>
          <w:rFonts w:cs="David"/>
          <w:sz w:val="28"/>
          <w:szCs w:val="28"/>
          <w:rtl/>
        </w:rPr>
      </w:pPr>
      <w:r w:rsidRPr="00432DEA">
        <w:rPr>
          <w:rFonts w:cs="David" w:hint="cs"/>
          <w:sz w:val="28"/>
          <w:szCs w:val="28"/>
          <w:rtl/>
        </w:rPr>
        <w:t xml:space="preserve">צה"ל הוא צבא העם. חיילנו משרתים בו מכוח חובה שבחוק. על רקע זה קיימת חשיבות מיוחדת להטמעת ערך האמון בין החיילים למפקדים ובין המפקדים לציבור הרחב. </w:t>
      </w:r>
      <w:r w:rsidRPr="007C6D01">
        <w:rPr>
          <w:rFonts w:cs="David" w:hint="cs"/>
          <w:b/>
          <w:bCs/>
          <w:sz w:val="28"/>
          <w:szCs w:val="28"/>
          <w:rtl/>
        </w:rPr>
        <w:t>אמון זה הוא הבסיס לציות החיילים למפקדיהם והוא שיבטיח כי ביום פקודה יפעל הצבא כגוף אחד הנחוש לבצע את משימותיו</w:t>
      </w:r>
      <w:r>
        <w:rPr>
          <w:rFonts w:cs="David" w:hint="cs"/>
          <w:sz w:val="28"/>
          <w:szCs w:val="28"/>
          <w:rtl/>
        </w:rPr>
        <w:t>"</w:t>
      </w:r>
      <w:r w:rsidRPr="00432DEA">
        <w:rPr>
          <w:rFonts w:cs="David" w:hint="cs"/>
          <w:sz w:val="28"/>
          <w:szCs w:val="28"/>
          <w:rtl/>
        </w:rPr>
        <w:t xml:space="preserve"> </w:t>
      </w:r>
      <w:r>
        <w:rPr>
          <w:rFonts w:cs="David" w:hint="cs"/>
          <w:sz w:val="28"/>
          <w:szCs w:val="28"/>
          <w:rtl/>
        </w:rPr>
        <w:t>(</w:t>
      </w:r>
      <w:r w:rsidRPr="00432DEA">
        <w:rPr>
          <w:rFonts w:cs="David" w:hint="cs"/>
          <w:sz w:val="28"/>
          <w:szCs w:val="28"/>
          <w:rtl/>
        </w:rPr>
        <w:t>ע</w:t>
      </w:r>
      <w:r w:rsidR="005E710C">
        <w:rPr>
          <w:rFonts w:cs="David" w:hint="cs"/>
          <w:sz w:val="28"/>
          <w:szCs w:val="28"/>
          <w:rtl/>
        </w:rPr>
        <w:t xml:space="preserve">ניין </w:t>
      </w:r>
      <w:r w:rsidRPr="00432DEA">
        <w:rPr>
          <w:rFonts w:cs="David" w:hint="cs"/>
          <w:b/>
          <w:bCs/>
          <w:sz w:val="28"/>
          <w:szCs w:val="28"/>
          <w:rtl/>
        </w:rPr>
        <w:t>אל"ם מור חיים</w:t>
      </w:r>
      <w:r w:rsidRPr="00432DEA">
        <w:rPr>
          <w:rFonts w:cs="David" w:hint="cs"/>
          <w:sz w:val="28"/>
          <w:szCs w:val="28"/>
          <w:rtl/>
        </w:rPr>
        <w:t xml:space="preserve"> </w:t>
      </w:r>
      <w:r w:rsidR="005E710C">
        <w:rPr>
          <w:rFonts w:cs="David" w:hint="cs"/>
          <w:sz w:val="28"/>
          <w:szCs w:val="28"/>
          <w:rtl/>
        </w:rPr>
        <w:t>לעיל</w:t>
      </w:r>
      <w:r w:rsidR="007C6D01">
        <w:rPr>
          <w:rFonts w:cs="David" w:hint="cs"/>
          <w:sz w:val="28"/>
          <w:szCs w:val="28"/>
          <w:rtl/>
        </w:rPr>
        <w:t>, הדגשות הוספו</w:t>
      </w:r>
      <w:r>
        <w:rPr>
          <w:rFonts w:cs="David" w:hint="cs"/>
          <w:sz w:val="28"/>
          <w:szCs w:val="28"/>
          <w:rtl/>
        </w:rPr>
        <w:t>)</w:t>
      </w:r>
      <w:r w:rsidR="005B1372">
        <w:rPr>
          <w:rFonts w:cs="David" w:hint="cs"/>
          <w:sz w:val="28"/>
          <w:szCs w:val="28"/>
          <w:rtl/>
        </w:rPr>
        <w:t xml:space="preserve">... </w:t>
      </w:r>
    </w:p>
    <w:p w14:paraId="59DD9BF6" w14:textId="77777777" w:rsidR="00197469" w:rsidRPr="00197469" w:rsidRDefault="000C3604" w:rsidP="005B1372">
      <w:pPr>
        <w:tabs>
          <w:tab w:val="left" w:pos="226"/>
        </w:tabs>
        <w:ind w:left="1418" w:right="1418"/>
        <w:jc w:val="both"/>
        <w:rPr>
          <w:rFonts w:cs="David"/>
          <w:sz w:val="28"/>
          <w:szCs w:val="28"/>
        </w:rPr>
      </w:pPr>
      <w:r>
        <w:rPr>
          <w:rFonts w:cs="David" w:hint="cs"/>
          <w:sz w:val="28"/>
          <w:szCs w:val="28"/>
          <w:rtl/>
        </w:rPr>
        <w:t>לא יכולה להיות מחלוקת כי למפקדים בצ</w:t>
      </w:r>
      <w:r w:rsidR="00FF58C9">
        <w:rPr>
          <w:rFonts w:cs="David" w:hint="cs"/>
          <w:sz w:val="28"/>
          <w:szCs w:val="28"/>
          <w:rtl/>
        </w:rPr>
        <w:t>ה"ל, לא כל שכן, לאלה שאינם זוטרים</w:t>
      </w:r>
      <w:r w:rsidR="00685C62">
        <w:rPr>
          <w:rFonts w:cs="David" w:hint="cs"/>
          <w:sz w:val="28"/>
          <w:szCs w:val="28"/>
          <w:rtl/>
        </w:rPr>
        <w:t xml:space="preserve"> והם בשירות קבע</w:t>
      </w:r>
      <w:r w:rsidR="00FF58C9">
        <w:rPr>
          <w:rFonts w:cs="David" w:hint="cs"/>
          <w:sz w:val="28"/>
          <w:szCs w:val="28"/>
          <w:rtl/>
        </w:rPr>
        <w:t xml:space="preserve">, </w:t>
      </w:r>
      <w:r w:rsidR="00FF58C9" w:rsidRPr="00FF58C9">
        <w:rPr>
          <w:rFonts w:cs="David" w:hint="cs"/>
          <w:b/>
          <w:bCs/>
          <w:sz w:val="28"/>
          <w:szCs w:val="28"/>
          <w:rtl/>
        </w:rPr>
        <w:t>מעמד שונה</w:t>
      </w:r>
      <w:r w:rsidR="00233C87" w:rsidRPr="00233C87">
        <w:rPr>
          <w:rFonts w:cs="David" w:hint="cs"/>
          <w:sz w:val="28"/>
          <w:szCs w:val="28"/>
          <w:rtl/>
        </w:rPr>
        <w:t xml:space="preserve">, הן </w:t>
      </w:r>
      <w:r w:rsidR="00F2203C">
        <w:rPr>
          <w:rFonts w:cs="David" w:hint="cs"/>
          <w:sz w:val="28"/>
          <w:szCs w:val="28"/>
          <w:rtl/>
        </w:rPr>
        <w:t>ביחס ל</w:t>
      </w:r>
      <w:r w:rsidR="00233C87" w:rsidRPr="00233C87">
        <w:rPr>
          <w:rFonts w:cs="David" w:hint="cs"/>
          <w:sz w:val="28"/>
          <w:szCs w:val="28"/>
          <w:rtl/>
        </w:rPr>
        <w:t xml:space="preserve">אזרחים אחרים </w:t>
      </w:r>
      <w:r w:rsidR="00F2203C">
        <w:rPr>
          <w:rFonts w:cs="David" w:hint="cs"/>
          <w:sz w:val="28"/>
          <w:szCs w:val="28"/>
          <w:rtl/>
        </w:rPr>
        <w:t xml:space="preserve">במדינה </w:t>
      </w:r>
      <w:r w:rsidR="00233C87" w:rsidRPr="00233C87">
        <w:rPr>
          <w:rFonts w:cs="David" w:hint="cs"/>
          <w:sz w:val="28"/>
          <w:szCs w:val="28"/>
          <w:rtl/>
        </w:rPr>
        <w:t xml:space="preserve">והן </w:t>
      </w:r>
      <w:r w:rsidR="00F2203C">
        <w:rPr>
          <w:rFonts w:cs="David" w:hint="cs"/>
          <w:sz w:val="28"/>
          <w:szCs w:val="28"/>
          <w:rtl/>
        </w:rPr>
        <w:t>ביחס ל</w:t>
      </w:r>
      <w:r w:rsidR="00233C87" w:rsidRPr="00233C87">
        <w:rPr>
          <w:rFonts w:cs="David" w:hint="cs"/>
          <w:sz w:val="28"/>
          <w:szCs w:val="28"/>
          <w:rtl/>
        </w:rPr>
        <w:t>חיילים בשירות חובה</w:t>
      </w:r>
      <w:r w:rsidR="00F2203C">
        <w:rPr>
          <w:rFonts w:cs="David" w:hint="cs"/>
          <w:sz w:val="28"/>
          <w:szCs w:val="28"/>
          <w:rtl/>
        </w:rPr>
        <w:t xml:space="preserve"> בצבא</w:t>
      </w:r>
      <w:r w:rsidR="00685C62" w:rsidRPr="00197469">
        <w:rPr>
          <w:rFonts w:cs="David" w:hint="cs"/>
          <w:sz w:val="28"/>
          <w:szCs w:val="28"/>
          <w:rtl/>
        </w:rPr>
        <w:t xml:space="preserve">. </w:t>
      </w:r>
      <w:r w:rsidR="00197469" w:rsidRPr="00197469">
        <w:rPr>
          <w:rFonts w:cs="David" w:hint="cs"/>
          <w:sz w:val="28"/>
          <w:szCs w:val="28"/>
          <w:rtl/>
        </w:rPr>
        <w:t>ו</w:t>
      </w:r>
      <w:r w:rsidR="00197469">
        <w:rPr>
          <w:rFonts w:cs="David" w:hint="cs"/>
          <w:sz w:val="28"/>
          <w:szCs w:val="28"/>
          <w:rtl/>
        </w:rPr>
        <w:t>יפ</w:t>
      </w:r>
      <w:r w:rsidR="00710F00">
        <w:rPr>
          <w:rFonts w:cs="David" w:hint="cs"/>
          <w:sz w:val="28"/>
          <w:szCs w:val="28"/>
          <w:rtl/>
        </w:rPr>
        <w:t>י</w:t>
      </w:r>
      <w:r w:rsidR="00197469">
        <w:rPr>
          <w:rFonts w:cs="David" w:hint="cs"/>
          <w:sz w:val="28"/>
          <w:szCs w:val="28"/>
          <w:rtl/>
        </w:rPr>
        <w:t>ם לכאן הדברים הבאים:</w:t>
      </w:r>
    </w:p>
    <w:p w14:paraId="25B51E2F" w14:textId="77777777" w:rsidR="005B1372" w:rsidRDefault="005B1372" w:rsidP="005B1372">
      <w:pPr>
        <w:tabs>
          <w:tab w:val="left" w:pos="226"/>
        </w:tabs>
        <w:ind w:left="1418" w:right="1418"/>
        <w:jc w:val="both"/>
        <w:rPr>
          <w:rFonts w:cs="David"/>
          <w:sz w:val="28"/>
          <w:szCs w:val="28"/>
          <w:rtl/>
        </w:rPr>
      </w:pPr>
      <w:r>
        <w:rPr>
          <w:rFonts w:cs="David" w:hint="cs"/>
          <w:sz w:val="28"/>
          <w:szCs w:val="28"/>
          <w:rtl/>
        </w:rPr>
        <w:t>'</w:t>
      </w:r>
      <w:r w:rsidR="00197469">
        <w:rPr>
          <w:rFonts w:cs="David" w:hint="cs"/>
          <w:sz w:val="28"/>
          <w:szCs w:val="28"/>
          <w:rtl/>
        </w:rPr>
        <w:t xml:space="preserve">על המפקדים מוטלים הרבה תפקידים: לאמן חיילים, להקנות להם סדר ומשמעת, ללמדם הלכות קרבות, לדאוג לרווחתם ולצרכיהם. כל אלה הם הכרחיים וחיוניים, אבל המפקד לא יהיה ראוי לשמו ולשליחותו אם לא יהיה יותר מזה. </w:t>
      </w:r>
      <w:r w:rsidR="00197469" w:rsidRPr="00197469">
        <w:rPr>
          <w:rFonts w:cs="David" w:hint="cs"/>
          <w:b/>
          <w:bCs/>
          <w:sz w:val="28"/>
          <w:szCs w:val="28"/>
          <w:rtl/>
        </w:rPr>
        <w:t>מפקד אמיתי הוא רק מי שמסוגל להיות אדם למופת.</w:t>
      </w:r>
      <w:r w:rsidR="00197469">
        <w:rPr>
          <w:rFonts w:cs="David" w:hint="cs"/>
          <w:sz w:val="28"/>
          <w:szCs w:val="28"/>
          <w:rtl/>
        </w:rPr>
        <w:t xml:space="preserve">.. אדם מחנך לא בהסברה ולא בפקודות </w:t>
      </w:r>
      <w:r w:rsidR="00197469">
        <w:rPr>
          <w:rFonts w:cs="David"/>
          <w:sz w:val="28"/>
          <w:szCs w:val="28"/>
          <w:rtl/>
        </w:rPr>
        <w:t>–</w:t>
      </w:r>
      <w:r w:rsidR="00197469">
        <w:rPr>
          <w:rFonts w:cs="David" w:hint="cs"/>
          <w:sz w:val="28"/>
          <w:szCs w:val="28"/>
          <w:rtl/>
        </w:rPr>
        <w:t xml:space="preserve"> ואי אפשר לצבא גם בלי אלה, אבל אלה אינם מספיקים: </w:t>
      </w:r>
      <w:r w:rsidR="00197469" w:rsidRPr="00197469">
        <w:rPr>
          <w:rFonts w:cs="David" w:hint="cs"/>
          <w:b/>
          <w:bCs/>
          <w:sz w:val="28"/>
          <w:szCs w:val="28"/>
          <w:rtl/>
        </w:rPr>
        <w:t>מחנכת הדוגמה החיה, דוגמת חיים של האדם למופת</w:t>
      </w:r>
      <w:r w:rsidR="00197469">
        <w:rPr>
          <w:rFonts w:cs="David" w:hint="cs"/>
          <w:sz w:val="28"/>
          <w:szCs w:val="28"/>
          <w:rtl/>
        </w:rPr>
        <w:t xml:space="preserve">... </w:t>
      </w:r>
      <w:r>
        <w:rPr>
          <w:rFonts w:cs="David" w:hint="cs"/>
          <w:sz w:val="28"/>
          <w:szCs w:val="28"/>
          <w:rtl/>
        </w:rPr>
        <w:t>'</w:t>
      </w:r>
      <w:r w:rsidR="00197469">
        <w:rPr>
          <w:rFonts w:cs="David" w:hint="cs"/>
          <w:sz w:val="28"/>
          <w:szCs w:val="28"/>
          <w:rtl/>
        </w:rPr>
        <w:t xml:space="preserve">(דוד בן גוריון, </w:t>
      </w:r>
      <w:r w:rsidR="00197469" w:rsidRPr="00197469">
        <w:rPr>
          <w:rFonts w:cs="David" w:hint="cs"/>
          <w:b/>
          <w:bCs/>
          <w:sz w:val="28"/>
          <w:szCs w:val="28"/>
          <w:rtl/>
        </w:rPr>
        <w:t>בהילחם ישראל</w:t>
      </w:r>
      <w:r w:rsidR="00197469">
        <w:rPr>
          <w:rFonts w:cs="David" w:hint="cs"/>
          <w:sz w:val="28"/>
          <w:szCs w:val="28"/>
          <w:rtl/>
        </w:rPr>
        <w:t xml:space="preserve">, </w:t>
      </w:r>
      <w:r w:rsidR="00710F00">
        <w:rPr>
          <w:rFonts w:cs="David" w:hint="cs"/>
          <w:sz w:val="28"/>
          <w:szCs w:val="28"/>
          <w:rtl/>
        </w:rPr>
        <w:t xml:space="preserve">(מהדורת 2018), </w:t>
      </w:r>
      <w:r w:rsidR="00197469">
        <w:rPr>
          <w:rFonts w:cs="David" w:hint="cs"/>
          <w:sz w:val="28"/>
          <w:szCs w:val="28"/>
          <w:rtl/>
        </w:rPr>
        <w:t>עמ' 303)</w:t>
      </w:r>
    </w:p>
    <w:p w14:paraId="3053C78B" w14:textId="77777777" w:rsidR="00D415DF" w:rsidRDefault="00685C62" w:rsidP="00EB0CD2">
      <w:pPr>
        <w:tabs>
          <w:tab w:val="left" w:pos="226"/>
        </w:tabs>
        <w:ind w:left="1418" w:right="1418"/>
        <w:jc w:val="both"/>
        <w:rPr>
          <w:rFonts w:cs="David"/>
          <w:b/>
          <w:bCs/>
          <w:sz w:val="28"/>
          <w:szCs w:val="28"/>
          <w:rtl/>
        </w:rPr>
      </w:pPr>
      <w:r w:rsidRPr="00197469">
        <w:rPr>
          <w:rFonts w:cs="David" w:hint="cs"/>
          <w:sz w:val="28"/>
          <w:szCs w:val="28"/>
          <w:rtl/>
        </w:rPr>
        <w:t>המדובר</w:t>
      </w:r>
      <w:r w:rsidR="00197469" w:rsidRPr="00197469">
        <w:rPr>
          <w:rFonts w:cs="David" w:hint="cs"/>
          <w:sz w:val="28"/>
          <w:szCs w:val="28"/>
          <w:rtl/>
        </w:rPr>
        <w:t xml:space="preserve">, אפוא, </w:t>
      </w:r>
      <w:r>
        <w:rPr>
          <w:rFonts w:cs="David" w:hint="cs"/>
          <w:b/>
          <w:bCs/>
          <w:sz w:val="28"/>
          <w:szCs w:val="28"/>
          <w:rtl/>
        </w:rPr>
        <w:t>ב</w:t>
      </w:r>
      <w:r w:rsidR="00FF58C9" w:rsidRPr="00FF58C9">
        <w:rPr>
          <w:rFonts w:cs="David" w:hint="cs"/>
          <w:b/>
          <w:bCs/>
          <w:sz w:val="28"/>
          <w:szCs w:val="28"/>
          <w:rtl/>
        </w:rPr>
        <w:t>קבוצה ייחודית</w:t>
      </w:r>
      <w:r w:rsidR="00FF58C9">
        <w:rPr>
          <w:rFonts w:cs="David" w:hint="cs"/>
          <w:sz w:val="28"/>
          <w:szCs w:val="28"/>
          <w:rtl/>
        </w:rPr>
        <w:t xml:space="preserve">, החבה במידת </w:t>
      </w:r>
      <w:r w:rsidR="00FF58C9" w:rsidRPr="00685C62">
        <w:rPr>
          <w:rFonts w:cs="David" w:hint="cs"/>
          <w:b/>
          <w:bCs/>
          <w:sz w:val="28"/>
          <w:szCs w:val="28"/>
          <w:rtl/>
        </w:rPr>
        <w:t>אמון מוגברת</w:t>
      </w:r>
      <w:r w:rsidR="00FF58C9">
        <w:rPr>
          <w:rFonts w:cs="David" w:hint="cs"/>
          <w:sz w:val="28"/>
          <w:szCs w:val="28"/>
          <w:rtl/>
        </w:rPr>
        <w:t xml:space="preserve">  כלפי </w:t>
      </w:r>
      <w:r w:rsidR="00E8160B">
        <w:rPr>
          <w:rFonts w:cs="David" w:hint="cs"/>
          <w:sz w:val="28"/>
          <w:szCs w:val="28"/>
          <w:rtl/>
        </w:rPr>
        <w:t xml:space="preserve">הפקודים, </w:t>
      </w:r>
      <w:r w:rsidR="008A0F88">
        <w:rPr>
          <w:rFonts w:cs="David" w:hint="cs"/>
          <w:sz w:val="28"/>
          <w:szCs w:val="28"/>
          <w:rtl/>
        </w:rPr>
        <w:t xml:space="preserve">כלפי </w:t>
      </w:r>
      <w:r w:rsidR="00E8160B">
        <w:rPr>
          <w:rFonts w:cs="David" w:hint="cs"/>
          <w:sz w:val="28"/>
          <w:szCs w:val="28"/>
          <w:rtl/>
        </w:rPr>
        <w:t>מפקדי הצבא ו</w:t>
      </w:r>
      <w:r w:rsidR="008A0F88">
        <w:rPr>
          <w:rFonts w:cs="David" w:hint="cs"/>
          <w:sz w:val="28"/>
          <w:szCs w:val="28"/>
          <w:rtl/>
        </w:rPr>
        <w:t xml:space="preserve">כלפי </w:t>
      </w:r>
      <w:r w:rsidR="00FF58C9">
        <w:rPr>
          <w:rFonts w:cs="David" w:hint="cs"/>
          <w:sz w:val="28"/>
          <w:szCs w:val="28"/>
          <w:rtl/>
        </w:rPr>
        <w:t>הציבור</w:t>
      </w:r>
      <w:r w:rsidR="00E8160B">
        <w:rPr>
          <w:rFonts w:cs="David" w:hint="cs"/>
          <w:sz w:val="28"/>
          <w:szCs w:val="28"/>
          <w:rtl/>
        </w:rPr>
        <w:t xml:space="preserve"> כולו</w:t>
      </w:r>
      <w:r>
        <w:rPr>
          <w:rFonts w:cs="David" w:hint="cs"/>
          <w:sz w:val="28"/>
          <w:szCs w:val="28"/>
          <w:rtl/>
        </w:rPr>
        <w:t xml:space="preserve">. קבוצה </w:t>
      </w:r>
      <w:r w:rsidRPr="00685C62">
        <w:rPr>
          <w:rFonts w:cs="David" w:hint="cs"/>
          <w:b/>
          <w:bCs/>
          <w:sz w:val="28"/>
          <w:szCs w:val="28"/>
          <w:rtl/>
        </w:rPr>
        <w:t>ש</w:t>
      </w:r>
      <w:r w:rsidR="00FF58C9" w:rsidRPr="00685C62">
        <w:rPr>
          <w:rFonts w:cs="David"/>
          <w:b/>
          <w:bCs/>
          <w:sz w:val="28"/>
          <w:szCs w:val="28"/>
          <w:rtl/>
        </w:rPr>
        <w:t>ת</w:t>
      </w:r>
      <w:r w:rsidR="00FF58C9" w:rsidRPr="00FF58C9">
        <w:rPr>
          <w:rFonts w:cs="David"/>
          <w:b/>
          <w:bCs/>
          <w:sz w:val="28"/>
          <w:szCs w:val="28"/>
          <w:rtl/>
        </w:rPr>
        <w:t>קינות פעולותי</w:t>
      </w:r>
      <w:r w:rsidR="00FF58C9">
        <w:rPr>
          <w:rFonts w:cs="David" w:hint="cs"/>
          <w:b/>
          <w:bCs/>
          <w:sz w:val="28"/>
          <w:szCs w:val="28"/>
          <w:rtl/>
        </w:rPr>
        <w:t>הם</w:t>
      </w:r>
      <w:r w:rsidR="00FF58C9" w:rsidRPr="00FF58C9">
        <w:rPr>
          <w:rFonts w:cs="David"/>
          <w:b/>
          <w:bCs/>
          <w:sz w:val="28"/>
          <w:szCs w:val="28"/>
          <w:rtl/>
        </w:rPr>
        <w:t xml:space="preserve"> וטוהר המידות של</w:t>
      </w:r>
      <w:r>
        <w:rPr>
          <w:rFonts w:cs="David" w:hint="cs"/>
          <w:b/>
          <w:bCs/>
          <w:sz w:val="28"/>
          <w:szCs w:val="28"/>
          <w:rtl/>
        </w:rPr>
        <w:t xml:space="preserve"> החברים בה</w:t>
      </w:r>
      <w:r w:rsidR="00FF58C9">
        <w:rPr>
          <w:rFonts w:cs="David" w:hint="cs"/>
          <w:b/>
          <w:bCs/>
          <w:sz w:val="28"/>
          <w:szCs w:val="28"/>
          <w:rtl/>
        </w:rPr>
        <w:t>, ה</w:t>
      </w:r>
      <w:r>
        <w:rPr>
          <w:rFonts w:cs="David" w:hint="cs"/>
          <w:b/>
          <w:bCs/>
          <w:sz w:val="28"/>
          <w:szCs w:val="28"/>
          <w:rtl/>
        </w:rPr>
        <w:t xml:space="preserve">ם </w:t>
      </w:r>
      <w:r w:rsidR="00FF58C9" w:rsidRPr="00FF58C9">
        <w:rPr>
          <w:rFonts w:cs="David"/>
          <w:b/>
          <w:bCs/>
          <w:sz w:val="28"/>
          <w:szCs w:val="28"/>
          <w:rtl/>
        </w:rPr>
        <w:t>תנאי הכרחי לקיומו ול</w:t>
      </w:r>
      <w:r>
        <w:rPr>
          <w:rFonts w:cs="David" w:hint="cs"/>
          <w:b/>
          <w:bCs/>
          <w:sz w:val="28"/>
          <w:szCs w:val="28"/>
          <w:rtl/>
        </w:rPr>
        <w:t xml:space="preserve">חוסנו </w:t>
      </w:r>
      <w:r w:rsidR="00FF58C9">
        <w:rPr>
          <w:rFonts w:cs="David" w:hint="cs"/>
          <w:b/>
          <w:bCs/>
          <w:sz w:val="28"/>
          <w:szCs w:val="28"/>
          <w:rtl/>
        </w:rPr>
        <w:t xml:space="preserve">של צה"ל </w:t>
      </w:r>
      <w:r w:rsidR="00FF58C9" w:rsidRPr="00FF58C9">
        <w:rPr>
          <w:rFonts w:cs="David"/>
          <w:b/>
          <w:bCs/>
          <w:sz w:val="28"/>
          <w:szCs w:val="28"/>
          <w:rtl/>
        </w:rPr>
        <w:t>כצבא הגנה לישראל</w:t>
      </w:r>
      <w:r w:rsidR="005B1372">
        <w:rPr>
          <w:rFonts w:cs="David" w:hint="cs"/>
          <w:b/>
          <w:bCs/>
          <w:sz w:val="28"/>
          <w:szCs w:val="28"/>
          <w:rtl/>
        </w:rPr>
        <w:t>"</w:t>
      </w:r>
      <w:r w:rsidR="00EB0CD2">
        <w:rPr>
          <w:rFonts w:cs="David" w:hint="cs"/>
          <w:b/>
          <w:bCs/>
          <w:sz w:val="28"/>
          <w:szCs w:val="28"/>
          <w:rtl/>
        </w:rPr>
        <w:t xml:space="preserve"> </w:t>
      </w:r>
      <w:r w:rsidR="00EB0CD2" w:rsidRPr="00EB0CD2">
        <w:rPr>
          <w:rFonts w:cs="David" w:hint="cs"/>
          <w:sz w:val="28"/>
          <w:szCs w:val="28"/>
          <w:rtl/>
        </w:rPr>
        <w:t>(שם, פסקאות 39-36, הדגשות במקור</w:t>
      </w:r>
      <w:r w:rsidR="00EB0CD2" w:rsidRPr="004669E9">
        <w:rPr>
          <w:rFonts w:cs="David" w:hint="cs"/>
          <w:sz w:val="28"/>
          <w:szCs w:val="28"/>
          <w:rtl/>
        </w:rPr>
        <w:t>)</w:t>
      </w:r>
      <w:r w:rsidR="00F20B1B" w:rsidRPr="004669E9">
        <w:rPr>
          <w:rFonts w:cs="David" w:hint="cs"/>
          <w:sz w:val="28"/>
          <w:szCs w:val="28"/>
          <w:rtl/>
        </w:rPr>
        <w:t>.</w:t>
      </w:r>
    </w:p>
    <w:p w14:paraId="191AEA81" w14:textId="77777777" w:rsidR="00B2737B" w:rsidRDefault="00FF58C9" w:rsidP="005B1372">
      <w:pPr>
        <w:tabs>
          <w:tab w:val="left" w:pos="226"/>
        </w:tabs>
        <w:ind w:left="1418" w:right="1418"/>
        <w:jc w:val="both"/>
        <w:rPr>
          <w:rFonts w:cs="David"/>
          <w:sz w:val="28"/>
          <w:szCs w:val="28"/>
        </w:rPr>
      </w:pPr>
      <w:r>
        <w:rPr>
          <w:rFonts w:cs="David" w:hint="cs"/>
          <w:b/>
          <w:bCs/>
          <w:sz w:val="28"/>
          <w:szCs w:val="28"/>
          <w:rtl/>
        </w:rPr>
        <w:lastRenderedPageBreak/>
        <w:t xml:space="preserve"> </w:t>
      </w:r>
    </w:p>
    <w:p w14:paraId="38A30385" w14:textId="77777777" w:rsidR="000F0532" w:rsidRDefault="00D415DF" w:rsidP="00E96E8C">
      <w:pPr>
        <w:numPr>
          <w:ilvl w:val="0"/>
          <w:numId w:val="4"/>
        </w:numPr>
        <w:tabs>
          <w:tab w:val="left" w:pos="368"/>
        </w:tabs>
        <w:spacing w:line="360" w:lineRule="auto"/>
        <w:ind w:left="-58" w:firstLine="0"/>
        <w:jc w:val="both"/>
        <w:rPr>
          <w:rFonts w:cs="David"/>
          <w:sz w:val="28"/>
          <w:szCs w:val="28"/>
        </w:rPr>
      </w:pPr>
      <w:r w:rsidRPr="00156192">
        <w:rPr>
          <w:rFonts w:cs="David" w:hint="cs"/>
          <w:sz w:val="28"/>
          <w:szCs w:val="28"/>
          <w:rtl/>
        </w:rPr>
        <w:t xml:space="preserve">בהמשך, נפנה בית דין </w:t>
      </w:r>
      <w:r w:rsidR="00F20B1B">
        <w:rPr>
          <w:rFonts w:cs="David" w:hint="cs"/>
          <w:sz w:val="28"/>
          <w:szCs w:val="28"/>
          <w:rtl/>
        </w:rPr>
        <w:t xml:space="preserve">זה </w:t>
      </w:r>
      <w:r w:rsidRPr="00156192">
        <w:rPr>
          <w:rFonts w:cs="David" w:hint="cs"/>
          <w:sz w:val="28"/>
          <w:szCs w:val="28"/>
          <w:rtl/>
        </w:rPr>
        <w:t xml:space="preserve">לבחון את מדיניות האכיפה של התביעה הצבאית בעבירות סמים, </w:t>
      </w:r>
      <w:r w:rsidR="00E96E8C">
        <w:rPr>
          <w:rFonts w:cs="David" w:hint="cs"/>
          <w:sz w:val="28"/>
          <w:szCs w:val="28"/>
          <w:rtl/>
        </w:rPr>
        <w:t xml:space="preserve">בראי </w:t>
      </w:r>
      <w:r w:rsidR="00F20FF0" w:rsidRPr="00156192">
        <w:rPr>
          <w:rFonts w:cs="David" w:hint="cs"/>
          <w:sz w:val="28"/>
          <w:szCs w:val="28"/>
          <w:rtl/>
        </w:rPr>
        <w:t>מאפייניה הייחודיים של קבוצת המפקדים (</w:t>
      </w:r>
      <w:r w:rsidR="00EB0CD2">
        <w:rPr>
          <w:rFonts w:cs="David" w:hint="cs"/>
          <w:sz w:val="28"/>
          <w:szCs w:val="28"/>
          <w:rtl/>
        </w:rPr>
        <w:t>קצינים בחובה ו</w:t>
      </w:r>
      <w:r w:rsidR="00F20FF0" w:rsidRPr="00156192">
        <w:rPr>
          <w:rFonts w:cs="David" w:hint="cs"/>
          <w:sz w:val="28"/>
          <w:szCs w:val="28"/>
          <w:rtl/>
        </w:rPr>
        <w:t>משרתי קבע)</w:t>
      </w:r>
      <w:r w:rsidRPr="00156192">
        <w:rPr>
          <w:rFonts w:cs="David" w:hint="cs"/>
          <w:sz w:val="28"/>
          <w:szCs w:val="28"/>
          <w:rtl/>
        </w:rPr>
        <w:t>. בואר, כי "</w:t>
      </w:r>
      <w:r w:rsidR="00BE3986" w:rsidRPr="00156192">
        <w:rPr>
          <w:rFonts w:cs="David" w:hint="cs"/>
          <w:sz w:val="28"/>
          <w:szCs w:val="28"/>
          <w:rtl/>
        </w:rPr>
        <w:t>המערכת הצבאית היא</w:t>
      </w:r>
      <w:r w:rsidR="00AB048D" w:rsidRPr="00156192">
        <w:rPr>
          <w:rFonts w:cs="David" w:hint="cs"/>
          <w:sz w:val="28"/>
          <w:szCs w:val="28"/>
          <w:rtl/>
        </w:rPr>
        <w:t xml:space="preserve"> מסגרת היררכית שההקפדה על המשמעת והדריכות בה היא מנשמת אפה</w:t>
      </w:r>
      <w:r w:rsidR="00E96E8C">
        <w:rPr>
          <w:rFonts w:cs="David" w:hint="cs"/>
          <w:sz w:val="28"/>
          <w:szCs w:val="28"/>
          <w:rtl/>
        </w:rPr>
        <w:t xml:space="preserve">... </w:t>
      </w:r>
      <w:r w:rsidR="00BE3986" w:rsidRPr="00156192">
        <w:rPr>
          <w:rFonts w:cs="David" w:hint="cs"/>
          <w:sz w:val="28"/>
          <w:szCs w:val="28"/>
          <w:rtl/>
        </w:rPr>
        <w:t xml:space="preserve">שיקולי בטחון מובהקים והצורך להגן על שלומם של </w:t>
      </w:r>
      <w:r w:rsidR="009501CD" w:rsidRPr="00156192">
        <w:rPr>
          <w:rFonts w:cs="David" w:hint="cs"/>
          <w:sz w:val="28"/>
          <w:szCs w:val="28"/>
          <w:rtl/>
        </w:rPr>
        <w:t xml:space="preserve">תושבי </w:t>
      </w:r>
      <w:r w:rsidR="00BE3986" w:rsidRPr="00156192">
        <w:rPr>
          <w:rFonts w:cs="David" w:hint="cs"/>
          <w:sz w:val="28"/>
          <w:szCs w:val="28"/>
          <w:rtl/>
        </w:rPr>
        <w:t xml:space="preserve">המדינה הם שמבססים את </w:t>
      </w:r>
      <w:r w:rsidR="009223E3" w:rsidRPr="00156192">
        <w:rPr>
          <w:rFonts w:cs="David" w:hint="cs"/>
          <w:sz w:val="28"/>
          <w:szCs w:val="28"/>
          <w:rtl/>
        </w:rPr>
        <w:t xml:space="preserve">האינטרס הציבורי </w:t>
      </w:r>
      <w:r w:rsidR="00BE3986" w:rsidRPr="00156192">
        <w:rPr>
          <w:rFonts w:cs="David" w:hint="cs"/>
          <w:sz w:val="28"/>
          <w:szCs w:val="28"/>
          <w:rtl/>
        </w:rPr>
        <w:t>לחזק ולבצר את כללי המשמעת הנוקשים</w:t>
      </w:r>
      <w:r w:rsidR="009501CD" w:rsidRPr="00156192">
        <w:rPr>
          <w:rFonts w:cs="David" w:hint="cs"/>
          <w:sz w:val="28"/>
          <w:szCs w:val="28"/>
          <w:rtl/>
        </w:rPr>
        <w:t xml:space="preserve"> בצבא</w:t>
      </w:r>
      <w:r w:rsidR="00BE3986" w:rsidRPr="00156192">
        <w:rPr>
          <w:rFonts w:cs="David" w:hint="cs"/>
          <w:sz w:val="28"/>
          <w:szCs w:val="28"/>
          <w:rtl/>
        </w:rPr>
        <w:t>, המהווים תנאי ל</w:t>
      </w:r>
      <w:r w:rsidR="009223E3" w:rsidRPr="00156192">
        <w:rPr>
          <w:rFonts w:cs="David" w:hint="cs"/>
          <w:sz w:val="28"/>
          <w:szCs w:val="28"/>
          <w:rtl/>
        </w:rPr>
        <w:t>דריכותו</w:t>
      </w:r>
      <w:r w:rsidR="00D426E7" w:rsidRPr="00156192">
        <w:rPr>
          <w:rFonts w:cs="David" w:hint="cs"/>
          <w:sz w:val="28"/>
          <w:szCs w:val="28"/>
          <w:rtl/>
        </w:rPr>
        <w:t>,</w:t>
      </w:r>
      <w:r w:rsidR="009223E3" w:rsidRPr="00156192">
        <w:rPr>
          <w:rFonts w:cs="David" w:hint="cs"/>
          <w:sz w:val="28"/>
          <w:szCs w:val="28"/>
          <w:rtl/>
        </w:rPr>
        <w:t xml:space="preserve"> לכוננותו</w:t>
      </w:r>
      <w:r w:rsidR="009501CD" w:rsidRPr="00156192">
        <w:rPr>
          <w:rFonts w:cs="David" w:hint="cs"/>
          <w:sz w:val="28"/>
          <w:szCs w:val="28"/>
          <w:rtl/>
        </w:rPr>
        <w:t>,</w:t>
      </w:r>
      <w:r w:rsidR="009223E3" w:rsidRPr="00156192">
        <w:rPr>
          <w:rFonts w:cs="David" w:hint="cs"/>
          <w:sz w:val="28"/>
          <w:szCs w:val="28"/>
          <w:rtl/>
        </w:rPr>
        <w:t xml:space="preserve"> ול</w:t>
      </w:r>
      <w:r w:rsidR="00BE3986" w:rsidRPr="00156192">
        <w:rPr>
          <w:rFonts w:cs="David" w:hint="cs"/>
          <w:sz w:val="28"/>
          <w:szCs w:val="28"/>
          <w:rtl/>
        </w:rPr>
        <w:t>עמיד</w:t>
      </w:r>
      <w:r w:rsidR="009501CD" w:rsidRPr="00156192">
        <w:rPr>
          <w:rFonts w:cs="David" w:hint="cs"/>
          <w:sz w:val="28"/>
          <w:szCs w:val="28"/>
          <w:rtl/>
        </w:rPr>
        <w:t xml:space="preserve">תו האיתנה </w:t>
      </w:r>
      <w:r w:rsidR="00BE3986" w:rsidRPr="00156192">
        <w:rPr>
          <w:rFonts w:cs="David" w:hint="cs"/>
          <w:sz w:val="28"/>
          <w:szCs w:val="28"/>
          <w:rtl/>
        </w:rPr>
        <w:t xml:space="preserve">במשימות הביטחון, שעליהן </w:t>
      </w:r>
      <w:r w:rsidR="009223E3" w:rsidRPr="00156192">
        <w:rPr>
          <w:rFonts w:cs="David" w:hint="cs"/>
          <w:sz w:val="28"/>
          <w:szCs w:val="28"/>
          <w:rtl/>
        </w:rPr>
        <w:t xml:space="preserve">הוא </w:t>
      </w:r>
      <w:r w:rsidR="00BE3986" w:rsidRPr="00156192">
        <w:rPr>
          <w:rFonts w:cs="David" w:hint="cs"/>
          <w:sz w:val="28"/>
          <w:szCs w:val="28"/>
          <w:rtl/>
        </w:rPr>
        <w:t>מופקד</w:t>
      </w:r>
      <w:r w:rsidR="00E96E8C">
        <w:rPr>
          <w:rFonts w:cs="David" w:hint="cs"/>
          <w:sz w:val="28"/>
          <w:szCs w:val="28"/>
          <w:rtl/>
        </w:rPr>
        <w:t>...</w:t>
      </w:r>
      <w:r w:rsidRPr="00156192">
        <w:rPr>
          <w:rFonts w:cs="David" w:hint="cs"/>
          <w:sz w:val="28"/>
          <w:szCs w:val="28"/>
          <w:rtl/>
        </w:rPr>
        <w:t>"</w:t>
      </w:r>
      <w:r w:rsidR="00E96E8C">
        <w:rPr>
          <w:rFonts w:cs="David" w:hint="cs"/>
          <w:sz w:val="28"/>
          <w:szCs w:val="28"/>
          <w:rtl/>
        </w:rPr>
        <w:t xml:space="preserve"> (עניין </w:t>
      </w:r>
      <w:r w:rsidR="00E96E8C" w:rsidRPr="00E96E8C">
        <w:rPr>
          <w:rFonts w:cs="David" w:hint="cs"/>
          <w:b/>
          <w:bCs/>
          <w:sz w:val="28"/>
          <w:szCs w:val="28"/>
          <w:rtl/>
        </w:rPr>
        <w:t>יעקב</w:t>
      </w:r>
      <w:r w:rsidR="00E96E8C">
        <w:rPr>
          <w:rFonts w:cs="David" w:hint="cs"/>
          <w:sz w:val="28"/>
          <w:szCs w:val="28"/>
          <w:rtl/>
        </w:rPr>
        <w:t xml:space="preserve"> לעיל, פסקה 43)</w:t>
      </w:r>
      <w:r w:rsidR="00BE3986" w:rsidRPr="00156192">
        <w:rPr>
          <w:rFonts w:cs="David"/>
          <w:sz w:val="28"/>
          <w:szCs w:val="28"/>
          <w:rtl/>
        </w:rPr>
        <w:t>.</w:t>
      </w:r>
      <w:r w:rsidR="00156192" w:rsidRPr="00156192">
        <w:rPr>
          <w:rFonts w:cs="David" w:hint="cs"/>
          <w:sz w:val="28"/>
          <w:szCs w:val="28"/>
          <w:rtl/>
        </w:rPr>
        <w:t xml:space="preserve"> בהתאם, שב בית הדין על הלכה המושרשת שלפיה "</w:t>
      </w:r>
      <w:r w:rsidR="009223E3" w:rsidRPr="00156192">
        <w:rPr>
          <w:rFonts w:cs="David" w:hint="cs"/>
          <w:sz w:val="28"/>
          <w:szCs w:val="28"/>
          <w:rtl/>
        </w:rPr>
        <w:t xml:space="preserve">שימוש בסם מסוכן </w:t>
      </w:r>
      <w:r w:rsidR="009223E3" w:rsidRPr="00156192">
        <w:rPr>
          <w:rFonts w:cs="David" w:hint="cs"/>
          <w:b/>
          <w:bCs/>
          <w:sz w:val="28"/>
          <w:szCs w:val="28"/>
          <w:rtl/>
        </w:rPr>
        <w:t>אינו</w:t>
      </w:r>
      <w:r w:rsidR="009223E3" w:rsidRPr="00156192">
        <w:rPr>
          <w:rFonts w:cs="David" w:hint="cs"/>
          <w:sz w:val="28"/>
          <w:szCs w:val="28"/>
          <w:rtl/>
        </w:rPr>
        <w:t xml:space="preserve"> יכול להתיישב עם ייעודו של הצבא. יש בו משום פגיעה קשה ב</w:t>
      </w:r>
      <w:r w:rsidR="00D426E7" w:rsidRPr="00156192">
        <w:rPr>
          <w:rFonts w:cs="David" w:hint="cs"/>
          <w:sz w:val="28"/>
          <w:szCs w:val="28"/>
          <w:rtl/>
        </w:rPr>
        <w:t xml:space="preserve">חוסנו של </w:t>
      </w:r>
      <w:r w:rsidR="009223E3" w:rsidRPr="00156192">
        <w:rPr>
          <w:rFonts w:cs="David" w:hint="cs"/>
          <w:sz w:val="28"/>
          <w:szCs w:val="28"/>
          <w:rtl/>
        </w:rPr>
        <w:t xml:space="preserve">הצבא </w:t>
      </w:r>
      <w:r w:rsidR="00D426E7" w:rsidRPr="00156192">
        <w:rPr>
          <w:rFonts w:cs="David" w:hint="cs"/>
          <w:sz w:val="28"/>
          <w:szCs w:val="28"/>
          <w:rtl/>
        </w:rPr>
        <w:t xml:space="preserve">וביכולתו להיות </w:t>
      </w:r>
      <w:r w:rsidR="009223E3" w:rsidRPr="00156192">
        <w:rPr>
          <w:rFonts w:cs="David" w:hint="cs"/>
          <w:sz w:val="28"/>
          <w:szCs w:val="28"/>
          <w:rtl/>
        </w:rPr>
        <w:t>ערוך ומוכן ל</w:t>
      </w:r>
      <w:r w:rsidR="009501CD" w:rsidRPr="00156192">
        <w:rPr>
          <w:rFonts w:cs="David" w:hint="cs"/>
          <w:sz w:val="28"/>
          <w:szCs w:val="28"/>
          <w:rtl/>
        </w:rPr>
        <w:t xml:space="preserve">ביצוע </w:t>
      </w:r>
      <w:r w:rsidR="009223E3" w:rsidRPr="00156192">
        <w:rPr>
          <w:rFonts w:cs="David" w:hint="cs"/>
          <w:sz w:val="28"/>
          <w:szCs w:val="28"/>
          <w:rtl/>
        </w:rPr>
        <w:t xml:space="preserve">תפקידו </w:t>
      </w:r>
      <w:r w:rsidR="009223E3" w:rsidRPr="00156192">
        <w:rPr>
          <w:rFonts w:cs="David"/>
          <w:sz w:val="28"/>
          <w:szCs w:val="28"/>
          <w:rtl/>
        </w:rPr>
        <w:t>–</w:t>
      </w:r>
      <w:r w:rsidR="009223E3" w:rsidRPr="00156192">
        <w:rPr>
          <w:rFonts w:cs="David" w:hint="cs"/>
          <w:sz w:val="28"/>
          <w:szCs w:val="28"/>
          <w:rtl/>
        </w:rPr>
        <w:t xml:space="preserve"> </w:t>
      </w:r>
      <w:r w:rsidR="009501CD" w:rsidRPr="00156192">
        <w:rPr>
          <w:rFonts w:cs="David" w:hint="cs"/>
          <w:sz w:val="28"/>
          <w:szCs w:val="28"/>
          <w:rtl/>
        </w:rPr>
        <w:t>ל</w:t>
      </w:r>
      <w:r w:rsidR="009223E3" w:rsidRPr="00156192">
        <w:rPr>
          <w:rFonts w:cs="David" w:hint="cs"/>
          <w:sz w:val="28"/>
          <w:szCs w:val="28"/>
          <w:rtl/>
        </w:rPr>
        <w:t>הג</w:t>
      </w:r>
      <w:r w:rsidR="009501CD" w:rsidRPr="00156192">
        <w:rPr>
          <w:rFonts w:cs="David" w:hint="cs"/>
          <w:sz w:val="28"/>
          <w:szCs w:val="28"/>
          <w:rtl/>
        </w:rPr>
        <w:t xml:space="preserve">ן </w:t>
      </w:r>
      <w:r w:rsidR="009223E3" w:rsidRPr="00156192">
        <w:rPr>
          <w:rFonts w:cs="David" w:hint="cs"/>
          <w:sz w:val="28"/>
          <w:szCs w:val="28"/>
          <w:rtl/>
        </w:rPr>
        <w:t xml:space="preserve">על ביטחון המדינה ותושביה, במציאות </w:t>
      </w:r>
      <w:r w:rsidR="009501CD" w:rsidRPr="00156192">
        <w:rPr>
          <w:rFonts w:cs="David" w:hint="cs"/>
          <w:sz w:val="28"/>
          <w:szCs w:val="28"/>
          <w:rtl/>
        </w:rPr>
        <w:t xml:space="preserve">הביטחונית </w:t>
      </w:r>
      <w:r w:rsidR="009223E3" w:rsidRPr="00156192">
        <w:rPr>
          <w:rFonts w:cs="David" w:hint="cs"/>
          <w:sz w:val="28"/>
          <w:szCs w:val="28"/>
          <w:rtl/>
        </w:rPr>
        <w:t>השוררת במדינת ישראל לאורך שנות קיומה</w:t>
      </w:r>
      <w:r w:rsidR="00156192">
        <w:rPr>
          <w:rFonts w:cs="David" w:hint="cs"/>
          <w:sz w:val="28"/>
          <w:szCs w:val="28"/>
          <w:rtl/>
        </w:rPr>
        <w:t>"</w:t>
      </w:r>
      <w:r w:rsidR="00E96E8C">
        <w:rPr>
          <w:rFonts w:cs="David" w:hint="cs"/>
          <w:sz w:val="28"/>
          <w:szCs w:val="28"/>
          <w:rtl/>
        </w:rPr>
        <w:t xml:space="preserve"> (שם, פסקה 44)</w:t>
      </w:r>
      <w:r w:rsidR="009223E3" w:rsidRPr="00156192">
        <w:rPr>
          <w:rFonts w:cs="David" w:hint="cs"/>
          <w:sz w:val="28"/>
          <w:szCs w:val="28"/>
          <w:rtl/>
        </w:rPr>
        <w:t xml:space="preserve">. </w:t>
      </w:r>
      <w:r w:rsidR="00156192">
        <w:rPr>
          <w:rFonts w:cs="David" w:hint="cs"/>
          <w:sz w:val="28"/>
          <w:szCs w:val="28"/>
          <w:rtl/>
        </w:rPr>
        <w:t>בואר</w:t>
      </w:r>
      <w:r w:rsidR="00E96E8C">
        <w:rPr>
          <w:rFonts w:cs="David" w:hint="cs"/>
          <w:sz w:val="28"/>
          <w:szCs w:val="28"/>
          <w:rtl/>
        </w:rPr>
        <w:t xml:space="preserve"> עוד</w:t>
      </w:r>
      <w:r w:rsidR="00156192">
        <w:rPr>
          <w:rFonts w:cs="David" w:hint="cs"/>
          <w:sz w:val="28"/>
          <w:szCs w:val="28"/>
          <w:rtl/>
        </w:rPr>
        <w:t>, כי:</w:t>
      </w:r>
    </w:p>
    <w:p w14:paraId="60CAE90B" w14:textId="77777777" w:rsidR="00F71C3D" w:rsidRDefault="00156192" w:rsidP="00156192">
      <w:pPr>
        <w:tabs>
          <w:tab w:val="left" w:pos="226"/>
        </w:tabs>
        <w:ind w:left="1418" w:right="1418"/>
        <w:jc w:val="both"/>
        <w:rPr>
          <w:rFonts w:cs="David"/>
          <w:sz w:val="28"/>
          <w:szCs w:val="28"/>
          <w:rtl/>
        </w:rPr>
      </w:pPr>
      <w:r>
        <w:rPr>
          <w:rFonts w:cs="David" w:hint="cs"/>
          <w:sz w:val="28"/>
          <w:szCs w:val="28"/>
          <w:rtl/>
        </w:rPr>
        <w:t>"...</w:t>
      </w:r>
      <w:r w:rsidR="000F0532">
        <w:rPr>
          <w:rFonts w:cs="David" w:hint="cs"/>
          <w:sz w:val="28"/>
          <w:szCs w:val="28"/>
          <w:rtl/>
        </w:rPr>
        <w:t xml:space="preserve"> הדברים מקבלים </w:t>
      </w:r>
      <w:r w:rsidR="000F0532" w:rsidRPr="00F71C3D">
        <w:rPr>
          <w:rFonts w:cs="David" w:hint="cs"/>
          <w:b/>
          <w:bCs/>
          <w:sz w:val="28"/>
          <w:szCs w:val="28"/>
          <w:rtl/>
        </w:rPr>
        <w:t xml:space="preserve">משנה </w:t>
      </w:r>
      <w:r w:rsidR="00F71C3D" w:rsidRPr="00F71C3D">
        <w:rPr>
          <w:rFonts w:cs="David" w:hint="cs"/>
          <w:b/>
          <w:bCs/>
          <w:sz w:val="28"/>
          <w:szCs w:val="28"/>
          <w:rtl/>
        </w:rPr>
        <w:t xml:space="preserve">חומרה </w:t>
      </w:r>
      <w:r w:rsidR="000F0532">
        <w:rPr>
          <w:rFonts w:cs="David" w:hint="cs"/>
          <w:sz w:val="28"/>
          <w:szCs w:val="28"/>
          <w:rtl/>
        </w:rPr>
        <w:t xml:space="preserve">עת עסקינן באוכלוסיית </w:t>
      </w:r>
      <w:r w:rsidR="000F0532" w:rsidRPr="009501CD">
        <w:rPr>
          <w:rFonts w:cs="David" w:hint="cs"/>
          <w:b/>
          <w:bCs/>
          <w:sz w:val="28"/>
          <w:szCs w:val="28"/>
          <w:rtl/>
        </w:rPr>
        <w:t>המפקדים</w:t>
      </w:r>
      <w:r w:rsidR="000F0532">
        <w:rPr>
          <w:rFonts w:cs="David" w:hint="cs"/>
          <w:sz w:val="28"/>
          <w:szCs w:val="28"/>
          <w:rtl/>
        </w:rPr>
        <w:t xml:space="preserve"> בצבא</w:t>
      </w:r>
      <w:r w:rsidR="00F71C3D">
        <w:rPr>
          <w:rFonts w:cs="David" w:hint="cs"/>
          <w:sz w:val="28"/>
          <w:szCs w:val="28"/>
          <w:rtl/>
        </w:rPr>
        <w:t xml:space="preserve">. במקרים אלה נלווה למעשים </w:t>
      </w:r>
      <w:r w:rsidR="00A67690" w:rsidRPr="00A67690">
        <w:rPr>
          <w:rFonts w:cs="David" w:hint="cs"/>
          <w:sz w:val="28"/>
          <w:szCs w:val="28"/>
          <w:rtl/>
        </w:rPr>
        <w:t>כישלון פיקודי מובהק ו</w:t>
      </w:r>
      <w:r w:rsidR="00F71C3D">
        <w:rPr>
          <w:rFonts w:cs="David" w:hint="cs"/>
          <w:sz w:val="28"/>
          <w:szCs w:val="28"/>
          <w:rtl/>
        </w:rPr>
        <w:t xml:space="preserve">הם </w:t>
      </w:r>
      <w:r w:rsidR="00A67690" w:rsidRPr="00A67690">
        <w:rPr>
          <w:rFonts w:cs="David" w:hint="cs"/>
          <w:sz w:val="28"/>
          <w:szCs w:val="28"/>
          <w:rtl/>
        </w:rPr>
        <w:t xml:space="preserve">אינם יכולים להתיישב עם מעמדו </w:t>
      </w:r>
      <w:r w:rsidR="00F71C3D">
        <w:rPr>
          <w:rFonts w:cs="David" w:hint="cs"/>
          <w:sz w:val="28"/>
          <w:szCs w:val="28"/>
          <w:rtl/>
        </w:rPr>
        <w:t xml:space="preserve">של המפקד </w:t>
      </w:r>
      <w:r w:rsidR="00A67690" w:rsidRPr="00A67690">
        <w:rPr>
          <w:rFonts w:cs="David" w:hint="cs"/>
          <w:sz w:val="28"/>
          <w:szCs w:val="28"/>
          <w:rtl/>
        </w:rPr>
        <w:t>ביחידה ועם הציפיה כי ישמש דוגמה אישית.</w:t>
      </w:r>
      <w:r w:rsidR="00F71C3D">
        <w:rPr>
          <w:rFonts w:cs="David" w:hint="cs"/>
          <w:sz w:val="28"/>
          <w:szCs w:val="28"/>
          <w:rtl/>
        </w:rPr>
        <w:t xml:space="preserve"> מפקד </w:t>
      </w:r>
      <w:r w:rsidR="00407EC5">
        <w:rPr>
          <w:rFonts w:cs="David" w:hint="cs"/>
          <w:sz w:val="28"/>
          <w:szCs w:val="28"/>
          <w:rtl/>
        </w:rPr>
        <w:t>ה</w:t>
      </w:r>
      <w:r w:rsidR="00F71C3D">
        <w:rPr>
          <w:rFonts w:cs="David" w:hint="cs"/>
          <w:sz w:val="28"/>
          <w:szCs w:val="28"/>
          <w:rtl/>
        </w:rPr>
        <w:t xml:space="preserve">משתמש בסם </w:t>
      </w:r>
      <w:r w:rsidR="009501CD">
        <w:rPr>
          <w:rFonts w:cs="David" w:hint="cs"/>
          <w:sz w:val="28"/>
          <w:szCs w:val="28"/>
          <w:rtl/>
        </w:rPr>
        <w:t xml:space="preserve">מסוכן </w:t>
      </w:r>
      <w:r w:rsidR="00407EC5">
        <w:rPr>
          <w:rFonts w:cs="David" w:hint="cs"/>
          <w:sz w:val="28"/>
          <w:szCs w:val="28"/>
          <w:rtl/>
        </w:rPr>
        <w:t xml:space="preserve">פוגע </w:t>
      </w:r>
      <w:r w:rsidR="00F71C3D">
        <w:rPr>
          <w:rFonts w:cs="David" w:hint="cs"/>
          <w:sz w:val="28"/>
          <w:szCs w:val="28"/>
          <w:rtl/>
        </w:rPr>
        <w:t>פגיעה קשה ב</w:t>
      </w:r>
      <w:r w:rsidR="00080DCC">
        <w:rPr>
          <w:rFonts w:cs="David" w:hint="cs"/>
          <w:sz w:val="28"/>
          <w:szCs w:val="28"/>
          <w:rtl/>
        </w:rPr>
        <w:t>אמון חייליו</w:t>
      </w:r>
      <w:r w:rsidR="00D426E7">
        <w:rPr>
          <w:rFonts w:cs="David" w:hint="cs"/>
          <w:sz w:val="28"/>
          <w:szCs w:val="28"/>
          <w:rtl/>
        </w:rPr>
        <w:t xml:space="preserve">. הוא </w:t>
      </w:r>
      <w:r w:rsidR="00080DCC">
        <w:rPr>
          <w:rFonts w:cs="David" w:hint="cs"/>
          <w:sz w:val="28"/>
          <w:szCs w:val="28"/>
          <w:rtl/>
        </w:rPr>
        <w:t>מכרסם ב</w:t>
      </w:r>
      <w:r w:rsidR="00D426E7">
        <w:rPr>
          <w:rFonts w:cs="David" w:hint="cs"/>
          <w:sz w:val="28"/>
          <w:szCs w:val="28"/>
          <w:rtl/>
        </w:rPr>
        <w:t xml:space="preserve">תדמיתו ובמרותו </w:t>
      </w:r>
      <w:r w:rsidR="00080DCC">
        <w:rPr>
          <w:rFonts w:cs="David" w:hint="cs"/>
          <w:sz w:val="28"/>
          <w:szCs w:val="28"/>
          <w:rtl/>
        </w:rPr>
        <w:t xml:space="preserve">כלפיהם, </w:t>
      </w:r>
      <w:r w:rsidR="00F71C3D">
        <w:rPr>
          <w:rFonts w:cs="David" w:hint="cs"/>
          <w:sz w:val="28"/>
          <w:szCs w:val="28"/>
          <w:rtl/>
        </w:rPr>
        <w:t>ו</w:t>
      </w:r>
      <w:r w:rsidR="00D426E7">
        <w:rPr>
          <w:rFonts w:cs="David" w:hint="cs"/>
          <w:sz w:val="28"/>
          <w:szCs w:val="28"/>
          <w:rtl/>
        </w:rPr>
        <w:t>בתוך כ</w:t>
      </w:r>
      <w:r w:rsidR="006C63F4">
        <w:rPr>
          <w:rFonts w:cs="David" w:hint="cs"/>
          <w:sz w:val="28"/>
          <w:szCs w:val="28"/>
          <w:rtl/>
        </w:rPr>
        <w:t>ך</w:t>
      </w:r>
      <w:r w:rsidR="00D426E7">
        <w:rPr>
          <w:rFonts w:cs="David" w:hint="cs"/>
          <w:sz w:val="28"/>
          <w:szCs w:val="28"/>
          <w:rtl/>
        </w:rPr>
        <w:t xml:space="preserve"> - </w:t>
      </w:r>
      <w:r w:rsidR="00F71C3D">
        <w:rPr>
          <w:rFonts w:cs="David" w:hint="cs"/>
          <w:sz w:val="28"/>
          <w:szCs w:val="28"/>
          <w:rtl/>
        </w:rPr>
        <w:t>ביכולתו ל</w:t>
      </w:r>
      <w:r w:rsidR="00D426E7">
        <w:rPr>
          <w:rFonts w:cs="David" w:hint="cs"/>
          <w:sz w:val="28"/>
          <w:szCs w:val="28"/>
          <w:rtl/>
        </w:rPr>
        <w:t>הניעם ול</w:t>
      </w:r>
      <w:r w:rsidR="00F71C3D">
        <w:rPr>
          <w:rFonts w:cs="David" w:hint="cs"/>
          <w:sz w:val="28"/>
          <w:szCs w:val="28"/>
          <w:rtl/>
        </w:rPr>
        <w:t>הוביל</w:t>
      </w:r>
      <w:r w:rsidR="00080DCC">
        <w:rPr>
          <w:rFonts w:cs="David" w:hint="cs"/>
          <w:sz w:val="28"/>
          <w:szCs w:val="28"/>
          <w:rtl/>
        </w:rPr>
        <w:t>ם</w:t>
      </w:r>
      <w:r w:rsidR="00F71C3D">
        <w:rPr>
          <w:rFonts w:cs="David" w:hint="cs"/>
          <w:sz w:val="28"/>
          <w:szCs w:val="28"/>
          <w:rtl/>
        </w:rPr>
        <w:t xml:space="preserve"> לביצוע המשימות</w:t>
      </w:r>
      <w:r w:rsidR="00407EC5">
        <w:rPr>
          <w:rFonts w:cs="David" w:hint="cs"/>
          <w:sz w:val="28"/>
          <w:szCs w:val="28"/>
          <w:rtl/>
        </w:rPr>
        <w:t>, שהוטלו על</w:t>
      </w:r>
      <w:r w:rsidR="00080DCC">
        <w:rPr>
          <w:rFonts w:cs="David" w:hint="cs"/>
          <w:sz w:val="28"/>
          <w:szCs w:val="28"/>
          <w:rtl/>
        </w:rPr>
        <w:t xml:space="preserve"> היחידה</w:t>
      </w:r>
      <w:r w:rsidR="00407EC5">
        <w:rPr>
          <w:rFonts w:cs="David" w:hint="cs"/>
          <w:sz w:val="28"/>
          <w:szCs w:val="28"/>
          <w:rtl/>
        </w:rPr>
        <w:t xml:space="preserve">. </w:t>
      </w:r>
      <w:r w:rsidR="00F71C3D">
        <w:rPr>
          <w:rFonts w:cs="David" w:hint="cs"/>
          <w:sz w:val="28"/>
          <w:szCs w:val="28"/>
          <w:rtl/>
        </w:rPr>
        <w:t>בד בבד</w:t>
      </w:r>
      <w:r w:rsidR="00407EC5">
        <w:rPr>
          <w:rFonts w:cs="David" w:hint="cs"/>
          <w:sz w:val="28"/>
          <w:szCs w:val="28"/>
          <w:rtl/>
        </w:rPr>
        <w:t xml:space="preserve">, יש במעשיו </w:t>
      </w:r>
      <w:r w:rsidR="00F71C3D">
        <w:rPr>
          <w:rFonts w:cs="David" w:hint="cs"/>
          <w:sz w:val="28"/>
          <w:szCs w:val="28"/>
          <w:rtl/>
        </w:rPr>
        <w:t xml:space="preserve">משום עידוד </w:t>
      </w:r>
      <w:r w:rsidR="00407EC5">
        <w:rPr>
          <w:rFonts w:cs="David" w:hint="cs"/>
          <w:sz w:val="28"/>
          <w:szCs w:val="28"/>
          <w:rtl/>
        </w:rPr>
        <w:t xml:space="preserve">של </w:t>
      </w:r>
      <w:r w:rsidR="00F71C3D">
        <w:rPr>
          <w:rFonts w:cs="David" w:hint="cs"/>
          <w:sz w:val="28"/>
          <w:szCs w:val="28"/>
          <w:rtl/>
        </w:rPr>
        <w:t xml:space="preserve">החיילים להשתמש בסם </w:t>
      </w:r>
      <w:r w:rsidR="00610623">
        <w:rPr>
          <w:rFonts w:cs="David" w:hint="cs"/>
          <w:sz w:val="28"/>
          <w:szCs w:val="28"/>
          <w:rtl/>
        </w:rPr>
        <w:t xml:space="preserve">מסוכן </w:t>
      </w:r>
      <w:r w:rsidR="00F71C3D">
        <w:rPr>
          <w:rFonts w:cs="David" w:hint="cs"/>
          <w:sz w:val="28"/>
          <w:szCs w:val="28"/>
          <w:rtl/>
        </w:rPr>
        <w:t>וכרסום ניכר בהרתעה הנדרשת.</w:t>
      </w:r>
      <w:r>
        <w:rPr>
          <w:rFonts w:cs="David" w:hint="cs"/>
          <w:sz w:val="28"/>
          <w:szCs w:val="28"/>
          <w:rtl/>
        </w:rPr>
        <w:t xml:space="preserve">.. </w:t>
      </w:r>
      <w:r w:rsidR="00F71C3D" w:rsidRPr="00F71C3D">
        <w:rPr>
          <w:rFonts w:cs="David" w:hint="cs"/>
          <w:sz w:val="28"/>
          <w:szCs w:val="28"/>
          <w:rtl/>
        </w:rPr>
        <w:t>ה</w:t>
      </w:r>
      <w:r w:rsidR="00407EC5">
        <w:rPr>
          <w:rFonts w:cs="David" w:hint="cs"/>
          <w:sz w:val="28"/>
          <w:szCs w:val="28"/>
          <w:rtl/>
        </w:rPr>
        <w:t>נזק ל</w:t>
      </w:r>
      <w:r w:rsidR="00F71C3D" w:rsidRPr="00F71C3D">
        <w:rPr>
          <w:rFonts w:cs="David" w:hint="cs"/>
          <w:sz w:val="28"/>
          <w:szCs w:val="28"/>
          <w:rtl/>
        </w:rPr>
        <w:t xml:space="preserve">מלחמתו של </w:t>
      </w:r>
      <w:r w:rsidR="00080DCC">
        <w:rPr>
          <w:rFonts w:cs="David" w:hint="cs"/>
          <w:sz w:val="28"/>
          <w:szCs w:val="28"/>
          <w:rtl/>
        </w:rPr>
        <w:t xml:space="preserve">צה"ל </w:t>
      </w:r>
      <w:r w:rsidR="00F71C3D">
        <w:rPr>
          <w:rFonts w:cs="David" w:hint="cs"/>
          <w:sz w:val="28"/>
          <w:szCs w:val="28"/>
          <w:rtl/>
        </w:rPr>
        <w:t>בנגע הסמים</w:t>
      </w:r>
      <w:r w:rsidR="00610623">
        <w:rPr>
          <w:rFonts w:cs="David" w:hint="cs"/>
          <w:sz w:val="28"/>
          <w:szCs w:val="28"/>
          <w:rtl/>
        </w:rPr>
        <w:t>,</w:t>
      </w:r>
      <w:r w:rsidR="00F71C3D">
        <w:rPr>
          <w:rFonts w:cs="David" w:hint="cs"/>
          <w:sz w:val="28"/>
          <w:szCs w:val="28"/>
          <w:rtl/>
        </w:rPr>
        <w:t xml:space="preserve"> הפגיעה ב</w:t>
      </w:r>
      <w:r w:rsidR="00407EC5">
        <w:rPr>
          <w:rFonts w:cs="David" w:hint="cs"/>
          <w:sz w:val="28"/>
          <w:szCs w:val="28"/>
          <w:rtl/>
        </w:rPr>
        <w:t xml:space="preserve">חינוך </w:t>
      </w:r>
      <w:r w:rsidR="00610623">
        <w:rPr>
          <w:rFonts w:cs="David" w:hint="cs"/>
          <w:sz w:val="28"/>
          <w:szCs w:val="28"/>
          <w:rtl/>
        </w:rPr>
        <w:t xml:space="preserve">ובהסברה, </w:t>
      </w:r>
      <w:r w:rsidR="00407EC5">
        <w:rPr>
          <w:rFonts w:cs="David" w:hint="cs"/>
          <w:sz w:val="28"/>
          <w:szCs w:val="28"/>
          <w:rtl/>
        </w:rPr>
        <w:t>ב</w:t>
      </w:r>
      <w:r w:rsidR="00F71C3D">
        <w:rPr>
          <w:rFonts w:cs="David" w:hint="cs"/>
          <w:sz w:val="28"/>
          <w:szCs w:val="28"/>
          <w:rtl/>
        </w:rPr>
        <w:t xml:space="preserve">הקפדה על כללי המשמעת </w:t>
      </w:r>
      <w:r w:rsidR="00407EC5">
        <w:rPr>
          <w:rFonts w:cs="David" w:hint="cs"/>
          <w:sz w:val="28"/>
          <w:szCs w:val="28"/>
          <w:rtl/>
        </w:rPr>
        <w:t xml:space="preserve">בצבא, </w:t>
      </w:r>
      <w:r w:rsidR="00F71C3D">
        <w:rPr>
          <w:rFonts w:cs="David" w:hint="cs"/>
          <w:sz w:val="28"/>
          <w:szCs w:val="28"/>
          <w:rtl/>
        </w:rPr>
        <w:t>ה</w:t>
      </w:r>
      <w:r w:rsidR="00F71C3D" w:rsidRPr="00F71C3D">
        <w:rPr>
          <w:rFonts w:cs="David" w:hint="cs"/>
          <w:sz w:val="28"/>
          <w:szCs w:val="28"/>
          <w:rtl/>
        </w:rPr>
        <w:t>כרוכ</w:t>
      </w:r>
      <w:r w:rsidR="00407EC5">
        <w:rPr>
          <w:rFonts w:cs="David" w:hint="cs"/>
          <w:sz w:val="28"/>
          <w:szCs w:val="28"/>
          <w:rtl/>
        </w:rPr>
        <w:t>ים</w:t>
      </w:r>
      <w:r w:rsidR="00F71C3D" w:rsidRPr="00F71C3D">
        <w:rPr>
          <w:rFonts w:cs="David" w:hint="cs"/>
          <w:sz w:val="28"/>
          <w:szCs w:val="28"/>
          <w:rtl/>
        </w:rPr>
        <w:t xml:space="preserve"> בכישלון מעין זה </w:t>
      </w:r>
      <w:r w:rsidR="00407EC5">
        <w:rPr>
          <w:rFonts w:cs="David" w:hint="cs"/>
          <w:sz w:val="28"/>
          <w:szCs w:val="28"/>
          <w:rtl/>
        </w:rPr>
        <w:t xml:space="preserve">של מפקד </w:t>
      </w:r>
      <w:r w:rsidR="00407EC5">
        <w:rPr>
          <w:rFonts w:cs="David"/>
          <w:sz w:val="28"/>
          <w:szCs w:val="28"/>
          <w:rtl/>
        </w:rPr>
        <w:t>–</w:t>
      </w:r>
      <w:r w:rsidR="00407EC5">
        <w:rPr>
          <w:rFonts w:cs="David" w:hint="cs"/>
          <w:sz w:val="28"/>
          <w:szCs w:val="28"/>
          <w:rtl/>
        </w:rPr>
        <w:t xml:space="preserve"> </w:t>
      </w:r>
      <w:r w:rsidR="00F71C3D" w:rsidRPr="00F71C3D">
        <w:rPr>
          <w:rFonts w:cs="David" w:hint="cs"/>
          <w:sz w:val="28"/>
          <w:szCs w:val="28"/>
          <w:rtl/>
        </w:rPr>
        <w:t>ה</w:t>
      </w:r>
      <w:r w:rsidR="00407EC5">
        <w:rPr>
          <w:rFonts w:cs="David" w:hint="cs"/>
          <w:sz w:val="28"/>
          <w:szCs w:val="28"/>
          <w:rtl/>
        </w:rPr>
        <w:t xml:space="preserve">ם </w:t>
      </w:r>
      <w:r w:rsidR="00F71C3D" w:rsidRPr="00F71C3D">
        <w:rPr>
          <w:rFonts w:cs="David" w:hint="cs"/>
          <w:sz w:val="28"/>
          <w:szCs w:val="28"/>
          <w:rtl/>
        </w:rPr>
        <w:t>רחב</w:t>
      </w:r>
      <w:r w:rsidR="00407EC5">
        <w:rPr>
          <w:rFonts w:cs="David" w:hint="cs"/>
          <w:sz w:val="28"/>
          <w:szCs w:val="28"/>
          <w:rtl/>
        </w:rPr>
        <w:t>י</w:t>
      </w:r>
      <w:r w:rsidR="00F71C3D" w:rsidRPr="00F71C3D">
        <w:rPr>
          <w:rFonts w:cs="David" w:hint="cs"/>
          <w:sz w:val="28"/>
          <w:szCs w:val="28"/>
          <w:rtl/>
        </w:rPr>
        <w:t xml:space="preserve"> היקף</w:t>
      </w:r>
      <w:r w:rsidR="00F71C3D">
        <w:rPr>
          <w:rFonts w:cs="David" w:hint="cs"/>
          <w:sz w:val="28"/>
          <w:szCs w:val="28"/>
          <w:rtl/>
        </w:rPr>
        <w:t>,</w:t>
      </w:r>
      <w:r w:rsidR="00F71C3D" w:rsidRPr="00F71C3D">
        <w:rPr>
          <w:rFonts w:cs="David" w:hint="cs"/>
          <w:sz w:val="28"/>
          <w:szCs w:val="28"/>
          <w:rtl/>
        </w:rPr>
        <w:t xml:space="preserve"> והדברים מדברים בעד עצמם</w:t>
      </w:r>
      <w:r w:rsidR="00610623">
        <w:rPr>
          <w:rFonts w:cs="David" w:hint="cs"/>
          <w:sz w:val="28"/>
          <w:szCs w:val="28"/>
          <w:rtl/>
        </w:rPr>
        <w:t>!</w:t>
      </w:r>
      <w:r>
        <w:rPr>
          <w:rFonts w:cs="David" w:hint="cs"/>
          <w:sz w:val="28"/>
          <w:szCs w:val="28"/>
          <w:rtl/>
        </w:rPr>
        <w:t>"</w:t>
      </w:r>
      <w:r w:rsidR="00E96E8C">
        <w:rPr>
          <w:rFonts w:cs="David" w:hint="cs"/>
          <w:sz w:val="28"/>
          <w:szCs w:val="28"/>
          <w:rtl/>
        </w:rPr>
        <w:t xml:space="preserve"> (עניין </w:t>
      </w:r>
      <w:r w:rsidR="00E96E8C" w:rsidRPr="00E96E8C">
        <w:rPr>
          <w:rFonts w:cs="David" w:hint="cs"/>
          <w:b/>
          <w:bCs/>
          <w:sz w:val="28"/>
          <w:szCs w:val="28"/>
          <w:rtl/>
        </w:rPr>
        <w:t xml:space="preserve">יעקב </w:t>
      </w:r>
      <w:r w:rsidR="00E96E8C">
        <w:rPr>
          <w:rFonts w:cs="David" w:hint="cs"/>
          <w:sz w:val="28"/>
          <w:szCs w:val="28"/>
          <w:rtl/>
        </w:rPr>
        <w:t>לעיל, פסקה 45)</w:t>
      </w:r>
      <w:r w:rsidR="00F20B1B">
        <w:rPr>
          <w:rFonts w:cs="David" w:hint="cs"/>
          <w:sz w:val="28"/>
          <w:szCs w:val="28"/>
          <w:rtl/>
        </w:rPr>
        <w:t>.</w:t>
      </w:r>
    </w:p>
    <w:p w14:paraId="635B4221" w14:textId="77777777" w:rsidR="006562EF" w:rsidRDefault="006562EF" w:rsidP="00156192">
      <w:pPr>
        <w:tabs>
          <w:tab w:val="left" w:pos="226"/>
        </w:tabs>
        <w:ind w:left="1418" w:right="1418"/>
        <w:jc w:val="both"/>
        <w:rPr>
          <w:rFonts w:cs="David"/>
          <w:sz w:val="28"/>
          <w:szCs w:val="28"/>
          <w:rtl/>
        </w:rPr>
      </w:pPr>
    </w:p>
    <w:p w14:paraId="3F04E4D9" w14:textId="77777777" w:rsidR="004537E3" w:rsidRDefault="006562EF" w:rsidP="00E96E8C">
      <w:pPr>
        <w:numPr>
          <w:ilvl w:val="0"/>
          <w:numId w:val="4"/>
        </w:numPr>
        <w:tabs>
          <w:tab w:val="left" w:pos="368"/>
        </w:tabs>
        <w:spacing w:line="360" w:lineRule="auto"/>
        <w:ind w:left="-58" w:firstLine="0"/>
        <w:jc w:val="both"/>
        <w:rPr>
          <w:rFonts w:cs="David"/>
          <w:szCs w:val="28"/>
        </w:rPr>
      </w:pPr>
      <w:r>
        <w:rPr>
          <w:rFonts w:cs="David" w:hint="cs"/>
          <w:szCs w:val="28"/>
          <w:rtl/>
        </w:rPr>
        <w:t xml:space="preserve">בית הדין עמד על כך </w:t>
      </w:r>
      <w:r w:rsidR="00E96E8C">
        <w:rPr>
          <w:rFonts w:cs="David" w:hint="cs"/>
          <w:szCs w:val="28"/>
          <w:rtl/>
        </w:rPr>
        <w:t>ש</w:t>
      </w:r>
      <w:r w:rsidR="00610623">
        <w:rPr>
          <w:rFonts w:cs="David" w:hint="cs"/>
          <w:szCs w:val="28"/>
          <w:rtl/>
        </w:rPr>
        <w:t xml:space="preserve">בשנים האחרונות, </w:t>
      </w:r>
      <w:r w:rsidR="00407EC5" w:rsidRPr="006F6AAB">
        <w:rPr>
          <w:rFonts w:cs="David" w:hint="cs"/>
          <w:szCs w:val="28"/>
          <w:rtl/>
        </w:rPr>
        <w:t xml:space="preserve">חרף החומרה הנלווית למעשי שימוש בסם מסוכן של </w:t>
      </w:r>
      <w:r w:rsidR="00407EC5" w:rsidRPr="006562EF">
        <w:rPr>
          <w:rFonts w:cs="David" w:hint="cs"/>
          <w:sz w:val="28"/>
          <w:szCs w:val="28"/>
          <w:rtl/>
        </w:rPr>
        <w:t>חיילים</w:t>
      </w:r>
      <w:r w:rsidR="00407EC5" w:rsidRPr="006F6AAB">
        <w:rPr>
          <w:rFonts w:cs="David" w:hint="cs"/>
          <w:szCs w:val="28"/>
          <w:rtl/>
        </w:rPr>
        <w:t xml:space="preserve">, </w:t>
      </w:r>
      <w:r w:rsidR="006F6AAB" w:rsidRPr="006562EF">
        <w:rPr>
          <w:rFonts w:cs="David" w:hint="cs"/>
          <w:szCs w:val="28"/>
          <w:rtl/>
        </w:rPr>
        <w:t xml:space="preserve">הקלה התביעה הצבאית את מדיניות האכיפה של עבירות הסמים בצה"ל </w:t>
      </w:r>
      <w:r w:rsidR="00080DCC" w:rsidRPr="006562EF">
        <w:rPr>
          <w:rFonts w:cs="David" w:hint="cs"/>
          <w:szCs w:val="28"/>
          <w:rtl/>
        </w:rPr>
        <w:t>בנוגע לחיילים בשירות חובה</w:t>
      </w:r>
      <w:r w:rsidR="00080DCC">
        <w:rPr>
          <w:rFonts w:cs="David" w:hint="cs"/>
          <w:szCs w:val="28"/>
          <w:rtl/>
        </w:rPr>
        <w:t xml:space="preserve">. </w:t>
      </w:r>
      <w:r w:rsidR="00E96E8C">
        <w:rPr>
          <w:rFonts w:cs="David" w:hint="cs"/>
          <w:szCs w:val="28"/>
          <w:rtl/>
        </w:rPr>
        <w:t>בד בבד, סויגה המדיניות החדשה כך ש</w:t>
      </w:r>
      <w:r w:rsidR="00080DCC" w:rsidRPr="006562EF">
        <w:rPr>
          <w:rFonts w:cs="David" w:hint="cs"/>
          <w:szCs w:val="28"/>
          <w:rtl/>
        </w:rPr>
        <w:t>לא תחול על משרתי קבע וקצינים בשירות חובה</w:t>
      </w:r>
      <w:r>
        <w:rPr>
          <w:rFonts w:cs="David" w:hint="cs"/>
          <w:szCs w:val="28"/>
          <w:rtl/>
        </w:rPr>
        <w:t>.</w:t>
      </w:r>
      <w:r w:rsidR="00496A91">
        <w:rPr>
          <w:rFonts w:cs="David" w:hint="cs"/>
          <w:szCs w:val="28"/>
          <w:rtl/>
        </w:rPr>
        <w:t xml:space="preserve"> </w:t>
      </w:r>
      <w:r w:rsidR="004537E3">
        <w:rPr>
          <w:rFonts w:cs="David" w:hint="cs"/>
          <w:szCs w:val="28"/>
          <w:rtl/>
        </w:rPr>
        <w:t xml:space="preserve">לאור האמור, נדרש בית הדין </w:t>
      </w:r>
      <w:r w:rsidR="00E96E8C">
        <w:rPr>
          <w:rFonts w:cs="David" w:hint="cs"/>
          <w:szCs w:val="28"/>
          <w:rtl/>
        </w:rPr>
        <w:t xml:space="preserve">בעניין </w:t>
      </w:r>
      <w:r w:rsidR="00E96E8C" w:rsidRPr="00E96E8C">
        <w:rPr>
          <w:rFonts w:cs="David" w:hint="cs"/>
          <w:b/>
          <w:bCs/>
          <w:szCs w:val="28"/>
          <w:rtl/>
        </w:rPr>
        <w:t xml:space="preserve">יעקב </w:t>
      </w:r>
      <w:r w:rsidR="00E96E8C">
        <w:rPr>
          <w:rFonts w:cs="David" w:hint="cs"/>
          <w:szCs w:val="28"/>
          <w:rtl/>
        </w:rPr>
        <w:t xml:space="preserve">הנ"ל </w:t>
      </w:r>
      <w:r w:rsidR="004537E3">
        <w:rPr>
          <w:rFonts w:cs="David" w:hint="cs"/>
          <w:szCs w:val="28"/>
          <w:rtl/>
        </w:rPr>
        <w:t xml:space="preserve">לשאלה שעוררה ההגנה אף במקרה דנן - </w:t>
      </w:r>
      <w:r w:rsidR="00407EC5" w:rsidRPr="003D04F5">
        <w:rPr>
          <w:rFonts w:cs="David" w:hint="cs"/>
          <w:szCs w:val="28"/>
          <w:rtl/>
        </w:rPr>
        <w:t xml:space="preserve">האם, בעקבות אותם שינויים ותמורות, </w:t>
      </w:r>
      <w:r w:rsidR="00E96E8C">
        <w:rPr>
          <w:rFonts w:cs="David" w:hint="cs"/>
          <w:szCs w:val="28"/>
          <w:rtl/>
        </w:rPr>
        <w:t xml:space="preserve">היחס השונה כלפי קצינים בשירות חובה ומשרתי הקבע, היינו, </w:t>
      </w:r>
      <w:r w:rsidR="008D4364" w:rsidRPr="003D04F5">
        <w:rPr>
          <w:rFonts w:cs="David" w:hint="cs"/>
          <w:szCs w:val="28"/>
          <w:rtl/>
        </w:rPr>
        <w:t>ה</w:t>
      </w:r>
      <w:r w:rsidR="00F2203C">
        <w:rPr>
          <w:rFonts w:cs="David" w:hint="cs"/>
          <w:szCs w:val="28"/>
          <w:rtl/>
        </w:rPr>
        <w:t xml:space="preserve">עמדתם לדין </w:t>
      </w:r>
      <w:r w:rsidR="008D4364" w:rsidRPr="003D04F5">
        <w:rPr>
          <w:rFonts w:cs="David" w:hint="cs"/>
          <w:szCs w:val="28"/>
          <w:rtl/>
        </w:rPr>
        <w:t>בעבירה של שימוש בסם מסוכן</w:t>
      </w:r>
      <w:r w:rsidR="004537E3">
        <w:rPr>
          <w:rFonts w:cs="David" w:hint="cs"/>
          <w:szCs w:val="28"/>
          <w:rtl/>
        </w:rPr>
        <w:t xml:space="preserve"> </w:t>
      </w:r>
      <w:r w:rsidR="004600B7" w:rsidRPr="003D04F5">
        <w:rPr>
          <w:rFonts w:cs="David"/>
          <w:szCs w:val="28"/>
          <w:rtl/>
        </w:rPr>
        <w:t>–</w:t>
      </w:r>
      <w:r w:rsidR="004600B7" w:rsidRPr="003D04F5">
        <w:rPr>
          <w:rFonts w:cs="David" w:hint="cs"/>
          <w:szCs w:val="28"/>
          <w:rtl/>
        </w:rPr>
        <w:t xml:space="preserve"> </w:t>
      </w:r>
      <w:r w:rsidR="00E96E8C">
        <w:rPr>
          <w:rFonts w:cs="David" w:hint="cs"/>
          <w:szCs w:val="28"/>
          <w:rtl/>
        </w:rPr>
        <w:t xml:space="preserve">יוצר </w:t>
      </w:r>
      <w:r w:rsidR="004600B7" w:rsidRPr="003D04F5">
        <w:rPr>
          <w:rFonts w:cs="David" w:hint="cs"/>
          <w:szCs w:val="28"/>
          <w:rtl/>
        </w:rPr>
        <w:t xml:space="preserve">הפליה פסולה ומחייב </w:t>
      </w:r>
      <w:r w:rsidR="00E96E8C">
        <w:rPr>
          <w:rFonts w:cs="David" w:hint="cs"/>
          <w:szCs w:val="28"/>
          <w:rtl/>
        </w:rPr>
        <w:t xml:space="preserve">את </w:t>
      </w:r>
      <w:r w:rsidR="004600B7" w:rsidRPr="003D04F5">
        <w:rPr>
          <w:rFonts w:cs="David" w:hint="cs"/>
          <w:szCs w:val="28"/>
          <w:rtl/>
        </w:rPr>
        <w:t>התערבות</w:t>
      </w:r>
      <w:r w:rsidR="00E96E8C">
        <w:rPr>
          <w:rFonts w:cs="David" w:hint="cs"/>
          <w:szCs w:val="28"/>
          <w:rtl/>
        </w:rPr>
        <w:t xml:space="preserve">ה של הערכאה השיפוטית </w:t>
      </w:r>
      <w:r w:rsidR="004600B7" w:rsidRPr="003D04F5">
        <w:rPr>
          <w:rFonts w:cs="David" w:hint="cs"/>
          <w:szCs w:val="28"/>
          <w:rtl/>
        </w:rPr>
        <w:t xml:space="preserve">בשיקול הדעת של התביעה </w:t>
      </w:r>
      <w:r w:rsidR="00E82DF3">
        <w:rPr>
          <w:rFonts w:cs="David" w:hint="cs"/>
          <w:szCs w:val="28"/>
          <w:rtl/>
        </w:rPr>
        <w:t>ב</w:t>
      </w:r>
      <w:r w:rsidR="004600B7" w:rsidRPr="003D04F5">
        <w:rPr>
          <w:rFonts w:cs="David" w:hint="cs"/>
          <w:szCs w:val="28"/>
          <w:rtl/>
        </w:rPr>
        <w:t>בח</w:t>
      </w:r>
      <w:r w:rsidR="00E82DF3">
        <w:rPr>
          <w:rFonts w:cs="David" w:hint="cs"/>
          <w:szCs w:val="28"/>
          <w:rtl/>
        </w:rPr>
        <w:t xml:space="preserve">ירת </w:t>
      </w:r>
      <w:r w:rsidR="004600B7" w:rsidRPr="003D04F5">
        <w:rPr>
          <w:rFonts w:cs="David" w:hint="cs"/>
          <w:szCs w:val="28"/>
          <w:rtl/>
        </w:rPr>
        <w:t xml:space="preserve">סעיף האישום </w:t>
      </w:r>
      <w:r w:rsidR="00E96E8C">
        <w:rPr>
          <w:rFonts w:cs="David" w:hint="cs"/>
          <w:szCs w:val="28"/>
          <w:rtl/>
        </w:rPr>
        <w:t>אשר בכתב האישום</w:t>
      </w:r>
      <w:r w:rsidR="004600B7" w:rsidRPr="003D04F5">
        <w:rPr>
          <w:rFonts w:cs="David" w:hint="cs"/>
          <w:szCs w:val="28"/>
          <w:rtl/>
        </w:rPr>
        <w:t>.</w:t>
      </w:r>
    </w:p>
    <w:p w14:paraId="39CC3226" w14:textId="77777777" w:rsidR="00C95F3E" w:rsidRPr="000A567D" w:rsidRDefault="004537E3" w:rsidP="000A567D">
      <w:pPr>
        <w:numPr>
          <w:ilvl w:val="0"/>
          <w:numId w:val="4"/>
        </w:numPr>
        <w:tabs>
          <w:tab w:val="left" w:pos="368"/>
        </w:tabs>
        <w:spacing w:line="360" w:lineRule="auto"/>
        <w:ind w:left="-58" w:firstLine="0"/>
        <w:jc w:val="both"/>
        <w:rPr>
          <w:rFonts w:cs="David"/>
          <w:szCs w:val="28"/>
        </w:rPr>
      </w:pPr>
      <w:r w:rsidRPr="000A567D">
        <w:rPr>
          <w:rFonts w:cs="David" w:hint="cs"/>
          <w:szCs w:val="28"/>
          <w:rtl/>
        </w:rPr>
        <w:lastRenderedPageBreak/>
        <w:t xml:space="preserve">במסגרת הדיון בשאלה, </w:t>
      </w:r>
      <w:r w:rsidR="0070181C" w:rsidRPr="000A567D">
        <w:rPr>
          <w:rFonts w:cs="David" w:hint="cs"/>
          <w:szCs w:val="28"/>
          <w:rtl/>
        </w:rPr>
        <w:t xml:space="preserve">ערך בית הדין השוואה </w:t>
      </w:r>
      <w:r w:rsidR="00C935B7" w:rsidRPr="000A567D">
        <w:rPr>
          <w:rFonts w:cs="David" w:hint="cs"/>
          <w:szCs w:val="28"/>
          <w:rtl/>
        </w:rPr>
        <w:t xml:space="preserve">בין תוצאות ההליך הפלילי בעניינו </w:t>
      </w:r>
      <w:r w:rsidRPr="000A567D">
        <w:rPr>
          <w:rFonts w:cs="David" w:hint="cs"/>
          <w:szCs w:val="28"/>
          <w:rtl/>
        </w:rPr>
        <w:t xml:space="preserve">של קצין </w:t>
      </w:r>
      <w:r w:rsidR="00C95F3E" w:rsidRPr="000A567D">
        <w:rPr>
          <w:rFonts w:cs="David" w:hint="cs"/>
          <w:szCs w:val="28"/>
          <w:rtl/>
        </w:rPr>
        <w:t xml:space="preserve">(או </w:t>
      </w:r>
      <w:r w:rsidR="00F2203C" w:rsidRPr="000A567D">
        <w:rPr>
          <w:rFonts w:cs="David" w:hint="cs"/>
          <w:szCs w:val="28"/>
          <w:rtl/>
        </w:rPr>
        <w:t xml:space="preserve">מפקד </w:t>
      </w:r>
      <w:r w:rsidRPr="000A567D">
        <w:rPr>
          <w:rFonts w:cs="David" w:hint="cs"/>
          <w:szCs w:val="28"/>
          <w:rtl/>
        </w:rPr>
        <w:t xml:space="preserve">בשירות </w:t>
      </w:r>
      <w:r w:rsidR="00C935B7" w:rsidRPr="000A567D">
        <w:rPr>
          <w:rFonts w:cs="David" w:hint="cs"/>
          <w:szCs w:val="28"/>
          <w:rtl/>
        </w:rPr>
        <w:t>קבע</w:t>
      </w:r>
      <w:r w:rsidR="00C95F3E" w:rsidRPr="000A567D">
        <w:rPr>
          <w:rFonts w:cs="David" w:hint="cs"/>
          <w:szCs w:val="28"/>
          <w:rtl/>
        </w:rPr>
        <w:t xml:space="preserve"> שאיננו קצין)</w:t>
      </w:r>
      <w:r w:rsidR="00C935B7" w:rsidRPr="000A567D">
        <w:rPr>
          <w:rFonts w:cs="David" w:hint="cs"/>
          <w:szCs w:val="28"/>
          <w:rtl/>
        </w:rPr>
        <w:t xml:space="preserve">, לבין </w:t>
      </w:r>
      <w:r w:rsidR="0080763C" w:rsidRPr="000A567D">
        <w:rPr>
          <w:rFonts w:cs="David" w:hint="cs"/>
          <w:szCs w:val="28"/>
          <w:rtl/>
        </w:rPr>
        <w:t xml:space="preserve">מצבו של </w:t>
      </w:r>
      <w:r w:rsidR="00C935B7" w:rsidRPr="000A567D">
        <w:rPr>
          <w:rFonts w:cs="David" w:hint="cs"/>
          <w:szCs w:val="28"/>
          <w:rtl/>
        </w:rPr>
        <w:t xml:space="preserve">חייל </w:t>
      </w:r>
      <w:r w:rsidR="00DD34AB">
        <w:rPr>
          <w:rFonts w:cs="David" w:hint="cs"/>
          <w:szCs w:val="28"/>
          <w:rtl/>
        </w:rPr>
        <w:t xml:space="preserve">בשירות חובה </w:t>
      </w:r>
      <w:r w:rsidR="00C935B7" w:rsidRPr="000A567D">
        <w:rPr>
          <w:rFonts w:cs="David" w:hint="cs"/>
          <w:szCs w:val="28"/>
          <w:rtl/>
        </w:rPr>
        <w:t>שביצע עבירות דומות</w:t>
      </w:r>
      <w:r w:rsidR="0070181C" w:rsidRPr="000A567D">
        <w:rPr>
          <w:rFonts w:cs="David" w:hint="cs"/>
          <w:szCs w:val="28"/>
          <w:rtl/>
        </w:rPr>
        <w:t xml:space="preserve">. לשם כך, נבחנו </w:t>
      </w:r>
      <w:r w:rsidR="0080763C" w:rsidRPr="000A567D">
        <w:rPr>
          <w:rFonts w:cs="David" w:hint="cs"/>
          <w:szCs w:val="28"/>
          <w:rtl/>
        </w:rPr>
        <w:t xml:space="preserve">ההשלכות הנלוות להרשעה בעבירה של שימוש בסם מסוכן, </w:t>
      </w:r>
      <w:r w:rsidRPr="000A567D">
        <w:rPr>
          <w:rFonts w:cs="David" w:hint="cs"/>
          <w:szCs w:val="28"/>
          <w:rtl/>
        </w:rPr>
        <w:t xml:space="preserve">בנסיבות המאפשרות לחייל בשירות חובה להיקשר בהסדר מותנה. בואר, כי במקרה הדומה בנסיבותיו, </w:t>
      </w:r>
      <w:r w:rsidR="0080763C" w:rsidRPr="000A567D">
        <w:rPr>
          <w:rFonts w:cs="David" w:hint="cs"/>
          <w:szCs w:val="28"/>
          <w:rtl/>
        </w:rPr>
        <w:t xml:space="preserve">הרישום הפלילי הצפוי לחול בעניינו של </w:t>
      </w:r>
      <w:r w:rsidR="000A567D" w:rsidRPr="000A567D">
        <w:rPr>
          <w:rFonts w:cs="David" w:hint="cs"/>
          <w:szCs w:val="28"/>
          <w:rtl/>
        </w:rPr>
        <w:t>ה</w:t>
      </w:r>
      <w:r w:rsidR="0070181C" w:rsidRPr="000A567D">
        <w:rPr>
          <w:rFonts w:cs="David" w:hint="cs"/>
          <w:szCs w:val="28"/>
          <w:rtl/>
        </w:rPr>
        <w:t xml:space="preserve">קצין </w:t>
      </w:r>
      <w:r w:rsidR="0080763C" w:rsidRPr="000A567D">
        <w:rPr>
          <w:rFonts w:cs="David" w:hint="cs"/>
          <w:szCs w:val="28"/>
          <w:rtl/>
        </w:rPr>
        <w:t xml:space="preserve">עם הרשעתו, </w:t>
      </w:r>
      <w:r w:rsidRPr="000A567D">
        <w:rPr>
          <w:rFonts w:cs="David" w:hint="cs"/>
          <w:szCs w:val="28"/>
          <w:rtl/>
        </w:rPr>
        <w:t xml:space="preserve">הוא רישום פלילי "מופחת". </w:t>
      </w:r>
      <w:r w:rsidR="00DE13E3" w:rsidRPr="000A567D">
        <w:rPr>
          <w:rFonts w:cs="David" w:hint="cs"/>
          <w:szCs w:val="28"/>
          <w:rtl/>
        </w:rPr>
        <w:t xml:space="preserve">השפעתו של </w:t>
      </w:r>
      <w:r w:rsidR="007867B8" w:rsidRPr="000A567D">
        <w:rPr>
          <w:rFonts w:cs="David" w:hint="cs"/>
          <w:szCs w:val="28"/>
          <w:rtl/>
        </w:rPr>
        <w:t xml:space="preserve">רישום פלילי "מופחת" </w:t>
      </w:r>
      <w:r w:rsidR="00D01449" w:rsidRPr="000A567D">
        <w:rPr>
          <w:rFonts w:cs="David" w:hint="cs"/>
          <w:szCs w:val="28"/>
          <w:rtl/>
        </w:rPr>
        <w:t xml:space="preserve">על חייו ועתידו של נאשם מורשע, לעומת רישום פלילי "מלא", </w:t>
      </w:r>
      <w:r w:rsidR="00DE13E3" w:rsidRPr="000A567D">
        <w:rPr>
          <w:rFonts w:cs="David" w:hint="cs"/>
          <w:szCs w:val="28"/>
          <w:rtl/>
        </w:rPr>
        <w:t xml:space="preserve">מצומצמת, </w:t>
      </w:r>
      <w:r w:rsidR="007867B8" w:rsidRPr="000A567D">
        <w:rPr>
          <w:rFonts w:cs="David" w:hint="cs"/>
          <w:szCs w:val="28"/>
          <w:rtl/>
        </w:rPr>
        <w:t>והש</w:t>
      </w:r>
      <w:r w:rsidR="00DE13E3" w:rsidRPr="000A567D">
        <w:rPr>
          <w:rFonts w:cs="David" w:hint="cs"/>
          <w:szCs w:val="28"/>
          <w:rtl/>
        </w:rPr>
        <w:t xml:space="preserve">לכותיו </w:t>
      </w:r>
      <w:r w:rsidR="007867B8" w:rsidRPr="000A567D">
        <w:rPr>
          <w:rFonts w:cs="David" w:hint="cs"/>
          <w:szCs w:val="28"/>
          <w:rtl/>
        </w:rPr>
        <w:t>הן כ</w:t>
      </w:r>
      <w:r w:rsidR="00DE13E3" w:rsidRPr="000A567D">
        <w:rPr>
          <w:rFonts w:cs="David" w:hint="cs"/>
          <w:szCs w:val="28"/>
          <w:rtl/>
        </w:rPr>
        <w:t xml:space="preserve">השלכות של </w:t>
      </w:r>
      <w:r w:rsidR="007867B8" w:rsidRPr="000A567D">
        <w:rPr>
          <w:rFonts w:cs="David" w:hint="cs"/>
          <w:szCs w:val="28"/>
          <w:rtl/>
        </w:rPr>
        <w:t xml:space="preserve">הימנעות מהרשעה </w:t>
      </w:r>
      <w:r w:rsidRPr="000A567D">
        <w:rPr>
          <w:rFonts w:cs="David" w:hint="cs"/>
          <w:szCs w:val="28"/>
          <w:rtl/>
        </w:rPr>
        <w:t xml:space="preserve">(ראו סעיף 404א לחוק השיפוט הצבאי, המפנה, בנסיבות הדומות לעניינו של המערער, לסעיפים 13 ו-16 </w:t>
      </w:r>
      <w:r w:rsidRPr="000A567D">
        <w:rPr>
          <w:rFonts w:cs="David"/>
          <w:szCs w:val="28"/>
          <w:rtl/>
        </w:rPr>
        <w:t>לחוק המרשם הפלילי ותקנת השבים</w:t>
      </w:r>
      <w:r w:rsidRPr="000A567D">
        <w:rPr>
          <w:rFonts w:cs="David" w:hint="cs"/>
          <w:szCs w:val="28"/>
          <w:rtl/>
        </w:rPr>
        <w:t xml:space="preserve">, </w:t>
      </w:r>
      <w:r w:rsidR="0070181C" w:rsidRPr="000A567D">
        <w:rPr>
          <w:rFonts w:cs="David" w:hint="cs"/>
          <w:szCs w:val="28"/>
          <w:rtl/>
        </w:rPr>
        <w:t xml:space="preserve">התשמ"א-1982, </w:t>
      </w:r>
      <w:r w:rsidRPr="000A567D">
        <w:rPr>
          <w:rFonts w:cs="David" w:hint="cs"/>
          <w:szCs w:val="28"/>
          <w:rtl/>
        </w:rPr>
        <w:t xml:space="preserve">העוסקים במקרים של צו מבחן, התחייבות להימנע מעבירה וצו שירות לתועלת הציבור, שניתנו </w:t>
      </w:r>
      <w:r w:rsidRPr="000A567D">
        <w:rPr>
          <w:rFonts w:cs="David" w:hint="cs"/>
          <w:b/>
          <w:bCs/>
          <w:szCs w:val="28"/>
          <w:rtl/>
        </w:rPr>
        <w:t>ללא הרשעה</w:t>
      </w:r>
      <w:r w:rsidRPr="000A567D">
        <w:rPr>
          <w:rFonts w:cs="David" w:hint="cs"/>
          <w:szCs w:val="28"/>
          <w:rtl/>
        </w:rPr>
        <w:t>).</w:t>
      </w:r>
      <w:r w:rsidR="000A567D" w:rsidRPr="000A567D">
        <w:rPr>
          <w:rFonts w:cs="David" w:hint="cs"/>
          <w:szCs w:val="28"/>
          <w:rtl/>
        </w:rPr>
        <w:t xml:space="preserve"> </w:t>
      </w:r>
      <w:r w:rsidR="000A567D">
        <w:rPr>
          <w:rFonts w:cs="David" w:hint="cs"/>
          <w:szCs w:val="28"/>
          <w:rtl/>
        </w:rPr>
        <w:t xml:space="preserve">לאור האמור, </w:t>
      </w:r>
      <w:r w:rsidR="00C95F3E" w:rsidRPr="000A567D">
        <w:rPr>
          <w:rFonts w:cs="David" w:hint="cs"/>
          <w:szCs w:val="28"/>
          <w:rtl/>
        </w:rPr>
        <w:t xml:space="preserve">נקבע כי: </w:t>
      </w:r>
    </w:p>
    <w:p w14:paraId="69ACA30F" w14:textId="77777777" w:rsidR="00C95F3E" w:rsidRDefault="00C95F3E" w:rsidP="00C95F3E">
      <w:pPr>
        <w:tabs>
          <w:tab w:val="left" w:pos="226"/>
        </w:tabs>
        <w:ind w:left="1418" w:right="1418"/>
        <w:jc w:val="both"/>
        <w:rPr>
          <w:rFonts w:cs="David"/>
          <w:szCs w:val="28"/>
          <w:rtl/>
        </w:rPr>
      </w:pPr>
      <w:r>
        <w:rPr>
          <w:rFonts w:cs="David" w:hint="cs"/>
          <w:szCs w:val="28"/>
          <w:rtl/>
        </w:rPr>
        <w:t xml:space="preserve">"... </w:t>
      </w:r>
      <w:r w:rsidR="009F2619">
        <w:rPr>
          <w:rFonts w:cs="David" w:hint="cs"/>
          <w:szCs w:val="28"/>
          <w:rtl/>
        </w:rPr>
        <w:t xml:space="preserve">בחינת </w:t>
      </w:r>
      <w:r w:rsidR="009F2619" w:rsidRPr="004179EE">
        <w:rPr>
          <w:rFonts w:cs="David" w:hint="cs"/>
          <w:b/>
          <w:bCs/>
          <w:szCs w:val="28"/>
          <w:rtl/>
        </w:rPr>
        <w:t>מלוא התמונה</w:t>
      </w:r>
      <w:r w:rsidR="009F2619">
        <w:rPr>
          <w:rFonts w:cs="David" w:hint="cs"/>
          <w:szCs w:val="28"/>
          <w:rtl/>
        </w:rPr>
        <w:t xml:space="preserve"> ושקילת </w:t>
      </w:r>
      <w:r w:rsidR="009F2619" w:rsidRPr="004179EE">
        <w:rPr>
          <w:rFonts w:cs="David" w:hint="cs"/>
          <w:b/>
          <w:bCs/>
          <w:szCs w:val="28"/>
          <w:rtl/>
        </w:rPr>
        <w:t>כלל השיקולים</w:t>
      </w:r>
      <w:r w:rsidR="009F2619">
        <w:rPr>
          <w:rFonts w:cs="David" w:hint="cs"/>
          <w:szCs w:val="28"/>
          <w:rtl/>
        </w:rPr>
        <w:t xml:space="preserve"> הנוגעים בעניין </w:t>
      </w:r>
      <w:r w:rsidR="00D01449">
        <w:rPr>
          <w:rFonts w:cs="David" w:hint="cs"/>
          <w:szCs w:val="28"/>
          <w:rtl/>
        </w:rPr>
        <w:t>מ</w:t>
      </w:r>
      <w:r w:rsidR="009F2619">
        <w:rPr>
          <w:rFonts w:cs="David" w:hint="cs"/>
          <w:szCs w:val="28"/>
          <w:rtl/>
        </w:rPr>
        <w:t>וביל</w:t>
      </w:r>
      <w:r w:rsidR="00D01449">
        <w:rPr>
          <w:rFonts w:cs="David" w:hint="cs"/>
          <w:szCs w:val="28"/>
          <w:rtl/>
        </w:rPr>
        <w:t xml:space="preserve">ים </w:t>
      </w:r>
      <w:r w:rsidR="009F2619">
        <w:rPr>
          <w:rFonts w:cs="David" w:hint="cs"/>
          <w:szCs w:val="28"/>
          <w:rtl/>
        </w:rPr>
        <w:t xml:space="preserve">למסקנה </w:t>
      </w:r>
      <w:r w:rsidR="00D01449">
        <w:rPr>
          <w:rFonts w:cs="David" w:hint="cs"/>
          <w:szCs w:val="28"/>
          <w:rtl/>
        </w:rPr>
        <w:t xml:space="preserve">ברורה, </w:t>
      </w:r>
      <w:r w:rsidR="009F2619" w:rsidRPr="004179EE">
        <w:rPr>
          <w:rFonts w:cs="David" w:hint="cs"/>
          <w:b/>
          <w:bCs/>
          <w:szCs w:val="28"/>
          <w:rtl/>
        </w:rPr>
        <w:t>שונה</w:t>
      </w:r>
      <w:r w:rsidR="009F2619">
        <w:rPr>
          <w:rFonts w:cs="David" w:hint="cs"/>
          <w:szCs w:val="28"/>
          <w:rtl/>
        </w:rPr>
        <w:t xml:space="preserve"> מזו שאליה הגיע בית הדין קמא. </w:t>
      </w:r>
      <w:r w:rsidR="004179EE">
        <w:rPr>
          <w:rFonts w:cs="David" w:hint="cs"/>
          <w:szCs w:val="28"/>
          <w:rtl/>
        </w:rPr>
        <w:t xml:space="preserve">מכלול </w:t>
      </w:r>
      <w:r w:rsidR="009F2619">
        <w:rPr>
          <w:rFonts w:cs="David" w:hint="cs"/>
          <w:szCs w:val="28"/>
          <w:rtl/>
        </w:rPr>
        <w:t>הנתונים</w:t>
      </w:r>
      <w:r w:rsidR="004179EE">
        <w:rPr>
          <w:rFonts w:cs="David" w:hint="cs"/>
          <w:szCs w:val="28"/>
          <w:rtl/>
        </w:rPr>
        <w:t xml:space="preserve">, בוודאי בראי טיבה </w:t>
      </w:r>
      <w:r w:rsidR="004179EE" w:rsidRPr="00C95F3E">
        <w:rPr>
          <w:rFonts w:cs="David" w:hint="cs"/>
          <w:sz w:val="28"/>
          <w:szCs w:val="28"/>
          <w:rtl/>
        </w:rPr>
        <w:t>והיקפה</w:t>
      </w:r>
      <w:r w:rsidR="004179EE">
        <w:rPr>
          <w:rFonts w:cs="David" w:hint="cs"/>
          <w:szCs w:val="28"/>
          <w:rtl/>
        </w:rPr>
        <w:t xml:space="preserve"> של הביקורת השיפוטית על ההחלטה המנהלית, כמפורט לעיל, מלמדים כי עסקינן </w:t>
      </w:r>
      <w:r w:rsidR="004179EE" w:rsidRPr="00443991">
        <w:rPr>
          <w:rFonts w:cs="David" w:hint="cs"/>
          <w:b/>
          <w:bCs/>
          <w:szCs w:val="28"/>
          <w:rtl/>
        </w:rPr>
        <w:t xml:space="preserve">בקבוצות </w:t>
      </w:r>
      <w:r w:rsidR="00443991">
        <w:rPr>
          <w:rFonts w:cs="David" w:hint="cs"/>
          <w:b/>
          <w:bCs/>
          <w:szCs w:val="28"/>
          <w:rtl/>
        </w:rPr>
        <w:t xml:space="preserve">נפרדות </w:t>
      </w:r>
      <w:r w:rsidR="004179EE" w:rsidRPr="00443991">
        <w:rPr>
          <w:rFonts w:cs="David" w:hint="cs"/>
          <w:b/>
          <w:bCs/>
          <w:szCs w:val="28"/>
          <w:rtl/>
        </w:rPr>
        <w:t>בעלות מאפיינים שונים</w:t>
      </w:r>
      <w:r w:rsidR="004179EE">
        <w:rPr>
          <w:rFonts w:cs="David" w:hint="cs"/>
          <w:szCs w:val="28"/>
          <w:rtl/>
        </w:rPr>
        <w:t xml:space="preserve">, </w:t>
      </w:r>
      <w:r w:rsidR="00443991">
        <w:rPr>
          <w:rFonts w:cs="David" w:hint="cs"/>
          <w:szCs w:val="28"/>
          <w:rtl/>
        </w:rPr>
        <w:t xml:space="preserve">וזאת, </w:t>
      </w:r>
      <w:r w:rsidR="004179EE">
        <w:rPr>
          <w:rFonts w:cs="David" w:hint="cs"/>
          <w:szCs w:val="28"/>
          <w:rtl/>
        </w:rPr>
        <w:t xml:space="preserve">על רקע של אינטרס חברתי מובהק, </w:t>
      </w:r>
      <w:r w:rsidR="00443991">
        <w:rPr>
          <w:rFonts w:cs="David" w:hint="cs"/>
          <w:szCs w:val="28"/>
          <w:rtl/>
        </w:rPr>
        <w:t>ש</w:t>
      </w:r>
      <w:r w:rsidR="00C75A2F">
        <w:rPr>
          <w:rFonts w:cs="David" w:hint="cs"/>
          <w:szCs w:val="28"/>
          <w:rtl/>
        </w:rPr>
        <w:t>עניינו</w:t>
      </w:r>
      <w:r w:rsidR="00443991">
        <w:rPr>
          <w:rFonts w:cs="David" w:hint="cs"/>
          <w:szCs w:val="28"/>
          <w:rtl/>
        </w:rPr>
        <w:t xml:space="preserve"> הגנה על שלום המדינה ותושביה, </w:t>
      </w:r>
      <w:r w:rsidR="004179EE">
        <w:rPr>
          <w:rFonts w:cs="David" w:hint="cs"/>
          <w:szCs w:val="28"/>
          <w:rtl/>
        </w:rPr>
        <w:t xml:space="preserve">וההשוואה ביניהן מלמדת על </w:t>
      </w:r>
      <w:r w:rsidR="004179EE" w:rsidRPr="00443991">
        <w:rPr>
          <w:rFonts w:cs="David" w:hint="cs"/>
          <w:b/>
          <w:bCs/>
          <w:szCs w:val="28"/>
          <w:rtl/>
        </w:rPr>
        <w:t>הבחנה עניינית</w:t>
      </w:r>
      <w:r w:rsidR="00443991">
        <w:rPr>
          <w:rFonts w:cs="David" w:hint="cs"/>
          <w:b/>
          <w:bCs/>
          <w:szCs w:val="28"/>
          <w:rtl/>
        </w:rPr>
        <w:t xml:space="preserve">, מנומקת </w:t>
      </w:r>
      <w:r w:rsidR="004179EE" w:rsidRPr="00443991">
        <w:rPr>
          <w:rFonts w:cs="David" w:hint="cs"/>
          <w:b/>
          <w:bCs/>
          <w:szCs w:val="28"/>
          <w:rtl/>
        </w:rPr>
        <w:t>ומבוססת</w:t>
      </w:r>
      <w:r w:rsidR="004179EE">
        <w:rPr>
          <w:rFonts w:cs="David" w:hint="cs"/>
          <w:szCs w:val="28"/>
          <w:rtl/>
        </w:rPr>
        <w:t>, ולא על הפליה פסולה.</w:t>
      </w:r>
    </w:p>
    <w:p w14:paraId="1EF86CB0" w14:textId="77777777" w:rsidR="00C95F3E" w:rsidRDefault="005D03E2" w:rsidP="000A567D">
      <w:pPr>
        <w:tabs>
          <w:tab w:val="left" w:pos="226"/>
        </w:tabs>
        <w:ind w:left="1418" w:right="1418"/>
        <w:jc w:val="both"/>
        <w:rPr>
          <w:rFonts w:cs="David"/>
          <w:szCs w:val="28"/>
          <w:rtl/>
        </w:rPr>
      </w:pPr>
      <w:r>
        <w:rPr>
          <w:rFonts w:cs="David" w:hint="cs"/>
          <w:szCs w:val="28"/>
          <w:rtl/>
        </w:rPr>
        <w:t xml:space="preserve">חשוב להדגיש, כי </w:t>
      </w:r>
      <w:r w:rsidRPr="0053079A">
        <w:rPr>
          <w:rFonts w:cs="David" w:hint="cs"/>
          <w:b/>
          <w:bCs/>
          <w:szCs w:val="28"/>
          <w:rtl/>
        </w:rPr>
        <w:t xml:space="preserve">נקודת המוצא, </w:t>
      </w:r>
      <w:r w:rsidR="000A567D">
        <w:rPr>
          <w:rFonts w:cs="David" w:hint="cs"/>
          <w:b/>
          <w:bCs/>
          <w:szCs w:val="28"/>
          <w:rtl/>
        </w:rPr>
        <w:t>'</w:t>
      </w:r>
      <w:r w:rsidRPr="0053079A">
        <w:rPr>
          <w:rFonts w:cs="David" w:hint="cs"/>
          <w:b/>
          <w:bCs/>
          <w:szCs w:val="28"/>
          <w:rtl/>
        </w:rPr>
        <w:t>דרך המלך</w:t>
      </w:r>
      <w:r w:rsidR="000A567D">
        <w:rPr>
          <w:rFonts w:cs="David" w:hint="cs"/>
          <w:b/>
          <w:bCs/>
          <w:szCs w:val="28"/>
          <w:rtl/>
        </w:rPr>
        <w:t>'</w:t>
      </w:r>
      <w:r w:rsidRPr="0053079A">
        <w:rPr>
          <w:rFonts w:cs="David" w:hint="cs"/>
          <w:b/>
          <w:bCs/>
          <w:szCs w:val="28"/>
          <w:rtl/>
        </w:rPr>
        <w:t>, במקרה של מעשי שימוש בסם מסוכן היא העמדה לדין פלילי בעבירה המתאימה, הייעודית, קרי: עבירה של שימוש בסם מסוכן לפי פקודת הסמים המסוכנים</w:t>
      </w:r>
      <w:r>
        <w:rPr>
          <w:rFonts w:cs="David" w:hint="cs"/>
          <w:szCs w:val="28"/>
          <w:rtl/>
        </w:rPr>
        <w:t>.</w:t>
      </w:r>
      <w:r w:rsidR="00C95F3E">
        <w:rPr>
          <w:rFonts w:cs="David" w:hint="cs"/>
          <w:szCs w:val="28"/>
          <w:rtl/>
        </w:rPr>
        <w:t xml:space="preserve">.. </w:t>
      </w:r>
      <w:r w:rsidR="006772ED">
        <w:rPr>
          <w:rFonts w:cs="David" w:hint="cs"/>
          <w:szCs w:val="28"/>
          <w:rtl/>
        </w:rPr>
        <w:t xml:space="preserve">אכן, </w:t>
      </w:r>
      <w:r>
        <w:rPr>
          <w:rFonts w:cs="David" w:hint="cs"/>
          <w:szCs w:val="28"/>
          <w:rtl/>
        </w:rPr>
        <w:t xml:space="preserve">המחוקק הלך כברת דרך לטובת </w:t>
      </w:r>
      <w:r w:rsidR="006772ED">
        <w:rPr>
          <w:rFonts w:cs="David" w:hint="cs"/>
          <w:szCs w:val="28"/>
          <w:rtl/>
        </w:rPr>
        <w:t xml:space="preserve">אלה שאינם משרתים בצבא, שביצעו מעשה </w:t>
      </w:r>
      <w:r w:rsidR="0053079A">
        <w:rPr>
          <w:rFonts w:cs="David" w:hint="cs"/>
          <w:szCs w:val="28"/>
          <w:rtl/>
        </w:rPr>
        <w:t xml:space="preserve">שימוש מזדמן </w:t>
      </w:r>
      <w:r>
        <w:rPr>
          <w:rFonts w:cs="David" w:hint="cs"/>
          <w:szCs w:val="28"/>
          <w:rtl/>
        </w:rPr>
        <w:t>בסם מסוג קנאביס</w:t>
      </w:r>
      <w:r w:rsidR="0053079A">
        <w:rPr>
          <w:rFonts w:cs="David" w:hint="cs"/>
          <w:szCs w:val="28"/>
          <w:rtl/>
        </w:rPr>
        <w:t xml:space="preserve">, וכהוראת שעה, אפשר למי שנכשל בעבירה זו בפעם הראשונה ואף </w:t>
      </w:r>
      <w:r w:rsidR="006772ED">
        <w:rPr>
          <w:rFonts w:cs="David" w:hint="cs"/>
          <w:szCs w:val="28"/>
          <w:rtl/>
        </w:rPr>
        <w:t xml:space="preserve">בפעם </w:t>
      </w:r>
      <w:r w:rsidR="0053079A">
        <w:rPr>
          <w:rFonts w:cs="David" w:hint="cs"/>
          <w:szCs w:val="28"/>
          <w:rtl/>
        </w:rPr>
        <w:t xml:space="preserve">השנייה, לשלם קנס חלף נקיטת הליך פלילי, על כל המשתמע </w:t>
      </w:r>
      <w:r w:rsidR="00604D8A">
        <w:rPr>
          <w:rFonts w:cs="David" w:hint="cs"/>
          <w:szCs w:val="28"/>
          <w:rtl/>
        </w:rPr>
        <w:t>הימנו</w:t>
      </w:r>
      <w:r w:rsidR="0053079A">
        <w:rPr>
          <w:rFonts w:cs="David" w:hint="cs"/>
          <w:szCs w:val="28"/>
          <w:rtl/>
        </w:rPr>
        <w:t xml:space="preserve">. </w:t>
      </w:r>
      <w:r w:rsidR="00604D8A">
        <w:rPr>
          <w:rFonts w:cs="David" w:hint="cs"/>
          <w:szCs w:val="28"/>
          <w:rtl/>
        </w:rPr>
        <w:t>עם זאת, כ</w:t>
      </w:r>
      <w:r w:rsidR="00756C08">
        <w:rPr>
          <w:rFonts w:cs="David" w:hint="cs"/>
          <w:szCs w:val="28"/>
          <w:rtl/>
        </w:rPr>
        <w:t>א</w:t>
      </w:r>
      <w:r w:rsidR="00604D8A">
        <w:rPr>
          <w:rFonts w:cs="David" w:hint="cs"/>
          <w:szCs w:val="28"/>
          <w:rtl/>
        </w:rPr>
        <w:t xml:space="preserve">מור, </w:t>
      </w:r>
      <w:r w:rsidR="00756C08" w:rsidRPr="00756C08">
        <w:rPr>
          <w:rFonts w:cs="David" w:hint="cs"/>
          <w:b/>
          <w:bCs/>
          <w:szCs w:val="28"/>
          <w:rtl/>
        </w:rPr>
        <w:t>נוכח טיבה של המסגרת הצבאית ומאפייניה הייחודיים</w:t>
      </w:r>
      <w:r w:rsidR="00756C08">
        <w:rPr>
          <w:rFonts w:cs="David" w:hint="cs"/>
          <w:szCs w:val="28"/>
          <w:rtl/>
        </w:rPr>
        <w:t>, ס</w:t>
      </w:r>
      <w:r w:rsidR="000D48FE">
        <w:rPr>
          <w:rFonts w:cs="David" w:hint="cs"/>
          <w:szCs w:val="28"/>
          <w:rtl/>
        </w:rPr>
        <w:t>ֽ</w:t>
      </w:r>
      <w:r w:rsidR="00756C08">
        <w:rPr>
          <w:rFonts w:cs="David" w:hint="cs"/>
          <w:szCs w:val="28"/>
          <w:rtl/>
        </w:rPr>
        <w:t xml:space="preserve">ייג </w:t>
      </w:r>
      <w:r w:rsidR="0053079A">
        <w:rPr>
          <w:rFonts w:cs="David" w:hint="cs"/>
          <w:szCs w:val="28"/>
          <w:rtl/>
        </w:rPr>
        <w:t>המחוקק את תחולת ההסדר המקל ו</w:t>
      </w:r>
      <w:r w:rsidR="00604D8A">
        <w:rPr>
          <w:rFonts w:cs="David" w:hint="cs"/>
          <w:szCs w:val="28"/>
          <w:rtl/>
        </w:rPr>
        <w:t xml:space="preserve">קבע כי אין </w:t>
      </w:r>
      <w:r w:rsidR="0053079A">
        <w:rPr>
          <w:rFonts w:cs="David" w:hint="cs"/>
          <w:szCs w:val="28"/>
          <w:rtl/>
        </w:rPr>
        <w:t xml:space="preserve">להחילו על חיילים. </w:t>
      </w:r>
      <w:r w:rsidR="00604D8A">
        <w:rPr>
          <w:rFonts w:cs="David" w:hint="cs"/>
          <w:szCs w:val="28"/>
          <w:rtl/>
        </w:rPr>
        <w:t xml:space="preserve">בצד זאת, </w:t>
      </w:r>
      <w:r w:rsidR="0053079A">
        <w:rPr>
          <w:rFonts w:cs="David" w:hint="cs"/>
          <w:szCs w:val="28"/>
          <w:rtl/>
        </w:rPr>
        <w:t>ב</w:t>
      </w:r>
      <w:r w:rsidR="00496A91">
        <w:rPr>
          <w:rFonts w:cs="David" w:hint="cs"/>
          <w:szCs w:val="28"/>
          <w:rtl/>
        </w:rPr>
        <w:t>רוח השינויים ב</w:t>
      </w:r>
      <w:r w:rsidR="006772ED">
        <w:rPr>
          <w:rFonts w:cs="David" w:hint="cs"/>
          <w:szCs w:val="28"/>
          <w:rtl/>
        </w:rPr>
        <w:t>חקיקה</w:t>
      </w:r>
      <w:r w:rsidR="0053079A">
        <w:rPr>
          <w:rFonts w:cs="David" w:hint="cs"/>
          <w:szCs w:val="28"/>
          <w:rtl/>
        </w:rPr>
        <w:t xml:space="preserve">, כאמצעי </w:t>
      </w:r>
      <w:r w:rsidR="0053079A" w:rsidRPr="0053079A">
        <w:rPr>
          <w:rFonts w:cs="David" w:hint="cs"/>
          <w:b/>
          <w:bCs/>
          <w:szCs w:val="28"/>
          <w:rtl/>
        </w:rPr>
        <w:t xml:space="preserve">מידתי </w:t>
      </w:r>
      <w:r w:rsidR="0053079A">
        <w:rPr>
          <w:rFonts w:cs="David" w:hint="cs"/>
          <w:szCs w:val="28"/>
          <w:rtl/>
        </w:rPr>
        <w:t xml:space="preserve">ועל מנת לצמצם את המרחק בין מעמדם של חיילים </w:t>
      </w:r>
      <w:r w:rsidR="0053079A" w:rsidRPr="006772ED">
        <w:rPr>
          <w:rFonts w:cs="David" w:hint="cs"/>
          <w:b/>
          <w:bCs/>
          <w:szCs w:val="28"/>
          <w:rtl/>
        </w:rPr>
        <w:t>צעירים</w:t>
      </w:r>
      <w:r w:rsidR="0053079A">
        <w:rPr>
          <w:rFonts w:cs="David" w:hint="cs"/>
          <w:szCs w:val="28"/>
          <w:rtl/>
        </w:rPr>
        <w:t xml:space="preserve">, המשרתים בצבא </w:t>
      </w:r>
      <w:r w:rsidR="00604D8A" w:rsidRPr="006772ED">
        <w:rPr>
          <w:rFonts w:cs="David" w:hint="cs"/>
          <w:b/>
          <w:bCs/>
          <w:szCs w:val="28"/>
          <w:rtl/>
        </w:rPr>
        <w:t xml:space="preserve">מכוח חוק, </w:t>
      </w:r>
      <w:r w:rsidR="0053079A" w:rsidRPr="006772ED">
        <w:rPr>
          <w:rFonts w:cs="David" w:hint="cs"/>
          <w:b/>
          <w:bCs/>
          <w:szCs w:val="28"/>
          <w:rtl/>
        </w:rPr>
        <w:t>בשירות חובה</w:t>
      </w:r>
      <w:r w:rsidR="0053079A">
        <w:rPr>
          <w:rFonts w:cs="David" w:hint="cs"/>
          <w:szCs w:val="28"/>
          <w:rtl/>
        </w:rPr>
        <w:t xml:space="preserve">, </w:t>
      </w:r>
      <w:r w:rsidR="00604D8A">
        <w:rPr>
          <w:rFonts w:cs="David" w:hint="cs"/>
          <w:szCs w:val="28"/>
          <w:rtl/>
        </w:rPr>
        <w:t>לבין אלה שאינם בשירות צבאי</w:t>
      </w:r>
      <w:r w:rsidR="006772ED">
        <w:rPr>
          <w:rFonts w:cs="David" w:hint="cs"/>
          <w:szCs w:val="28"/>
          <w:rtl/>
        </w:rPr>
        <w:t xml:space="preserve"> - </w:t>
      </w:r>
      <w:r w:rsidR="00604D8A">
        <w:rPr>
          <w:rFonts w:cs="David" w:hint="cs"/>
          <w:szCs w:val="28"/>
          <w:rtl/>
        </w:rPr>
        <w:t>מאפשרת הפרקליטות הצבאית לחיילים בשירות חובה, אשר נוטלים אחריות על מעשיהם</w:t>
      </w:r>
      <w:r w:rsidR="006772ED">
        <w:rPr>
          <w:rFonts w:cs="David" w:hint="cs"/>
          <w:szCs w:val="28"/>
          <w:rtl/>
        </w:rPr>
        <w:t>,</w:t>
      </w:r>
      <w:r w:rsidR="00604D8A">
        <w:rPr>
          <w:rFonts w:cs="David" w:hint="cs"/>
          <w:szCs w:val="28"/>
          <w:rtl/>
        </w:rPr>
        <w:t xml:space="preserve"> להיקשר בהסדר הקפאה, ועם עמידתם בתנאים, בתום תקופת מבחן בת כשנה</w:t>
      </w:r>
      <w:r w:rsidR="006772ED">
        <w:rPr>
          <w:rFonts w:cs="David" w:hint="cs"/>
          <w:szCs w:val="28"/>
          <w:rtl/>
        </w:rPr>
        <w:t>,</w:t>
      </w:r>
      <w:r w:rsidR="00604D8A">
        <w:rPr>
          <w:rFonts w:cs="David" w:hint="cs"/>
          <w:szCs w:val="28"/>
          <w:rtl/>
        </w:rPr>
        <w:t xml:space="preserve"> מבטלת את כתב האישום בעניינם. </w:t>
      </w:r>
      <w:r w:rsidR="006772ED">
        <w:rPr>
          <w:rFonts w:cs="David" w:hint="cs"/>
          <w:szCs w:val="28"/>
          <w:rtl/>
        </w:rPr>
        <w:t xml:space="preserve">מדיניות זו אינה מלמדת על הצורך </w:t>
      </w:r>
      <w:r w:rsidR="00756C08">
        <w:rPr>
          <w:rFonts w:cs="David" w:hint="cs"/>
          <w:szCs w:val="28"/>
          <w:rtl/>
        </w:rPr>
        <w:t>לנקוט צעד נוסף גם בעניינם של משרתי הקבע, המפקדים</w:t>
      </w:r>
      <w:r w:rsidR="00A95E2B">
        <w:rPr>
          <w:rFonts w:cs="David" w:hint="cs"/>
          <w:szCs w:val="28"/>
          <w:rtl/>
        </w:rPr>
        <w:t xml:space="preserve">. </w:t>
      </w:r>
      <w:r w:rsidR="004179EE">
        <w:rPr>
          <w:rFonts w:cs="David" w:hint="cs"/>
          <w:szCs w:val="28"/>
          <w:rtl/>
        </w:rPr>
        <w:t xml:space="preserve">כפי שפירטנו בהרחבה, לאוכלוסיית אנשי הקבע, מפקדים שבחרו לקשור את עתידם בשירות הצבאי, </w:t>
      </w:r>
      <w:r w:rsidR="004179EE" w:rsidRPr="006D6775">
        <w:rPr>
          <w:rFonts w:cs="David" w:hint="cs"/>
          <w:b/>
          <w:bCs/>
          <w:szCs w:val="28"/>
          <w:rtl/>
        </w:rPr>
        <w:t xml:space="preserve">חובת אמון </w:t>
      </w:r>
      <w:r w:rsidR="004179EE" w:rsidRPr="006D6775">
        <w:rPr>
          <w:rFonts w:cs="David" w:hint="cs"/>
          <w:b/>
          <w:bCs/>
          <w:szCs w:val="28"/>
          <w:rtl/>
        </w:rPr>
        <w:lastRenderedPageBreak/>
        <w:t>מ</w:t>
      </w:r>
      <w:r w:rsidR="00450158" w:rsidRPr="006D6775">
        <w:rPr>
          <w:rFonts w:cs="David" w:hint="cs"/>
          <w:b/>
          <w:bCs/>
          <w:szCs w:val="28"/>
          <w:rtl/>
        </w:rPr>
        <w:t>ו</w:t>
      </w:r>
      <w:r w:rsidR="004179EE" w:rsidRPr="006D6775">
        <w:rPr>
          <w:rFonts w:cs="David" w:hint="cs"/>
          <w:b/>
          <w:bCs/>
          <w:szCs w:val="28"/>
          <w:rtl/>
        </w:rPr>
        <w:t>גברת ורף ההתנהגות המצופה מהם גבוה</w:t>
      </w:r>
      <w:r w:rsidR="00450158" w:rsidRPr="006D6775">
        <w:rPr>
          <w:rFonts w:cs="David" w:hint="cs"/>
          <w:b/>
          <w:bCs/>
          <w:szCs w:val="28"/>
          <w:rtl/>
        </w:rPr>
        <w:t xml:space="preserve"> </w:t>
      </w:r>
      <w:r w:rsidR="006D6775">
        <w:rPr>
          <w:rFonts w:cs="David" w:hint="cs"/>
          <w:b/>
          <w:bCs/>
          <w:szCs w:val="28"/>
          <w:rtl/>
        </w:rPr>
        <w:t>במיוחד</w:t>
      </w:r>
      <w:r w:rsidR="004179EE">
        <w:rPr>
          <w:rFonts w:cs="David" w:hint="cs"/>
          <w:szCs w:val="28"/>
          <w:rtl/>
        </w:rPr>
        <w:t xml:space="preserve">, </w:t>
      </w:r>
      <w:r w:rsidR="006D6775">
        <w:rPr>
          <w:rFonts w:cs="David" w:hint="cs"/>
          <w:szCs w:val="28"/>
          <w:rtl/>
        </w:rPr>
        <w:t xml:space="preserve">וזאת, </w:t>
      </w:r>
      <w:r w:rsidR="004179EE">
        <w:rPr>
          <w:rFonts w:cs="David" w:hint="cs"/>
          <w:szCs w:val="28"/>
          <w:rtl/>
        </w:rPr>
        <w:t>כמתחייב מטיבה ו</w:t>
      </w:r>
      <w:r w:rsidR="006D6775">
        <w:rPr>
          <w:rFonts w:cs="David" w:hint="cs"/>
          <w:szCs w:val="28"/>
          <w:rtl/>
        </w:rPr>
        <w:t>מ</w:t>
      </w:r>
      <w:r w:rsidR="004179EE">
        <w:rPr>
          <w:rFonts w:cs="David" w:hint="cs"/>
          <w:szCs w:val="28"/>
          <w:rtl/>
        </w:rPr>
        <w:t>אופייה של המסגרת הצבאית</w:t>
      </w:r>
      <w:r w:rsidR="006D6775">
        <w:rPr>
          <w:rFonts w:cs="David" w:hint="cs"/>
          <w:szCs w:val="28"/>
          <w:rtl/>
        </w:rPr>
        <w:t xml:space="preserve">, </w:t>
      </w:r>
      <w:r w:rsidR="009958F1">
        <w:rPr>
          <w:rFonts w:cs="David" w:hint="cs"/>
          <w:szCs w:val="28"/>
          <w:rtl/>
        </w:rPr>
        <w:t>ו</w:t>
      </w:r>
      <w:r w:rsidR="006D6775">
        <w:rPr>
          <w:rFonts w:cs="David" w:hint="cs"/>
          <w:szCs w:val="28"/>
          <w:rtl/>
        </w:rPr>
        <w:t xml:space="preserve">מייעודו </w:t>
      </w:r>
      <w:r w:rsidR="004179EE">
        <w:rPr>
          <w:rFonts w:cs="David" w:hint="cs"/>
          <w:szCs w:val="28"/>
          <w:rtl/>
        </w:rPr>
        <w:t xml:space="preserve">של צה"ל, </w:t>
      </w:r>
      <w:r w:rsidR="006D6775">
        <w:rPr>
          <w:rFonts w:cs="David" w:hint="cs"/>
          <w:szCs w:val="28"/>
          <w:rtl/>
        </w:rPr>
        <w:t xml:space="preserve">שהוא </w:t>
      </w:r>
      <w:r w:rsidR="004179EE">
        <w:rPr>
          <w:rFonts w:cs="David" w:hint="cs"/>
          <w:szCs w:val="28"/>
          <w:rtl/>
        </w:rPr>
        <w:t xml:space="preserve">צבא העם. </w:t>
      </w:r>
      <w:r w:rsidR="00450158">
        <w:rPr>
          <w:rFonts w:cs="David" w:hint="cs"/>
          <w:szCs w:val="28"/>
          <w:rtl/>
        </w:rPr>
        <w:t xml:space="preserve">הפרת </w:t>
      </w:r>
      <w:r w:rsidR="00A95E2B">
        <w:rPr>
          <w:rFonts w:cs="David" w:hint="cs"/>
          <w:szCs w:val="28"/>
          <w:rtl/>
        </w:rPr>
        <w:t>ה</w:t>
      </w:r>
      <w:r w:rsidR="00450158">
        <w:rPr>
          <w:rFonts w:cs="David" w:hint="cs"/>
          <w:szCs w:val="28"/>
          <w:rtl/>
        </w:rPr>
        <w:t xml:space="preserve">חוק </w:t>
      </w:r>
      <w:r w:rsidR="00A95E2B">
        <w:rPr>
          <w:rFonts w:cs="David" w:hint="cs"/>
          <w:szCs w:val="28"/>
          <w:rtl/>
        </w:rPr>
        <w:t xml:space="preserve">כשלעצמה, על ידי </w:t>
      </w:r>
      <w:r w:rsidR="00450158">
        <w:rPr>
          <w:rFonts w:cs="David" w:hint="cs"/>
          <w:szCs w:val="28"/>
          <w:rtl/>
        </w:rPr>
        <w:t>מפקד</w:t>
      </w:r>
      <w:r w:rsidR="00A95E2B">
        <w:rPr>
          <w:rFonts w:cs="David" w:hint="cs"/>
          <w:szCs w:val="28"/>
          <w:rtl/>
        </w:rPr>
        <w:t xml:space="preserve">, היא בעלת </w:t>
      </w:r>
      <w:r w:rsidR="00450158">
        <w:rPr>
          <w:rFonts w:cs="David" w:hint="cs"/>
          <w:szCs w:val="28"/>
          <w:rtl/>
        </w:rPr>
        <w:t>משמעות שונה, מחמירה</w:t>
      </w:r>
      <w:r w:rsidR="00A95E2B">
        <w:rPr>
          <w:rFonts w:cs="David" w:hint="cs"/>
          <w:szCs w:val="28"/>
          <w:rtl/>
        </w:rPr>
        <w:t xml:space="preserve">, וביצוע עבירה של </w:t>
      </w:r>
      <w:r w:rsidR="006D6775">
        <w:rPr>
          <w:rFonts w:cs="David" w:hint="cs"/>
          <w:szCs w:val="28"/>
          <w:rtl/>
        </w:rPr>
        <w:t xml:space="preserve">שימוש בסם מסוכן על </w:t>
      </w:r>
      <w:r w:rsidR="00A95E2B">
        <w:rPr>
          <w:rFonts w:cs="David" w:hint="cs"/>
          <w:szCs w:val="28"/>
          <w:rtl/>
        </w:rPr>
        <w:t xml:space="preserve">ידי מפקד, כמפורט לעיל, גורר אחריו השלכות </w:t>
      </w:r>
      <w:r w:rsidR="00450158">
        <w:rPr>
          <w:rFonts w:cs="David" w:hint="cs"/>
          <w:szCs w:val="28"/>
          <w:rtl/>
        </w:rPr>
        <w:t>מרחיק</w:t>
      </w:r>
      <w:r w:rsidR="00A95E2B">
        <w:rPr>
          <w:rFonts w:cs="David" w:hint="cs"/>
          <w:szCs w:val="28"/>
          <w:rtl/>
        </w:rPr>
        <w:t>ו</w:t>
      </w:r>
      <w:r w:rsidR="00450158">
        <w:rPr>
          <w:rFonts w:cs="David" w:hint="cs"/>
          <w:szCs w:val="28"/>
          <w:rtl/>
        </w:rPr>
        <w:t xml:space="preserve">ת לכת </w:t>
      </w:r>
      <w:r w:rsidR="006D6775">
        <w:rPr>
          <w:rFonts w:cs="David" w:hint="cs"/>
          <w:szCs w:val="28"/>
          <w:rtl/>
        </w:rPr>
        <w:t>ונ</w:t>
      </w:r>
      <w:r w:rsidR="00450158">
        <w:rPr>
          <w:rFonts w:cs="David" w:hint="cs"/>
          <w:szCs w:val="28"/>
          <w:rtl/>
        </w:rPr>
        <w:t xml:space="preserve">זק רב. בהתאם, יש לקבוע כי ההבחנה שנקטה התביעה בסוגיית העמדתם לדין של </w:t>
      </w:r>
      <w:r w:rsidR="00C75A2F">
        <w:rPr>
          <w:rFonts w:cs="David" w:hint="cs"/>
          <w:szCs w:val="28"/>
          <w:rtl/>
        </w:rPr>
        <w:t>קצינים בשירות חובה ו</w:t>
      </w:r>
      <w:r w:rsidR="00C97F44">
        <w:rPr>
          <w:rFonts w:cs="David" w:hint="cs"/>
          <w:szCs w:val="28"/>
          <w:rtl/>
        </w:rPr>
        <w:t xml:space="preserve">של </w:t>
      </w:r>
      <w:r w:rsidR="00450158">
        <w:rPr>
          <w:rFonts w:cs="David" w:hint="cs"/>
          <w:szCs w:val="28"/>
          <w:rtl/>
        </w:rPr>
        <w:t xml:space="preserve">משרתי הקבע, </w:t>
      </w:r>
      <w:r w:rsidR="006D6775">
        <w:rPr>
          <w:rFonts w:cs="David" w:hint="cs"/>
          <w:szCs w:val="28"/>
          <w:rtl/>
        </w:rPr>
        <w:t xml:space="preserve">בעבירות מעין אלו, </w:t>
      </w:r>
      <w:r w:rsidR="00450158">
        <w:rPr>
          <w:rFonts w:cs="David" w:hint="cs"/>
          <w:szCs w:val="28"/>
          <w:rtl/>
        </w:rPr>
        <w:t xml:space="preserve">היא </w:t>
      </w:r>
      <w:r w:rsidR="00450158" w:rsidRPr="006D6775">
        <w:rPr>
          <w:rFonts w:cs="David" w:hint="cs"/>
          <w:b/>
          <w:bCs/>
          <w:szCs w:val="28"/>
          <w:rtl/>
        </w:rPr>
        <w:t>הבחנה עניינ</w:t>
      </w:r>
      <w:r w:rsidR="006D6775" w:rsidRPr="006D6775">
        <w:rPr>
          <w:rFonts w:cs="David" w:hint="cs"/>
          <w:b/>
          <w:bCs/>
          <w:szCs w:val="28"/>
          <w:rtl/>
        </w:rPr>
        <w:t>י</w:t>
      </w:r>
      <w:r w:rsidR="00450158" w:rsidRPr="006D6775">
        <w:rPr>
          <w:rFonts w:cs="David" w:hint="cs"/>
          <w:b/>
          <w:bCs/>
          <w:szCs w:val="28"/>
          <w:rtl/>
        </w:rPr>
        <w:t>ת ששורשיה נט</w:t>
      </w:r>
      <w:r w:rsidR="00A95E2B">
        <w:rPr>
          <w:rFonts w:cs="David" w:hint="cs"/>
          <w:b/>
          <w:bCs/>
          <w:szCs w:val="28"/>
          <w:rtl/>
        </w:rPr>
        <w:t>ו</w:t>
      </w:r>
      <w:r w:rsidR="00450158" w:rsidRPr="006D6775">
        <w:rPr>
          <w:rFonts w:cs="David" w:hint="cs"/>
          <w:b/>
          <w:bCs/>
          <w:szCs w:val="28"/>
          <w:rtl/>
        </w:rPr>
        <w:t>עים עמוק בהוויה הצבאית ובאינטרס</w:t>
      </w:r>
      <w:r w:rsidR="006D6775">
        <w:rPr>
          <w:rFonts w:cs="David" w:hint="cs"/>
          <w:b/>
          <w:bCs/>
          <w:szCs w:val="28"/>
          <w:rtl/>
        </w:rPr>
        <w:t>ים</w:t>
      </w:r>
      <w:r w:rsidR="00450158" w:rsidRPr="006D6775">
        <w:rPr>
          <w:rFonts w:cs="David" w:hint="cs"/>
          <w:b/>
          <w:bCs/>
          <w:szCs w:val="28"/>
          <w:rtl/>
        </w:rPr>
        <w:t xml:space="preserve"> חברתי</w:t>
      </w:r>
      <w:r w:rsidR="006D6775">
        <w:rPr>
          <w:rFonts w:cs="David" w:hint="cs"/>
          <w:b/>
          <w:bCs/>
          <w:szCs w:val="28"/>
          <w:rtl/>
        </w:rPr>
        <w:t>ים</w:t>
      </w:r>
      <w:r w:rsidR="00450158" w:rsidRPr="006D6775">
        <w:rPr>
          <w:rFonts w:cs="David" w:hint="cs"/>
          <w:b/>
          <w:bCs/>
          <w:szCs w:val="28"/>
          <w:rtl/>
        </w:rPr>
        <w:t xml:space="preserve"> </w:t>
      </w:r>
      <w:r w:rsidR="006D6775">
        <w:rPr>
          <w:rFonts w:cs="David" w:hint="cs"/>
          <w:b/>
          <w:bCs/>
          <w:szCs w:val="28"/>
          <w:rtl/>
        </w:rPr>
        <w:t xml:space="preserve">מובהקים של </w:t>
      </w:r>
      <w:r w:rsidR="00450158" w:rsidRPr="006D6775">
        <w:rPr>
          <w:rFonts w:cs="David" w:hint="cs"/>
          <w:b/>
          <w:bCs/>
          <w:szCs w:val="28"/>
          <w:rtl/>
        </w:rPr>
        <w:t>מדינת ישראל</w:t>
      </w:r>
      <w:r w:rsidR="006D6775">
        <w:rPr>
          <w:rFonts w:cs="David" w:hint="cs"/>
          <w:b/>
          <w:bCs/>
          <w:szCs w:val="28"/>
          <w:rtl/>
        </w:rPr>
        <w:t>, שהם האינטרס הציבורי באכיפת החוק, ו</w:t>
      </w:r>
      <w:r w:rsidR="00A95E2B">
        <w:rPr>
          <w:rFonts w:cs="David" w:hint="cs"/>
          <w:b/>
          <w:bCs/>
          <w:szCs w:val="28"/>
          <w:rtl/>
        </w:rPr>
        <w:t>ב</w:t>
      </w:r>
      <w:r w:rsidR="006D6775">
        <w:rPr>
          <w:rFonts w:cs="David" w:hint="cs"/>
          <w:b/>
          <w:bCs/>
          <w:szCs w:val="28"/>
          <w:rtl/>
        </w:rPr>
        <w:t xml:space="preserve">עיקר </w:t>
      </w:r>
      <w:r w:rsidR="006D6775">
        <w:rPr>
          <w:rFonts w:cs="David"/>
          <w:b/>
          <w:bCs/>
          <w:szCs w:val="28"/>
          <w:rtl/>
        </w:rPr>
        <w:t>–</w:t>
      </w:r>
      <w:r w:rsidR="006D6775">
        <w:rPr>
          <w:rFonts w:cs="David" w:hint="cs"/>
          <w:b/>
          <w:bCs/>
          <w:szCs w:val="28"/>
          <w:rtl/>
        </w:rPr>
        <w:t xml:space="preserve"> האינטרס הציבורי של השמירה על ביטחון המדינה ותושביה</w:t>
      </w:r>
      <w:r w:rsidR="00450158">
        <w:rPr>
          <w:rFonts w:cs="David" w:hint="cs"/>
          <w:szCs w:val="28"/>
          <w:rtl/>
        </w:rPr>
        <w:t xml:space="preserve">. </w:t>
      </w:r>
    </w:p>
    <w:p w14:paraId="3B6E678A" w14:textId="77777777" w:rsidR="00A95E2B" w:rsidRDefault="00A95E2B" w:rsidP="00C95F3E">
      <w:pPr>
        <w:tabs>
          <w:tab w:val="left" w:pos="226"/>
        </w:tabs>
        <w:ind w:left="1418" w:right="1418"/>
        <w:jc w:val="both"/>
        <w:rPr>
          <w:rFonts w:cs="David"/>
          <w:szCs w:val="28"/>
          <w:rtl/>
        </w:rPr>
      </w:pPr>
      <w:r w:rsidRPr="00A95E2B">
        <w:rPr>
          <w:rFonts w:cs="David" w:hint="cs"/>
          <w:szCs w:val="28"/>
          <w:rtl/>
        </w:rPr>
        <w:t xml:space="preserve">הדברים האמורים ביתר שאת, נוכח השלכותיו </w:t>
      </w:r>
      <w:r w:rsidRPr="00A95E2B">
        <w:rPr>
          <w:rFonts w:cs="David" w:hint="cs"/>
          <w:b/>
          <w:bCs/>
          <w:szCs w:val="28"/>
          <w:rtl/>
        </w:rPr>
        <w:t xml:space="preserve">המצומצמות ממילא של הרישום הפלילי </w:t>
      </w:r>
      <w:r w:rsidR="00C95F3E">
        <w:rPr>
          <w:rFonts w:cs="David" w:hint="cs"/>
          <w:b/>
          <w:bCs/>
          <w:szCs w:val="28"/>
          <w:rtl/>
        </w:rPr>
        <w:t>'</w:t>
      </w:r>
      <w:r w:rsidRPr="00A95E2B">
        <w:rPr>
          <w:rFonts w:cs="David" w:hint="cs"/>
          <w:b/>
          <w:bCs/>
          <w:szCs w:val="28"/>
          <w:rtl/>
        </w:rPr>
        <w:t>המופחת</w:t>
      </w:r>
      <w:r w:rsidR="00C95F3E">
        <w:rPr>
          <w:rFonts w:cs="David" w:hint="cs"/>
          <w:b/>
          <w:bCs/>
          <w:szCs w:val="28"/>
          <w:rtl/>
        </w:rPr>
        <w:t>'</w:t>
      </w:r>
      <w:r w:rsidRPr="00A95E2B">
        <w:rPr>
          <w:rFonts w:cs="David" w:hint="cs"/>
          <w:szCs w:val="28"/>
          <w:rtl/>
        </w:rPr>
        <w:t xml:space="preserve">, </w:t>
      </w:r>
      <w:r w:rsidR="007B1E83">
        <w:rPr>
          <w:rFonts w:cs="David" w:hint="cs"/>
          <w:szCs w:val="28"/>
          <w:rtl/>
        </w:rPr>
        <w:t xml:space="preserve">אשר כאמור, </w:t>
      </w:r>
      <w:r w:rsidRPr="00A95E2B">
        <w:rPr>
          <w:rFonts w:cs="David" w:hint="cs"/>
          <w:szCs w:val="28"/>
          <w:rtl/>
        </w:rPr>
        <w:t>אינן חורגות מהשלכות של הימנעות מהרשעה</w:t>
      </w:r>
      <w:r w:rsidR="00C95F3E">
        <w:rPr>
          <w:rFonts w:cs="David" w:hint="cs"/>
          <w:szCs w:val="28"/>
          <w:rtl/>
        </w:rPr>
        <w:t>" (</w:t>
      </w:r>
      <w:r w:rsidR="000A567D">
        <w:rPr>
          <w:rFonts w:cs="David" w:hint="cs"/>
          <w:szCs w:val="28"/>
          <w:rtl/>
        </w:rPr>
        <w:t xml:space="preserve">עניין </w:t>
      </w:r>
      <w:r w:rsidR="000A567D" w:rsidRPr="000A567D">
        <w:rPr>
          <w:rFonts w:cs="David" w:hint="cs"/>
          <w:b/>
          <w:bCs/>
          <w:szCs w:val="28"/>
          <w:rtl/>
        </w:rPr>
        <w:t>יעקב</w:t>
      </w:r>
      <w:r w:rsidR="000A567D">
        <w:rPr>
          <w:rFonts w:cs="David" w:hint="cs"/>
          <w:szCs w:val="28"/>
          <w:rtl/>
        </w:rPr>
        <w:t xml:space="preserve"> לעיל, פסקאות 54-53, </w:t>
      </w:r>
      <w:r w:rsidR="00C95F3E">
        <w:rPr>
          <w:rFonts w:cs="David" w:hint="cs"/>
          <w:szCs w:val="28"/>
          <w:rtl/>
        </w:rPr>
        <w:t xml:space="preserve">הדגשות במקור). </w:t>
      </w:r>
      <w:r w:rsidRPr="00A95E2B">
        <w:rPr>
          <w:rFonts w:cs="David" w:hint="cs"/>
          <w:szCs w:val="28"/>
          <w:rtl/>
        </w:rPr>
        <w:t xml:space="preserve"> </w:t>
      </w:r>
    </w:p>
    <w:p w14:paraId="1586FD8A" w14:textId="77777777" w:rsidR="00C95F3E" w:rsidRPr="00A95E2B" w:rsidRDefault="00C95F3E" w:rsidP="00C95F3E">
      <w:pPr>
        <w:tabs>
          <w:tab w:val="left" w:pos="226"/>
        </w:tabs>
        <w:ind w:left="1418" w:right="1418"/>
        <w:jc w:val="both"/>
        <w:rPr>
          <w:rFonts w:cs="David"/>
          <w:szCs w:val="28"/>
          <w:rtl/>
        </w:rPr>
      </w:pPr>
    </w:p>
    <w:p w14:paraId="76B959E4" w14:textId="77777777" w:rsidR="00C95F3E" w:rsidRDefault="00C95F3E" w:rsidP="000A567D">
      <w:pPr>
        <w:numPr>
          <w:ilvl w:val="0"/>
          <w:numId w:val="4"/>
        </w:numPr>
        <w:tabs>
          <w:tab w:val="left" w:pos="368"/>
        </w:tabs>
        <w:spacing w:line="360" w:lineRule="auto"/>
        <w:ind w:left="-58" w:firstLine="0"/>
        <w:jc w:val="both"/>
        <w:rPr>
          <w:rFonts w:cs="David"/>
          <w:szCs w:val="28"/>
        </w:rPr>
      </w:pPr>
      <w:r>
        <w:rPr>
          <w:rFonts w:cs="David" w:hint="cs"/>
          <w:szCs w:val="28"/>
          <w:rtl/>
        </w:rPr>
        <w:t xml:space="preserve">עולה מן המקובץ, כי במישור העקרוני, </w:t>
      </w:r>
      <w:r w:rsidR="000A567D">
        <w:rPr>
          <w:rFonts w:cs="David" w:hint="cs"/>
          <w:szCs w:val="28"/>
          <w:rtl/>
        </w:rPr>
        <w:t xml:space="preserve">הכללי, </w:t>
      </w:r>
      <w:r>
        <w:rPr>
          <w:rFonts w:cs="David" w:hint="cs"/>
          <w:szCs w:val="28"/>
          <w:rtl/>
        </w:rPr>
        <w:t>אין ל</w:t>
      </w:r>
      <w:r w:rsidR="000A567D">
        <w:rPr>
          <w:rFonts w:cs="David" w:hint="cs"/>
          <w:szCs w:val="28"/>
          <w:rtl/>
        </w:rPr>
        <w:t>קבוע כי ל</w:t>
      </w:r>
      <w:r>
        <w:rPr>
          <w:rFonts w:cs="David" w:hint="cs"/>
          <w:szCs w:val="28"/>
          <w:rtl/>
        </w:rPr>
        <w:t xml:space="preserve">פנינו הפליה פסולה, בין קצינים </w:t>
      </w:r>
      <w:r w:rsidR="000A567D">
        <w:rPr>
          <w:rFonts w:cs="David" w:hint="cs"/>
          <w:szCs w:val="28"/>
          <w:rtl/>
        </w:rPr>
        <w:t xml:space="preserve">בחובה ומשרתי הקבע לבין </w:t>
      </w:r>
      <w:r>
        <w:rPr>
          <w:rFonts w:cs="David" w:hint="cs"/>
          <w:szCs w:val="28"/>
          <w:rtl/>
        </w:rPr>
        <w:t xml:space="preserve">חיילים בשירות חובה, ויש לדחות את טענת ההגנה בהקשר זה. </w:t>
      </w:r>
    </w:p>
    <w:p w14:paraId="3FBA79F6" w14:textId="77777777" w:rsidR="000A567D" w:rsidRDefault="00BA1BEC" w:rsidP="000A567D">
      <w:pPr>
        <w:numPr>
          <w:ilvl w:val="0"/>
          <w:numId w:val="4"/>
        </w:numPr>
        <w:tabs>
          <w:tab w:val="left" w:pos="368"/>
        </w:tabs>
        <w:spacing w:line="360" w:lineRule="auto"/>
        <w:ind w:left="-58" w:firstLine="0"/>
        <w:jc w:val="both"/>
        <w:rPr>
          <w:rFonts w:cs="David"/>
          <w:szCs w:val="28"/>
        </w:rPr>
      </w:pPr>
      <w:r w:rsidRPr="00681FF5">
        <w:rPr>
          <w:rFonts w:cs="David" w:hint="cs"/>
          <w:szCs w:val="28"/>
          <w:rtl/>
        </w:rPr>
        <w:t>אף ב</w:t>
      </w:r>
      <w:r w:rsidR="001F066B" w:rsidRPr="00681FF5">
        <w:rPr>
          <w:rFonts w:cs="David" w:hint="cs"/>
          <w:szCs w:val="28"/>
          <w:rtl/>
        </w:rPr>
        <w:t>מישור הפרטני</w:t>
      </w:r>
      <w:r w:rsidRPr="00681FF5">
        <w:rPr>
          <w:rFonts w:cs="David" w:hint="cs"/>
          <w:szCs w:val="28"/>
          <w:rtl/>
        </w:rPr>
        <w:t xml:space="preserve"> </w:t>
      </w:r>
      <w:r w:rsidR="00C95F3E" w:rsidRPr="00681FF5">
        <w:rPr>
          <w:rFonts w:cs="David" w:hint="cs"/>
          <w:szCs w:val="28"/>
          <w:rtl/>
        </w:rPr>
        <w:t xml:space="preserve">לא מצאנו כי יש </w:t>
      </w:r>
      <w:r w:rsidRPr="00681FF5">
        <w:rPr>
          <w:rFonts w:cs="David" w:hint="cs"/>
          <w:szCs w:val="28"/>
          <w:rtl/>
        </w:rPr>
        <w:t>ב</w:t>
      </w:r>
      <w:r w:rsidR="00224159" w:rsidRPr="00681FF5">
        <w:rPr>
          <w:rFonts w:cs="David"/>
          <w:szCs w:val="28"/>
          <w:rtl/>
        </w:rPr>
        <w:t>נסיבות</w:t>
      </w:r>
      <w:r w:rsidR="000A567D">
        <w:rPr>
          <w:rFonts w:cs="David" w:hint="cs"/>
          <w:szCs w:val="28"/>
          <w:rtl/>
        </w:rPr>
        <w:t>יו</w:t>
      </w:r>
      <w:r w:rsidR="00224159" w:rsidRPr="00681FF5">
        <w:rPr>
          <w:rFonts w:cs="David"/>
          <w:szCs w:val="28"/>
          <w:rtl/>
        </w:rPr>
        <w:t xml:space="preserve"> הקונקרטיות של המ</w:t>
      </w:r>
      <w:r w:rsidR="000A567D">
        <w:rPr>
          <w:rFonts w:cs="David" w:hint="cs"/>
          <w:szCs w:val="28"/>
          <w:rtl/>
        </w:rPr>
        <w:t xml:space="preserve">ערער ובנסיבות העבירה </w:t>
      </w:r>
      <w:r w:rsidRPr="00681FF5">
        <w:rPr>
          <w:rFonts w:cs="David" w:hint="cs"/>
          <w:szCs w:val="28"/>
          <w:rtl/>
        </w:rPr>
        <w:t>כדי ללמד על עיוות דין מהותי</w:t>
      </w:r>
      <w:r w:rsidR="000A567D">
        <w:rPr>
          <w:rFonts w:cs="David" w:hint="cs"/>
          <w:szCs w:val="28"/>
          <w:rtl/>
        </w:rPr>
        <w:t xml:space="preserve">, אשר יש בו כדי </w:t>
      </w:r>
      <w:r w:rsidRPr="00681FF5">
        <w:rPr>
          <w:rFonts w:cs="David" w:hint="cs"/>
          <w:szCs w:val="28"/>
          <w:rtl/>
        </w:rPr>
        <w:t>ל</w:t>
      </w:r>
      <w:r w:rsidR="00B91660" w:rsidRPr="00681FF5">
        <w:rPr>
          <w:rFonts w:cs="David" w:hint="cs"/>
          <w:szCs w:val="28"/>
          <w:rtl/>
        </w:rPr>
        <w:t>בסס הגנה מן הצדק</w:t>
      </w:r>
      <w:r w:rsidR="000A567D">
        <w:rPr>
          <w:rFonts w:cs="David" w:hint="cs"/>
          <w:szCs w:val="28"/>
          <w:rtl/>
        </w:rPr>
        <w:t xml:space="preserve"> (על המבחנים לקיומה של הגנה מן הצדק ראו:</w:t>
      </w:r>
      <w:r w:rsidR="000A567D" w:rsidRPr="000A567D">
        <w:rPr>
          <w:rFonts w:cs="David" w:hint="cs"/>
          <w:sz w:val="28"/>
          <w:szCs w:val="28"/>
          <w:rtl/>
        </w:rPr>
        <w:t xml:space="preserve"> </w:t>
      </w:r>
      <w:r w:rsidR="000A567D" w:rsidRPr="000A567D">
        <w:rPr>
          <w:rFonts w:cs="David" w:hint="cs"/>
          <w:szCs w:val="28"/>
          <w:rtl/>
        </w:rPr>
        <w:t xml:space="preserve">רע"פ 5861/19 </w:t>
      </w:r>
      <w:r w:rsidR="000A567D" w:rsidRPr="000A567D">
        <w:rPr>
          <w:rFonts w:cs="David" w:hint="cs"/>
          <w:b/>
          <w:bCs/>
          <w:szCs w:val="28"/>
          <w:rtl/>
        </w:rPr>
        <w:t>פלוני נ' מדינת ישראל</w:t>
      </w:r>
      <w:r w:rsidR="000A567D" w:rsidRPr="000A567D">
        <w:rPr>
          <w:rFonts w:cs="David" w:hint="cs"/>
          <w:szCs w:val="28"/>
          <w:rtl/>
        </w:rPr>
        <w:t xml:space="preserve"> (</w:t>
      </w:r>
      <w:r w:rsidR="00DE18BF">
        <w:rPr>
          <w:rFonts w:cs="David" w:hint="cs"/>
          <w:szCs w:val="28"/>
          <w:rtl/>
        </w:rPr>
        <w:t>טרם פורסם,</w:t>
      </w:r>
      <w:r w:rsidR="004669E9">
        <w:rPr>
          <w:rFonts w:cs="David" w:hint="cs"/>
          <w:szCs w:val="28"/>
          <w:rtl/>
        </w:rPr>
        <w:t xml:space="preserve"> </w:t>
      </w:r>
      <w:r w:rsidR="000A567D" w:rsidRPr="000A567D">
        <w:rPr>
          <w:rFonts w:cs="David" w:hint="cs"/>
          <w:szCs w:val="28"/>
          <w:rtl/>
        </w:rPr>
        <w:t>2.1.2020)</w:t>
      </w:r>
      <w:r w:rsidR="00F5041D">
        <w:rPr>
          <w:rFonts w:cs="David" w:hint="cs"/>
          <w:szCs w:val="28"/>
          <w:rtl/>
        </w:rPr>
        <w:t xml:space="preserve">; רע"פ 7052/18 </w:t>
      </w:r>
      <w:r w:rsidR="00F5041D">
        <w:rPr>
          <w:rFonts w:cs="David" w:hint="cs"/>
          <w:b/>
          <w:bCs/>
          <w:szCs w:val="28"/>
          <w:rtl/>
        </w:rPr>
        <w:t>מדינת ישראל נ</w:t>
      </w:r>
      <w:r w:rsidR="00AD2926">
        <w:rPr>
          <w:rFonts w:cs="David" w:hint="cs"/>
          <w:b/>
          <w:bCs/>
          <w:szCs w:val="28"/>
          <w:rtl/>
        </w:rPr>
        <w:t>' רותם</w:t>
      </w:r>
      <w:r w:rsidR="00AD2926">
        <w:rPr>
          <w:rFonts w:cs="David" w:hint="cs"/>
          <w:szCs w:val="28"/>
          <w:rtl/>
        </w:rPr>
        <w:t xml:space="preserve"> (</w:t>
      </w:r>
      <w:r w:rsidR="00DE18BF">
        <w:rPr>
          <w:rFonts w:cs="David" w:hint="cs"/>
          <w:szCs w:val="28"/>
          <w:rtl/>
        </w:rPr>
        <w:t xml:space="preserve">טרם פורסם, </w:t>
      </w:r>
      <w:r w:rsidR="00AD2926">
        <w:rPr>
          <w:rFonts w:cs="David" w:hint="cs"/>
          <w:szCs w:val="28"/>
          <w:rtl/>
        </w:rPr>
        <w:t>5.5.2020)</w:t>
      </w:r>
      <w:r w:rsidR="000A567D">
        <w:rPr>
          <w:rFonts w:cs="David" w:hint="cs"/>
          <w:szCs w:val="28"/>
          <w:rtl/>
        </w:rPr>
        <w:t>)</w:t>
      </w:r>
      <w:r w:rsidR="00B91660" w:rsidRPr="00681FF5">
        <w:rPr>
          <w:rFonts w:cs="David" w:hint="cs"/>
          <w:szCs w:val="28"/>
          <w:rtl/>
        </w:rPr>
        <w:t xml:space="preserve">. </w:t>
      </w:r>
    </w:p>
    <w:p w14:paraId="6FE5AF33" w14:textId="77777777" w:rsidR="006A6FEB" w:rsidRDefault="00B91660" w:rsidP="006B5558">
      <w:pPr>
        <w:numPr>
          <w:ilvl w:val="0"/>
          <w:numId w:val="4"/>
        </w:numPr>
        <w:tabs>
          <w:tab w:val="left" w:pos="368"/>
        </w:tabs>
        <w:spacing w:line="360" w:lineRule="auto"/>
        <w:ind w:left="-58" w:firstLine="0"/>
        <w:jc w:val="both"/>
        <w:rPr>
          <w:rFonts w:cs="David"/>
          <w:szCs w:val="28"/>
        </w:rPr>
      </w:pPr>
      <w:r w:rsidRPr="00681FF5">
        <w:rPr>
          <w:rFonts w:cs="David" w:hint="cs"/>
          <w:szCs w:val="28"/>
          <w:rtl/>
        </w:rPr>
        <w:t>המערער שימש כמפקד מחלקת כוננות ואבטחה בבסיס שדה דב, ובהמשך כמפקד פלגת אבטחה בבסיס רמת דוד. מתוקף תפקיד</w:t>
      </w:r>
      <w:r w:rsidR="006B5558">
        <w:rPr>
          <w:rFonts w:cs="David" w:hint="cs"/>
          <w:szCs w:val="28"/>
          <w:rtl/>
        </w:rPr>
        <w:t>י</w:t>
      </w:r>
      <w:r w:rsidRPr="00681FF5">
        <w:rPr>
          <w:rFonts w:cs="David" w:hint="cs"/>
          <w:szCs w:val="28"/>
          <w:rtl/>
        </w:rPr>
        <w:t xml:space="preserve">ו, פיקד המערער על חיילים במערך </w:t>
      </w:r>
      <w:r w:rsidR="000A567D">
        <w:rPr>
          <w:rFonts w:cs="David" w:hint="cs"/>
          <w:szCs w:val="28"/>
          <w:rtl/>
        </w:rPr>
        <w:t xml:space="preserve">של </w:t>
      </w:r>
      <w:r w:rsidR="006B5558">
        <w:rPr>
          <w:rFonts w:cs="David" w:hint="cs"/>
          <w:szCs w:val="28"/>
          <w:rtl/>
        </w:rPr>
        <w:t>ה</w:t>
      </w:r>
      <w:r w:rsidRPr="00681FF5">
        <w:rPr>
          <w:rFonts w:cs="David" w:hint="cs"/>
          <w:szCs w:val="28"/>
          <w:rtl/>
        </w:rPr>
        <w:t>ה</w:t>
      </w:r>
      <w:r w:rsidR="000A567D">
        <w:rPr>
          <w:rFonts w:cs="David" w:hint="cs"/>
          <w:szCs w:val="28"/>
          <w:rtl/>
        </w:rPr>
        <w:t>גנ</w:t>
      </w:r>
      <w:r w:rsidR="006B5558">
        <w:rPr>
          <w:rFonts w:cs="David" w:hint="cs"/>
          <w:szCs w:val="28"/>
          <w:rtl/>
        </w:rPr>
        <w:t>ה הקרקעית של הבסיסים</w:t>
      </w:r>
      <w:r w:rsidR="000A567D">
        <w:rPr>
          <w:rFonts w:cs="David" w:hint="cs"/>
          <w:szCs w:val="28"/>
          <w:rtl/>
        </w:rPr>
        <w:t xml:space="preserve"> </w:t>
      </w:r>
      <w:r w:rsidRPr="00681FF5">
        <w:rPr>
          <w:rFonts w:cs="David" w:hint="cs"/>
          <w:szCs w:val="28"/>
          <w:rtl/>
        </w:rPr>
        <w:t>והיה אחראי על דריכותם ו</w:t>
      </w:r>
      <w:r w:rsidR="000A567D">
        <w:rPr>
          <w:rFonts w:cs="David" w:hint="cs"/>
          <w:szCs w:val="28"/>
          <w:rtl/>
        </w:rPr>
        <w:t xml:space="preserve">על </w:t>
      </w:r>
      <w:r w:rsidRPr="00681FF5">
        <w:rPr>
          <w:rFonts w:cs="David" w:hint="cs"/>
          <w:szCs w:val="28"/>
          <w:rtl/>
        </w:rPr>
        <w:t xml:space="preserve">כשירותם המבצעית. </w:t>
      </w:r>
      <w:r w:rsidR="00681FF5" w:rsidRPr="00681FF5">
        <w:rPr>
          <w:rFonts w:cs="David" w:hint="cs"/>
          <w:szCs w:val="28"/>
          <w:rtl/>
        </w:rPr>
        <w:t>המערער נכשל ב</w:t>
      </w:r>
      <w:r w:rsidRPr="00681FF5">
        <w:rPr>
          <w:rFonts w:cs="David" w:hint="cs"/>
          <w:szCs w:val="28"/>
          <w:rtl/>
        </w:rPr>
        <w:t>מעשי שימוש בסם מסוכן מסוג קנאביס</w:t>
      </w:r>
      <w:r w:rsidR="00681FF5" w:rsidRPr="00681FF5">
        <w:rPr>
          <w:rFonts w:cs="David" w:hint="cs"/>
          <w:szCs w:val="28"/>
          <w:rtl/>
        </w:rPr>
        <w:t>,</w:t>
      </w:r>
      <w:r w:rsidRPr="00681FF5">
        <w:rPr>
          <w:rFonts w:cs="David" w:hint="cs"/>
          <w:szCs w:val="28"/>
          <w:rtl/>
        </w:rPr>
        <w:t xml:space="preserve"> בשלוש הזדמנויות שונות </w:t>
      </w:r>
      <w:r w:rsidR="00681FF5" w:rsidRPr="00681FF5">
        <w:rPr>
          <w:rFonts w:cs="David" w:hint="cs"/>
          <w:szCs w:val="28"/>
          <w:rtl/>
        </w:rPr>
        <w:t xml:space="preserve">ולאורך </w:t>
      </w:r>
      <w:r w:rsidRPr="00681FF5">
        <w:rPr>
          <w:rFonts w:cs="David" w:hint="cs"/>
          <w:szCs w:val="28"/>
          <w:rtl/>
        </w:rPr>
        <w:t>תקופה ארוכה</w:t>
      </w:r>
      <w:r w:rsidR="00681FF5" w:rsidRPr="00681FF5">
        <w:rPr>
          <w:rFonts w:cs="David" w:hint="cs"/>
          <w:szCs w:val="28"/>
          <w:rtl/>
        </w:rPr>
        <w:t xml:space="preserve">. עולה, אפוא, כי </w:t>
      </w:r>
      <w:r w:rsidR="00746197" w:rsidRPr="00681FF5">
        <w:rPr>
          <w:rFonts w:cs="David" w:hint="cs"/>
          <w:szCs w:val="28"/>
          <w:rtl/>
        </w:rPr>
        <w:t xml:space="preserve"> </w:t>
      </w:r>
      <w:r w:rsidR="001F066B" w:rsidRPr="00681FF5">
        <w:rPr>
          <w:rFonts w:cs="David" w:hint="cs"/>
          <w:szCs w:val="28"/>
          <w:rtl/>
        </w:rPr>
        <w:t>אין המדובר ב</w:t>
      </w:r>
      <w:r w:rsidR="00076326" w:rsidRPr="00681FF5">
        <w:rPr>
          <w:rFonts w:cs="David" w:hint="cs"/>
          <w:szCs w:val="28"/>
          <w:rtl/>
        </w:rPr>
        <w:t xml:space="preserve">מעידה חד פעמית, </w:t>
      </w:r>
      <w:r w:rsidR="001F066B" w:rsidRPr="00681FF5">
        <w:rPr>
          <w:rFonts w:cs="David" w:hint="cs"/>
          <w:szCs w:val="28"/>
          <w:rtl/>
        </w:rPr>
        <w:t xml:space="preserve">אלא במי שעל אף מעמדו והחובות שנטל על עצמו כמפקד בשירות </w:t>
      </w:r>
      <w:r w:rsidR="000A567D">
        <w:rPr>
          <w:rFonts w:cs="David" w:hint="cs"/>
          <w:szCs w:val="28"/>
          <w:rtl/>
        </w:rPr>
        <w:t xml:space="preserve">חובה ובשירות </w:t>
      </w:r>
      <w:r w:rsidR="001F066B" w:rsidRPr="00681FF5">
        <w:rPr>
          <w:rFonts w:cs="David" w:hint="cs"/>
          <w:szCs w:val="28"/>
          <w:rtl/>
        </w:rPr>
        <w:t xml:space="preserve">קבע, </w:t>
      </w:r>
      <w:r w:rsidR="00681FF5">
        <w:rPr>
          <w:rFonts w:cs="David" w:hint="cs"/>
          <w:szCs w:val="28"/>
          <w:rtl/>
        </w:rPr>
        <w:t xml:space="preserve">בתפקידי אבטחה, </w:t>
      </w:r>
      <w:r w:rsidR="001F066B" w:rsidRPr="00681FF5">
        <w:rPr>
          <w:rFonts w:cs="David" w:hint="cs"/>
          <w:szCs w:val="28"/>
          <w:rtl/>
        </w:rPr>
        <w:t>הפר את החוק פעם אחר פעם</w:t>
      </w:r>
      <w:r w:rsidR="00076326" w:rsidRPr="00681FF5">
        <w:rPr>
          <w:rFonts w:cs="David" w:hint="cs"/>
          <w:szCs w:val="28"/>
          <w:rtl/>
        </w:rPr>
        <w:t xml:space="preserve">. בהתנהגותו כאמור, </w:t>
      </w:r>
      <w:r w:rsidR="001F066B" w:rsidRPr="00681FF5">
        <w:rPr>
          <w:rFonts w:cs="David" w:hint="cs"/>
          <w:szCs w:val="28"/>
          <w:rtl/>
        </w:rPr>
        <w:t xml:space="preserve">מעל </w:t>
      </w:r>
      <w:r w:rsidR="007C223E" w:rsidRPr="00681FF5">
        <w:rPr>
          <w:rFonts w:cs="David" w:hint="cs"/>
          <w:szCs w:val="28"/>
          <w:rtl/>
        </w:rPr>
        <w:t>המערער</w:t>
      </w:r>
      <w:r w:rsidR="00076326" w:rsidRPr="00681FF5">
        <w:rPr>
          <w:rFonts w:cs="David" w:hint="cs"/>
          <w:szCs w:val="28"/>
          <w:rtl/>
        </w:rPr>
        <w:t xml:space="preserve"> </w:t>
      </w:r>
      <w:r w:rsidR="001F066B" w:rsidRPr="00681FF5">
        <w:rPr>
          <w:rFonts w:cs="David" w:hint="cs"/>
          <w:szCs w:val="28"/>
          <w:rtl/>
        </w:rPr>
        <w:t>באמון הציבור</w:t>
      </w:r>
      <w:r w:rsidR="006A6FEB">
        <w:rPr>
          <w:rFonts w:cs="David" w:hint="cs"/>
          <w:szCs w:val="28"/>
          <w:rtl/>
        </w:rPr>
        <w:t>, באמון מפקדיו ו</w:t>
      </w:r>
      <w:r w:rsidR="008F7D67" w:rsidRPr="00681FF5">
        <w:rPr>
          <w:rFonts w:cs="David" w:hint="cs"/>
          <w:szCs w:val="28"/>
          <w:rtl/>
        </w:rPr>
        <w:t>ב</w:t>
      </w:r>
      <w:r w:rsidR="001F066B" w:rsidRPr="00681FF5">
        <w:rPr>
          <w:rFonts w:cs="David" w:hint="cs"/>
          <w:szCs w:val="28"/>
          <w:rtl/>
        </w:rPr>
        <w:t xml:space="preserve">אמון החיילים </w:t>
      </w:r>
      <w:r w:rsidR="006A6FEB">
        <w:rPr>
          <w:rFonts w:cs="David" w:hint="cs"/>
          <w:szCs w:val="28"/>
          <w:rtl/>
        </w:rPr>
        <w:t xml:space="preserve">הנתונים לפיקודו ולאחריותו. </w:t>
      </w:r>
    </w:p>
    <w:p w14:paraId="597F39C0" w14:textId="77777777" w:rsidR="00A867E7" w:rsidRPr="00DE18BF" w:rsidRDefault="008F7D67" w:rsidP="00DE18BF">
      <w:pPr>
        <w:numPr>
          <w:ilvl w:val="0"/>
          <w:numId w:val="4"/>
        </w:numPr>
        <w:tabs>
          <w:tab w:val="left" w:pos="368"/>
        </w:tabs>
        <w:spacing w:line="360" w:lineRule="auto"/>
        <w:ind w:left="-58" w:firstLine="0"/>
        <w:jc w:val="both"/>
        <w:rPr>
          <w:rFonts w:cs="David"/>
          <w:szCs w:val="28"/>
          <w:rtl/>
        </w:rPr>
      </w:pPr>
      <w:r w:rsidRPr="00681FF5">
        <w:rPr>
          <w:rFonts w:cs="David" w:hint="cs"/>
          <w:szCs w:val="28"/>
          <w:rtl/>
        </w:rPr>
        <w:t xml:space="preserve">בהתאם, </w:t>
      </w:r>
      <w:r w:rsidR="00746197" w:rsidRPr="00681FF5">
        <w:rPr>
          <w:rFonts w:cs="David" w:hint="cs"/>
          <w:szCs w:val="28"/>
          <w:rtl/>
        </w:rPr>
        <w:t xml:space="preserve">אין לקבוע כי החלטת התביעה להעמידו לדין בעבירה </w:t>
      </w:r>
      <w:r w:rsidRPr="00681FF5">
        <w:rPr>
          <w:rFonts w:cs="David" w:hint="cs"/>
          <w:szCs w:val="28"/>
          <w:rtl/>
        </w:rPr>
        <w:t xml:space="preserve">המתאימה, </w:t>
      </w:r>
      <w:r w:rsidR="00746197" w:rsidRPr="00681FF5">
        <w:rPr>
          <w:rFonts w:cs="David" w:hint="cs"/>
          <w:szCs w:val="28"/>
          <w:rtl/>
        </w:rPr>
        <w:t>של שימוש בסם מסוכן לפי פקודת הסמים המסוכנים</w:t>
      </w:r>
      <w:r w:rsidRPr="00681FF5">
        <w:rPr>
          <w:rFonts w:cs="David" w:hint="cs"/>
          <w:szCs w:val="28"/>
          <w:rtl/>
        </w:rPr>
        <w:t>,</w:t>
      </w:r>
      <w:r w:rsidR="00746197" w:rsidRPr="00681FF5">
        <w:rPr>
          <w:rFonts w:cs="David" w:hint="cs"/>
          <w:szCs w:val="28"/>
          <w:rtl/>
        </w:rPr>
        <w:t xml:space="preserve"> </w:t>
      </w:r>
      <w:r w:rsidR="00AD2926">
        <w:rPr>
          <w:rFonts w:cs="David" w:hint="cs"/>
          <w:szCs w:val="28"/>
          <w:rtl/>
        </w:rPr>
        <w:t>עולה כדי אכיפה בררנית אל מול חייל בשירות חובה, שיכול ובעניינו הייתה התביעה נקשרת בהסדר מותנה</w:t>
      </w:r>
      <w:r w:rsidR="00681FF5">
        <w:rPr>
          <w:rFonts w:cs="David" w:hint="cs"/>
          <w:szCs w:val="28"/>
          <w:rtl/>
        </w:rPr>
        <w:t xml:space="preserve">. </w:t>
      </w:r>
      <w:r w:rsidR="006A6FEB">
        <w:rPr>
          <w:rFonts w:cs="David" w:hint="cs"/>
          <w:szCs w:val="28"/>
          <w:rtl/>
        </w:rPr>
        <w:t xml:space="preserve">בדומה </w:t>
      </w:r>
      <w:r w:rsidR="006A6FEB">
        <w:rPr>
          <w:rFonts w:cs="David" w:hint="cs"/>
          <w:szCs w:val="28"/>
          <w:rtl/>
        </w:rPr>
        <w:lastRenderedPageBreak/>
        <w:t xml:space="preserve">לקביעת בית הדין בעניין </w:t>
      </w:r>
      <w:r w:rsidR="006A6FEB" w:rsidRPr="006A6FEB">
        <w:rPr>
          <w:rFonts w:cs="David" w:hint="cs"/>
          <w:b/>
          <w:bCs/>
          <w:szCs w:val="28"/>
          <w:rtl/>
        </w:rPr>
        <w:t>יעקב</w:t>
      </w:r>
      <w:r w:rsidR="006A6FEB">
        <w:rPr>
          <w:rFonts w:cs="David" w:hint="cs"/>
          <w:szCs w:val="28"/>
          <w:rtl/>
        </w:rPr>
        <w:t xml:space="preserve"> לעיל, "</w:t>
      </w:r>
      <w:r w:rsidR="00746197" w:rsidRPr="00681FF5">
        <w:rPr>
          <w:rFonts w:cs="David" w:hint="cs"/>
          <w:szCs w:val="28"/>
          <w:rtl/>
        </w:rPr>
        <w:t xml:space="preserve">בהתחשב בכלל </w:t>
      </w:r>
      <w:r w:rsidR="009958F1" w:rsidRPr="00681FF5">
        <w:rPr>
          <w:rFonts w:cs="David" w:hint="cs"/>
          <w:szCs w:val="28"/>
          <w:rtl/>
        </w:rPr>
        <w:t>ה</w:t>
      </w:r>
      <w:r w:rsidR="00746197" w:rsidRPr="00681FF5">
        <w:rPr>
          <w:rFonts w:cs="David" w:hint="cs"/>
          <w:szCs w:val="28"/>
          <w:rtl/>
        </w:rPr>
        <w:t xml:space="preserve">שיקולים העומדים בבסיס העמדתו </w:t>
      </w:r>
      <w:r w:rsidRPr="00681FF5">
        <w:rPr>
          <w:rFonts w:cs="David" w:hint="cs"/>
          <w:szCs w:val="28"/>
          <w:rtl/>
        </w:rPr>
        <w:t xml:space="preserve">של </w:t>
      </w:r>
      <w:r w:rsidR="007C223E" w:rsidRPr="00681FF5">
        <w:rPr>
          <w:rFonts w:cs="David" w:hint="cs"/>
          <w:szCs w:val="28"/>
          <w:rtl/>
        </w:rPr>
        <w:t>המערער</w:t>
      </w:r>
      <w:r w:rsidRPr="00681FF5">
        <w:rPr>
          <w:rFonts w:cs="David" w:hint="cs"/>
          <w:szCs w:val="28"/>
          <w:rtl/>
        </w:rPr>
        <w:t xml:space="preserve"> </w:t>
      </w:r>
      <w:r w:rsidR="00746197" w:rsidRPr="00681FF5">
        <w:rPr>
          <w:rFonts w:cs="David" w:hint="cs"/>
          <w:szCs w:val="28"/>
          <w:rtl/>
        </w:rPr>
        <w:t>לדין פלילי, באינטרסים החברתיים המשמשים בסוגיה</w:t>
      </w:r>
      <w:r w:rsidR="00922A7E" w:rsidRPr="00681FF5">
        <w:rPr>
          <w:rFonts w:cs="David" w:hint="cs"/>
          <w:szCs w:val="28"/>
          <w:rtl/>
        </w:rPr>
        <w:t>,</w:t>
      </w:r>
      <w:r w:rsidR="00746197" w:rsidRPr="00681FF5">
        <w:rPr>
          <w:rFonts w:cs="David" w:hint="cs"/>
          <w:szCs w:val="28"/>
          <w:rtl/>
        </w:rPr>
        <w:t xml:space="preserve"> נוכח מעמדו כמפקד בשירות קבע </w:t>
      </w:r>
      <w:r w:rsidR="00746197" w:rsidRPr="00681FF5">
        <w:rPr>
          <w:rFonts w:cs="David"/>
          <w:szCs w:val="28"/>
          <w:rtl/>
        </w:rPr>
        <w:t>–</w:t>
      </w:r>
      <w:r w:rsidR="00746197" w:rsidRPr="00681FF5">
        <w:rPr>
          <w:rFonts w:cs="David" w:hint="cs"/>
          <w:szCs w:val="28"/>
          <w:rtl/>
        </w:rPr>
        <w:t xml:space="preserve"> </w:t>
      </w:r>
      <w:r w:rsidR="00746197" w:rsidRPr="00681FF5">
        <w:rPr>
          <w:rFonts w:cs="David" w:hint="eastAsia"/>
          <w:b/>
          <w:bCs/>
          <w:szCs w:val="28"/>
          <w:rtl/>
        </w:rPr>
        <w:t>אין</w:t>
      </w:r>
      <w:r w:rsidR="00746197" w:rsidRPr="00681FF5">
        <w:rPr>
          <w:rFonts w:cs="David"/>
          <w:b/>
          <w:bCs/>
          <w:szCs w:val="28"/>
          <w:rtl/>
        </w:rPr>
        <w:t xml:space="preserve"> </w:t>
      </w:r>
      <w:r w:rsidR="00746197" w:rsidRPr="00681FF5">
        <w:rPr>
          <w:rFonts w:cs="David" w:hint="eastAsia"/>
          <w:b/>
          <w:bCs/>
          <w:szCs w:val="28"/>
          <w:rtl/>
        </w:rPr>
        <w:t>לקבוע</w:t>
      </w:r>
      <w:r w:rsidR="00746197" w:rsidRPr="00681FF5">
        <w:rPr>
          <w:rFonts w:cs="David" w:hint="cs"/>
          <w:szCs w:val="28"/>
          <w:rtl/>
        </w:rPr>
        <w:t xml:space="preserve"> כי החלטת התביעה</w:t>
      </w:r>
      <w:r w:rsidRPr="00681FF5">
        <w:rPr>
          <w:rFonts w:cs="David" w:hint="cs"/>
          <w:szCs w:val="28"/>
          <w:rtl/>
        </w:rPr>
        <w:t>, המעוגנת במדיניות כתובה, ידועה וברורה, מביאה</w:t>
      </w:r>
      <w:r w:rsidR="00746197" w:rsidRPr="00681FF5">
        <w:rPr>
          <w:rFonts w:cs="David" w:hint="cs"/>
          <w:szCs w:val="28"/>
          <w:rtl/>
        </w:rPr>
        <w:t xml:space="preserve"> </w:t>
      </w:r>
      <w:r w:rsidRPr="00681FF5">
        <w:rPr>
          <w:rFonts w:cs="David" w:hint="cs"/>
          <w:szCs w:val="28"/>
          <w:rtl/>
        </w:rPr>
        <w:t>ל</w:t>
      </w:r>
      <w:r w:rsidR="00746197" w:rsidRPr="00681FF5">
        <w:rPr>
          <w:rFonts w:cs="David" w:hint="cs"/>
          <w:b/>
          <w:bCs/>
          <w:szCs w:val="28"/>
          <w:rtl/>
        </w:rPr>
        <w:t>עיוות דין מהותי</w:t>
      </w:r>
      <w:r w:rsidR="00746197" w:rsidRPr="00681FF5">
        <w:rPr>
          <w:rFonts w:cs="David" w:hint="cs"/>
          <w:szCs w:val="28"/>
          <w:rtl/>
        </w:rPr>
        <w:t xml:space="preserve"> בעניינו </w:t>
      </w:r>
      <w:r w:rsidRPr="00681FF5">
        <w:rPr>
          <w:rFonts w:cs="David" w:hint="cs"/>
          <w:szCs w:val="28"/>
          <w:rtl/>
        </w:rPr>
        <w:t xml:space="preserve">ואין להתערב בה </w:t>
      </w:r>
      <w:r w:rsidR="00922A7E" w:rsidRPr="00681FF5">
        <w:rPr>
          <w:rFonts w:cs="David" w:hint="cs"/>
          <w:szCs w:val="28"/>
          <w:rtl/>
        </w:rPr>
        <w:t>מטעמים של הגנה מן הצדק</w:t>
      </w:r>
      <w:r w:rsidR="006A6FEB">
        <w:rPr>
          <w:rFonts w:cs="David" w:hint="cs"/>
          <w:szCs w:val="28"/>
          <w:rtl/>
        </w:rPr>
        <w:t>" (פסקה 58)</w:t>
      </w:r>
      <w:r w:rsidR="00746197" w:rsidRPr="00681FF5">
        <w:rPr>
          <w:rFonts w:cs="David" w:hint="cs"/>
          <w:szCs w:val="28"/>
          <w:rtl/>
        </w:rPr>
        <w:t xml:space="preserve">. </w:t>
      </w:r>
    </w:p>
    <w:p w14:paraId="00D76F45" w14:textId="77777777" w:rsidR="00476AA1" w:rsidRDefault="00A15FFF" w:rsidP="00476AA1">
      <w:pPr>
        <w:numPr>
          <w:ilvl w:val="0"/>
          <w:numId w:val="4"/>
        </w:numPr>
        <w:tabs>
          <w:tab w:val="left" w:pos="368"/>
        </w:tabs>
        <w:spacing w:line="360" w:lineRule="auto"/>
        <w:ind w:left="-58" w:firstLine="0"/>
        <w:jc w:val="both"/>
        <w:rPr>
          <w:rFonts w:cs="David"/>
          <w:szCs w:val="28"/>
        </w:rPr>
      </w:pPr>
      <w:r>
        <w:rPr>
          <w:rFonts w:cs="David" w:hint="cs"/>
          <w:szCs w:val="28"/>
          <w:rtl/>
        </w:rPr>
        <w:t xml:space="preserve">סוף דבר, מצאנו כי </w:t>
      </w:r>
      <w:r w:rsidR="005E121F">
        <w:rPr>
          <w:rFonts w:cs="David" w:hint="cs"/>
          <w:szCs w:val="28"/>
          <w:rtl/>
        </w:rPr>
        <w:t xml:space="preserve">אין </w:t>
      </w:r>
      <w:r w:rsidR="00AD2926">
        <w:rPr>
          <w:rFonts w:cs="David" w:hint="cs"/>
          <w:szCs w:val="28"/>
          <w:rtl/>
        </w:rPr>
        <w:t xml:space="preserve">להורות על זיכויו של המערער או </w:t>
      </w:r>
      <w:r w:rsidR="005E121F">
        <w:rPr>
          <w:rFonts w:cs="David" w:hint="cs"/>
          <w:szCs w:val="28"/>
          <w:rtl/>
        </w:rPr>
        <w:t>להתערב בשיקול הדעת של התביעה בבחירת סעיף האישום</w:t>
      </w:r>
      <w:r w:rsidR="00AD2926">
        <w:rPr>
          <w:rFonts w:cs="David" w:hint="cs"/>
          <w:szCs w:val="28"/>
          <w:rtl/>
        </w:rPr>
        <w:t>. משכך,</w:t>
      </w:r>
      <w:r w:rsidR="00681FF5">
        <w:rPr>
          <w:rFonts w:cs="David" w:hint="cs"/>
          <w:szCs w:val="28"/>
          <w:rtl/>
        </w:rPr>
        <w:t xml:space="preserve"> יש לדחות את ערעור ההגנה על הכרעת הדין</w:t>
      </w:r>
      <w:r>
        <w:rPr>
          <w:rFonts w:cs="David" w:hint="cs"/>
          <w:szCs w:val="28"/>
          <w:rtl/>
        </w:rPr>
        <w:t>, על כל מרכיביו</w:t>
      </w:r>
      <w:r w:rsidR="00DE18BF">
        <w:rPr>
          <w:rFonts w:cs="David" w:hint="cs"/>
          <w:szCs w:val="28"/>
          <w:rtl/>
        </w:rPr>
        <w:t>.</w:t>
      </w:r>
    </w:p>
    <w:p w14:paraId="63D4487C" w14:textId="77777777" w:rsidR="00D8283A" w:rsidRDefault="00D8283A" w:rsidP="00D8283A">
      <w:pPr>
        <w:tabs>
          <w:tab w:val="left" w:pos="368"/>
        </w:tabs>
        <w:spacing w:line="360" w:lineRule="auto"/>
        <w:ind w:left="-58"/>
        <w:jc w:val="both"/>
        <w:rPr>
          <w:rFonts w:cs="David"/>
          <w:szCs w:val="28"/>
          <w:rtl/>
        </w:rPr>
      </w:pPr>
    </w:p>
    <w:p w14:paraId="61EDB382" w14:textId="77777777" w:rsidR="00D40353" w:rsidRPr="005E121F" w:rsidRDefault="005E121F" w:rsidP="00D8283A">
      <w:pPr>
        <w:tabs>
          <w:tab w:val="left" w:pos="368"/>
        </w:tabs>
        <w:spacing w:line="360" w:lineRule="auto"/>
        <w:ind w:left="-58"/>
        <w:jc w:val="both"/>
        <w:rPr>
          <w:rFonts w:cs="David"/>
          <w:szCs w:val="28"/>
          <w:rtl/>
        </w:rPr>
      </w:pPr>
      <w:r w:rsidRPr="00476AA1">
        <w:rPr>
          <w:rFonts w:cs="David" w:hint="cs"/>
          <w:szCs w:val="28"/>
          <w:rtl/>
        </w:rPr>
        <w:t xml:space="preserve">ניתן והודע, </w:t>
      </w:r>
      <w:r w:rsidR="00513BC5" w:rsidRPr="00476AA1">
        <w:rPr>
          <w:rFonts w:cs="David" w:hint="cs"/>
          <w:szCs w:val="28"/>
          <w:rtl/>
        </w:rPr>
        <w:t>י"ט באב</w:t>
      </w:r>
      <w:r w:rsidR="00681FF5" w:rsidRPr="00476AA1">
        <w:rPr>
          <w:rFonts w:cs="David" w:hint="cs"/>
          <w:szCs w:val="28"/>
          <w:rtl/>
        </w:rPr>
        <w:t xml:space="preserve"> </w:t>
      </w:r>
      <w:r w:rsidRPr="00476AA1">
        <w:rPr>
          <w:rFonts w:cs="David" w:hint="cs"/>
          <w:szCs w:val="28"/>
          <w:rtl/>
        </w:rPr>
        <w:t xml:space="preserve">התש"ף, </w:t>
      </w:r>
      <w:r w:rsidR="00513BC5" w:rsidRPr="00476AA1">
        <w:rPr>
          <w:rFonts w:cs="David" w:hint="cs"/>
          <w:szCs w:val="28"/>
          <w:rtl/>
        </w:rPr>
        <w:t xml:space="preserve">9 באוגוסט </w:t>
      </w:r>
      <w:r w:rsidRPr="00476AA1">
        <w:rPr>
          <w:rFonts w:cs="David" w:hint="cs"/>
          <w:szCs w:val="28"/>
          <w:rtl/>
        </w:rPr>
        <w:t>2020, בפומבי ובמעמד הצדדים</w:t>
      </w:r>
      <w:r w:rsidR="005E710C" w:rsidRPr="00476AA1">
        <w:rPr>
          <w:rFonts w:cs="David" w:hint="cs"/>
          <w:szCs w:val="28"/>
          <w:rtl/>
        </w:rPr>
        <w:t>.</w:t>
      </w:r>
    </w:p>
    <w:p w14:paraId="770C6E32" w14:textId="77777777" w:rsidR="005E121F" w:rsidRPr="005E121F" w:rsidRDefault="005E121F" w:rsidP="005E121F">
      <w:pPr>
        <w:tabs>
          <w:tab w:val="left" w:pos="368"/>
        </w:tabs>
        <w:spacing w:line="360" w:lineRule="auto"/>
        <w:jc w:val="both"/>
        <w:rPr>
          <w:rFonts w:cs="David"/>
          <w:b/>
          <w:bCs/>
          <w:szCs w:val="28"/>
          <w:rtl/>
        </w:rPr>
      </w:pPr>
      <w:r w:rsidRPr="005E121F">
        <w:rPr>
          <w:rFonts w:cs="David"/>
          <w:b/>
          <w:bCs/>
          <w:szCs w:val="28"/>
          <w:rtl/>
        </w:rPr>
        <w:tab/>
        <w:t>______________</w:t>
      </w:r>
      <w:r w:rsidRPr="005E121F">
        <w:rPr>
          <w:rFonts w:cs="David"/>
          <w:b/>
          <w:bCs/>
          <w:szCs w:val="28"/>
          <w:rtl/>
        </w:rPr>
        <w:tab/>
        <w:t>______________</w:t>
      </w:r>
      <w:r w:rsidRPr="005E121F">
        <w:rPr>
          <w:rFonts w:cs="David"/>
          <w:b/>
          <w:bCs/>
          <w:szCs w:val="28"/>
          <w:rtl/>
        </w:rPr>
        <w:tab/>
      </w:r>
      <w:r w:rsidR="004669E9">
        <w:rPr>
          <w:rFonts w:cs="David"/>
          <w:b/>
          <w:bCs/>
          <w:szCs w:val="28"/>
          <w:rtl/>
        </w:rPr>
        <w:tab/>
      </w:r>
      <w:r w:rsidRPr="005E121F">
        <w:rPr>
          <w:rFonts w:cs="David"/>
          <w:b/>
          <w:bCs/>
          <w:szCs w:val="28"/>
          <w:rtl/>
        </w:rPr>
        <w:t>______________</w:t>
      </w:r>
    </w:p>
    <w:p w14:paraId="32EC6A8D" w14:textId="77777777" w:rsidR="004669E9" w:rsidRPr="00D8283A" w:rsidRDefault="005E121F" w:rsidP="00D8283A">
      <w:pPr>
        <w:tabs>
          <w:tab w:val="left" w:pos="368"/>
        </w:tabs>
        <w:spacing w:line="360" w:lineRule="auto"/>
        <w:jc w:val="both"/>
        <w:rPr>
          <w:rFonts w:cs="David"/>
          <w:b/>
          <w:bCs/>
          <w:szCs w:val="28"/>
          <w:rtl/>
        </w:rPr>
      </w:pPr>
      <w:r w:rsidRPr="005E121F">
        <w:rPr>
          <w:rFonts w:cs="David"/>
          <w:b/>
          <w:bCs/>
          <w:szCs w:val="28"/>
          <w:rtl/>
        </w:rPr>
        <w:tab/>
      </w:r>
      <w:r>
        <w:rPr>
          <w:rFonts w:cs="David" w:hint="cs"/>
          <w:b/>
          <w:bCs/>
          <w:szCs w:val="28"/>
          <w:rtl/>
        </w:rPr>
        <w:t xml:space="preserve">        </w:t>
      </w:r>
      <w:r w:rsidRPr="005E121F">
        <w:rPr>
          <w:rFonts w:cs="David" w:hint="cs"/>
          <w:b/>
          <w:bCs/>
          <w:szCs w:val="28"/>
          <w:rtl/>
        </w:rPr>
        <w:t>הנשיא</w:t>
      </w:r>
      <w:r w:rsidRPr="005E121F">
        <w:rPr>
          <w:rFonts w:cs="David"/>
          <w:b/>
          <w:bCs/>
          <w:szCs w:val="28"/>
          <w:rtl/>
        </w:rPr>
        <w:tab/>
      </w:r>
      <w:r>
        <w:rPr>
          <w:rFonts w:cs="David" w:hint="cs"/>
          <w:b/>
          <w:bCs/>
          <w:szCs w:val="28"/>
          <w:rtl/>
        </w:rPr>
        <w:t xml:space="preserve">               </w:t>
      </w:r>
      <w:r w:rsidRPr="005E121F">
        <w:rPr>
          <w:rFonts w:cs="David" w:hint="cs"/>
          <w:b/>
          <w:bCs/>
          <w:szCs w:val="28"/>
          <w:rtl/>
        </w:rPr>
        <w:t>המשנה לנשיא</w:t>
      </w:r>
      <w:r w:rsidRPr="005E121F">
        <w:rPr>
          <w:rFonts w:cs="David"/>
          <w:b/>
          <w:bCs/>
          <w:szCs w:val="28"/>
          <w:rtl/>
        </w:rPr>
        <w:tab/>
      </w:r>
      <w:r>
        <w:rPr>
          <w:rFonts w:cs="David" w:hint="cs"/>
          <w:b/>
          <w:bCs/>
          <w:szCs w:val="28"/>
          <w:rtl/>
        </w:rPr>
        <w:t xml:space="preserve">         </w:t>
      </w:r>
      <w:r w:rsidR="004669E9">
        <w:rPr>
          <w:rFonts w:cs="David"/>
          <w:b/>
          <w:bCs/>
          <w:szCs w:val="28"/>
          <w:rtl/>
        </w:rPr>
        <w:tab/>
      </w:r>
      <w:r w:rsidR="004669E9">
        <w:rPr>
          <w:rFonts w:cs="David"/>
          <w:b/>
          <w:bCs/>
          <w:szCs w:val="28"/>
          <w:rtl/>
        </w:rPr>
        <w:tab/>
      </w:r>
      <w:r w:rsidRPr="005E121F">
        <w:rPr>
          <w:rFonts w:cs="David"/>
          <w:b/>
          <w:bCs/>
          <w:szCs w:val="28"/>
          <w:rtl/>
        </w:rPr>
        <w:t>שופט</w:t>
      </w:r>
    </w:p>
    <w:p w14:paraId="32C07CC3" w14:textId="77777777" w:rsidR="0031360A" w:rsidRDefault="0031360A" w:rsidP="00D40353">
      <w:pPr>
        <w:tabs>
          <w:tab w:val="left" w:pos="368"/>
        </w:tabs>
        <w:spacing w:line="360" w:lineRule="auto"/>
        <w:jc w:val="both"/>
        <w:rPr>
          <w:rFonts w:cs="David"/>
          <w:b/>
          <w:bCs/>
          <w:szCs w:val="28"/>
          <w:rtl/>
        </w:rPr>
      </w:pPr>
    </w:p>
    <w:p w14:paraId="1D7F2101" w14:textId="77777777" w:rsidR="0031360A" w:rsidRDefault="0031360A" w:rsidP="00D40353">
      <w:pPr>
        <w:tabs>
          <w:tab w:val="left" w:pos="368"/>
        </w:tabs>
        <w:spacing w:line="360" w:lineRule="auto"/>
        <w:jc w:val="both"/>
        <w:rPr>
          <w:rFonts w:cs="David"/>
          <w:b/>
          <w:bCs/>
          <w:szCs w:val="28"/>
          <w:rtl/>
        </w:rPr>
      </w:pPr>
    </w:p>
    <w:p w14:paraId="3121E6E0" w14:textId="77777777" w:rsidR="00D40353" w:rsidRPr="00D40353" w:rsidRDefault="00D40353" w:rsidP="00D40353">
      <w:pPr>
        <w:tabs>
          <w:tab w:val="left" w:pos="368"/>
        </w:tabs>
        <w:spacing w:line="360" w:lineRule="auto"/>
        <w:jc w:val="both"/>
        <w:rPr>
          <w:rFonts w:cs="David"/>
          <w:b/>
          <w:bCs/>
          <w:szCs w:val="28"/>
          <w:rtl/>
        </w:rPr>
      </w:pPr>
      <w:r w:rsidRPr="00D40353">
        <w:rPr>
          <w:rFonts w:cs="David" w:hint="eastAsia"/>
          <w:b/>
          <w:bCs/>
          <w:szCs w:val="28"/>
          <w:rtl/>
        </w:rPr>
        <w:t>חתימת</w:t>
      </w:r>
      <w:r w:rsidRPr="00D40353">
        <w:rPr>
          <w:rFonts w:cs="David"/>
          <w:b/>
          <w:bCs/>
          <w:szCs w:val="28"/>
          <w:rtl/>
        </w:rPr>
        <w:t xml:space="preserve"> </w:t>
      </w:r>
      <w:r w:rsidRPr="00D40353">
        <w:rPr>
          <w:rFonts w:cs="David" w:hint="eastAsia"/>
          <w:b/>
          <w:bCs/>
          <w:szCs w:val="28"/>
          <w:rtl/>
        </w:rPr>
        <w:t>המגיה</w:t>
      </w:r>
      <w:r w:rsidRPr="00D40353">
        <w:rPr>
          <w:rFonts w:cs="David"/>
          <w:b/>
          <w:bCs/>
          <w:szCs w:val="28"/>
          <w:rtl/>
        </w:rPr>
        <w:t>: _________________</w:t>
      </w:r>
      <w:r>
        <w:rPr>
          <w:rFonts w:cs="David" w:hint="cs"/>
          <w:b/>
          <w:bCs/>
          <w:szCs w:val="28"/>
          <w:rtl/>
        </w:rPr>
        <w:tab/>
        <w:t xml:space="preserve">          </w:t>
      </w:r>
      <w:r w:rsidRPr="00D40353">
        <w:rPr>
          <w:rFonts w:cs="David" w:hint="eastAsia"/>
          <w:b/>
          <w:bCs/>
          <w:szCs w:val="28"/>
          <w:rtl/>
        </w:rPr>
        <w:t>העתק</w:t>
      </w:r>
      <w:r w:rsidRPr="00D40353">
        <w:rPr>
          <w:rFonts w:cs="David" w:hint="cs"/>
          <w:b/>
          <w:bCs/>
          <w:szCs w:val="28"/>
          <w:rtl/>
        </w:rPr>
        <w:t xml:space="preserve">          </w:t>
      </w:r>
      <w:r>
        <w:rPr>
          <w:rFonts w:cs="David" w:hint="cs"/>
          <w:b/>
          <w:bCs/>
          <w:szCs w:val="28"/>
          <w:rtl/>
        </w:rPr>
        <w:t xml:space="preserve">  </w:t>
      </w:r>
      <w:r w:rsidRPr="00D40353">
        <w:rPr>
          <w:rFonts w:cs="David" w:hint="cs"/>
          <w:b/>
          <w:bCs/>
          <w:szCs w:val="28"/>
          <w:rtl/>
        </w:rPr>
        <w:t xml:space="preserve"> </w:t>
      </w:r>
      <w:r w:rsidRPr="00D40353">
        <w:rPr>
          <w:rFonts w:cs="David" w:hint="eastAsia"/>
          <w:b/>
          <w:bCs/>
          <w:szCs w:val="28"/>
          <w:rtl/>
        </w:rPr>
        <w:t>נאמן</w:t>
      </w:r>
      <w:r w:rsidRPr="00D40353">
        <w:rPr>
          <w:rFonts w:cs="David"/>
          <w:b/>
          <w:bCs/>
          <w:szCs w:val="28"/>
          <w:rtl/>
        </w:rPr>
        <w:t xml:space="preserve"> </w:t>
      </w:r>
      <w:r>
        <w:rPr>
          <w:rFonts w:cs="David" w:hint="cs"/>
          <w:b/>
          <w:bCs/>
          <w:szCs w:val="28"/>
          <w:rtl/>
        </w:rPr>
        <w:t xml:space="preserve">          </w:t>
      </w:r>
      <w:r w:rsidRPr="00D40353">
        <w:rPr>
          <w:rFonts w:cs="David" w:hint="cs"/>
          <w:b/>
          <w:bCs/>
          <w:szCs w:val="28"/>
          <w:rtl/>
        </w:rPr>
        <w:t xml:space="preserve"> </w:t>
      </w:r>
      <w:r>
        <w:rPr>
          <w:rFonts w:cs="David" w:hint="cs"/>
          <w:b/>
          <w:bCs/>
          <w:szCs w:val="28"/>
          <w:rtl/>
        </w:rPr>
        <w:t xml:space="preserve"> </w:t>
      </w:r>
      <w:r w:rsidRPr="00D40353">
        <w:rPr>
          <w:rFonts w:cs="David" w:hint="eastAsia"/>
          <w:b/>
          <w:bCs/>
          <w:szCs w:val="28"/>
          <w:rtl/>
        </w:rPr>
        <w:t>למקור</w:t>
      </w:r>
      <w:r w:rsidRPr="00D40353">
        <w:rPr>
          <w:rFonts w:cs="David" w:hint="cs"/>
          <w:b/>
          <w:bCs/>
          <w:szCs w:val="28"/>
          <w:rtl/>
        </w:rPr>
        <w:br/>
      </w:r>
      <w:r w:rsidRPr="00D40353">
        <w:rPr>
          <w:rFonts w:cs="David" w:hint="cs"/>
          <w:b/>
          <w:bCs/>
          <w:szCs w:val="28"/>
          <w:rtl/>
        </w:rPr>
        <w:tab/>
        <w:t xml:space="preserve">                                                                      </w:t>
      </w:r>
      <w:r>
        <w:rPr>
          <w:rFonts w:cs="David" w:hint="cs"/>
          <w:b/>
          <w:bCs/>
          <w:szCs w:val="28"/>
          <w:rtl/>
        </w:rPr>
        <w:t xml:space="preserve">    סמ"ר       </w:t>
      </w:r>
      <w:r w:rsidRPr="00D40353">
        <w:rPr>
          <w:rFonts w:cs="David" w:hint="cs"/>
          <w:b/>
          <w:bCs/>
          <w:szCs w:val="28"/>
          <w:rtl/>
        </w:rPr>
        <w:t>ע</w:t>
      </w:r>
      <w:r>
        <w:rPr>
          <w:rFonts w:cs="David" w:hint="cs"/>
          <w:b/>
          <w:bCs/>
          <w:szCs w:val="28"/>
          <w:rtl/>
        </w:rPr>
        <w:t xml:space="preserve">די        לביא </w:t>
      </w:r>
      <w:r w:rsidRPr="00D40353">
        <w:rPr>
          <w:rFonts w:cs="David" w:hint="cs"/>
          <w:b/>
          <w:bCs/>
          <w:szCs w:val="28"/>
          <w:rtl/>
        </w:rPr>
        <w:br/>
      </w:r>
      <w:r w:rsidRPr="00D40353">
        <w:rPr>
          <w:rFonts w:cs="David" w:hint="eastAsia"/>
          <w:b/>
          <w:bCs/>
          <w:szCs w:val="28"/>
          <w:rtl/>
        </w:rPr>
        <w:t>תאריך</w:t>
      </w:r>
      <w:r w:rsidRPr="00D40353">
        <w:rPr>
          <w:rFonts w:cs="David"/>
          <w:b/>
          <w:bCs/>
          <w:szCs w:val="28"/>
          <w:rtl/>
        </w:rPr>
        <w:t>: ______________________</w:t>
      </w:r>
      <w:r>
        <w:rPr>
          <w:rFonts w:cs="David" w:hint="cs"/>
          <w:b/>
          <w:bCs/>
          <w:szCs w:val="28"/>
          <w:rtl/>
        </w:rPr>
        <w:tab/>
        <w:t xml:space="preserve">          קצינת              </w:t>
      </w:r>
      <w:r w:rsidRPr="00D40353">
        <w:rPr>
          <w:rFonts w:cs="David" w:hint="cs"/>
          <w:b/>
          <w:bCs/>
          <w:szCs w:val="28"/>
          <w:rtl/>
        </w:rPr>
        <w:t xml:space="preserve">בית                </w:t>
      </w:r>
      <w:r>
        <w:rPr>
          <w:rFonts w:cs="David" w:hint="cs"/>
          <w:b/>
          <w:bCs/>
          <w:szCs w:val="28"/>
          <w:rtl/>
        </w:rPr>
        <w:t xml:space="preserve">  </w:t>
      </w:r>
      <w:r w:rsidRPr="00D40353">
        <w:rPr>
          <w:rFonts w:cs="David" w:hint="cs"/>
          <w:b/>
          <w:bCs/>
          <w:szCs w:val="28"/>
          <w:rtl/>
        </w:rPr>
        <w:t>הדין</w:t>
      </w:r>
    </w:p>
    <w:p w14:paraId="7CA2EC19" w14:textId="77777777" w:rsidR="005E121F" w:rsidRPr="00D40353" w:rsidRDefault="005E121F" w:rsidP="001A3CFB">
      <w:pPr>
        <w:tabs>
          <w:tab w:val="left" w:pos="368"/>
        </w:tabs>
        <w:spacing w:line="360" w:lineRule="auto"/>
        <w:jc w:val="both"/>
        <w:rPr>
          <w:rFonts w:cs="David"/>
          <w:szCs w:val="28"/>
          <w:rtl/>
        </w:rPr>
      </w:pPr>
    </w:p>
    <w:sectPr w:rsidR="005E121F" w:rsidRPr="00D40353" w:rsidSect="00674AE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9"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8E64" w14:textId="77777777" w:rsidR="005338CD" w:rsidRDefault="005338CD">
      <w:r>
        <w:separator/>
      </w:r>
    </w:p>
  </w:endnote>
  <w:endnote w:type="continuationSeparator" w:id="0">
    <w:p w14:paraId="34282CA2" w14:textId="77777777" w:rsidR="005338CD" w:rsidRDefault="0053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BD4C" w14:textId="77777777" w:rsidR="00290008" w:rsidRPr="00D8283A" w:rsidRDefault="00290008" w:rsidP="00674AEA">
    <w:pPr>
      <w:pStyle w:val="a5"/>
      <w:framePr w:wrap="around" w:vAnchor="text" w:hAnchor="text" w:xAlign="center" w:y="1"/>
      <w:rPr>
        <w:rStyle w:val="a7"/>
      </w:rPr>
    </w:pPr>
    <w:r w:rsidRPr="00D8283A">
      <w:rPr>
        <w:rStyle w:val="a7"/>
        <w:rtl/>
      </w:rPr>
      <w:fldChar w:fldCharType="begin"/>
    </w:r>
    <w:r w:rsidRPr="00D8283A">
      <w:rPr>
        <w:rStyle w:val="a7"/>
      </w:rPr>
      <w:instrText xml:space="preserve">PAGE  </w:instrText>
    </w:r>
    <w:r w:rsidRPr="00D8283A">
      <w:rPr>
        <w:rStyle w:val="a7"/>
        <w:rtl/>
      </w:rPr>
      <w:fldChar w:fldCharType="end"/>
    </w:r>
  </w:p>
  <w:p w14:paraId="26DCBBE4" w14:textId="77777777" w:rsidR="00290008" w:rsidRDefault="002900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7244" w14:textId="77777777" w:rsidR="00290008" w:rsidRPr="00D8283A" w:rsidRDefault="00290008" w:rsidP="00D40353">
    <w:pPr>
      <w:pStyle w:val="a5"/>
      <w:framePr w:w="604" w:wrap="around" w:vAnchor="text" w:hAnchor="page" w:x="5660" w:y="33"/>
      <w:rPr>
        <w:rStyle w:val="a7"/>
        <w:rFonts w:ascii="David" w:hAnsi="David" w:cs="David"/>
        <w:sz w:val="28"/>
        <w:szCs w:val="28"/>
      </w:rPr>
    </w:pPr>
    <w:r w:rsidRPr="00D8283A">
      <w:rPr>
        <w:rStyle w:val="a7"/>
        <w:rFonts w:ascii="David" w:hAnsi="David" w:cs="David" w:hint="cs"/>
        <w:sz w:val="28"/>
        <w:szCs w:val="28"/>
        <w:rtl/>
      </w:rPr>
      <w:fldChar w:fldCharType="begin"/>
    </w:r>
    <w:r w:rsidRPr="00D8283A">
      <w:rPr>
        <w:rStyle w:val="a7"/>
        <w:rFonts w:ascii="David" w:hAnsi="David" w:cs="David" w:hint="cs"/>
        <w:sz w:val="28"/>
        <w:szCs w:val="28"/>
      </w:rPr>
      <w:instrText xml:space="preserve">PAGE  </w:instrText>
    </w:r>
    <w:r w:rsidRPr="00D8283A">
      <w:rPr>
        <w:rStyle w:val="a7"/>
        <w:rFonts w:ascii="David" w:hAnsi="David" w:cs="David" w:hint="cs"/>
        <w:sz w:val="28"/>
        <w:szCs w:val="28"/>
        <w:rtl/>
      </w:rPr>
      <w:fldChar w:fldCharType="separate"/>
    </w:r>
    <w:r w:rsidR="0031360A">
      <w:rPr>
        <w:rStyle w:val="a7"/>
        <w:rFonts w:ascii="David" w:hAnsi="David" w:cs="David"/>
        <w:noProof/>
        <w:sz w:val="28"/>
        <w:szCs w:val="28"/>
        <w:rtl/>
      </w:rPr>
      <w:t>19</w:t>
    </w:r>
    <w:r w:rsidRPr="00D8283A">
      <w:rPr>
        <w:rStyle w:val="a7"/>
        <w:rFonts w:ascii="David" w:hAnsi="David" w:cs="David" w:hint="cs"/>
        <w:sz w:val="28"/>
        <w:szCs w:val="28"/>
        <w:rtl/>
      </w:rPr>
      <w:fldChar w:fldCharType="end"/>
    </w:r>
    <w:r w:rsidRPr="00D8283A">
      <w:rPr>
        <w:rStyle w:val="a7"/>
        <w:rFonts w:ascii="David" w:hAnsi="David" w:cs="David" w:hint="cs"/>
        <w:sz w:val="28"/>
        <w:szCs w:val="28"/>
        <w:rtl/>
      </w:rPr>
      <w:t xml:space="preserve">      </w:t>
    </w:r>
  </w:p>
  <w:p w14:paraId="2FFEA0C0" w14:textId="77777777" w:rsidR="00290008" w:rsidRPr="00FE1151" w:rsidRDefault="00290008">
    <w:pPr>
      <w:pStyle w:val="a5"/>
      <w:rPr>
        <w:rFonts w:cs="David"/>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EAE6" w14:textId="77777777" w:rsidR="0007318B" w:rsidRDefault="000731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F01D" w14:textId="77777777" w:rsidR="005338CD" w:rsidRDefault="005338CD">
      <w:r>
        <w:separator/>
      </w:r>
    </w:p>
  </w:footnote>
  <w:footnote w:type="continuationSeparator" w:id="0">
    <w:p w14:paraId="01DC9FF0" w14:textId="77777777" w:rsidR="005338CD" w:rsidRDefault="00533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2E77" w14:textId="77777777" w:rsidR="0007318B" w:rsidRDefault="000731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51FF" w14:textId="3F4B07E1" w:rsidR="00290008" w:rsidRDefault="00290008" w:rsidP="00786B6F">
    <w:pPr>
      <w:pStyle w:val="a3"/>
      <w:rPr>
        <w:rFonts w:cs="David"/>
        <w:sz w:val="28"/>
        <w:szCs w:val="28"/>
        <w:rtl/>
      </w:rPr>
    </w:pPr>
    <w:r w:rsidRPr="004C6E2A">
      <w:rPr>
        <w:rFonts w:cs="David" w:hint="cs"/>
        <w:sz w:val="28"/>
        <w:szCs w:val="28"/>
        <w:rtl/>
      </w:rPr>
      <w:t xml:space="preserve">                                                      </w:t>
    </w:r>
    <w:r w:rsidR="0007318B">
      <w:rPr>
        <w:rFonts w:cs="David" w:hint="cs"/>
        <w:sz w:val="28"/>
        <w:szCs w:val="28"/>
        <w:rtl/>
      </w:rPr>
      <w:t>ב</w:t>
    </w:r>
    <w:r w:rsidRPr="004C6E2A">
      <w:rPr>
        <w:rFonts w:cs="David" w:hint="cs"/>
        <w:sz w:val="28"/>
        <w:szCs w:val="28"/>
        <w:rtl/>
      </w:rPr>
      <w:t xml:space="preserve"> ל</w:t>
    </w:r>
    <w:r w:rsidR="0007318B">
      <w:rPr>
        <w:rFonts w:cs="David" w:hint="cs"/>
        <w:sz w:val="28"/>
        <w:szCs w:val="28"/>
        <w:rtl/>
      </w:rPr>
      <w:t xml:space="preserve"> מ " ס </w:t>
    </w:r>
    <w:r w:rsidRPr="004C6E2A">
      <w:rPr>
        <w:rFonts w:cs="David" w:hint="cs"/>
        <w:sz w:val="28"/>
        <w:szCs w:val="28"/>
        <w:rtl/>
      </w:rPr>
      <w:t xml:space="preserve">                          </w:t>
    </w:r>
    <w:r>
      <w:rPr>
        <w:rFonts w:cs="David" w:hint="cs"/>
        <w:sz w:val="28"/>
        <w:szCs w:val="28"/>
        <w:rtl/>
      </w:rPr>
      <w:t xml:space="preserve">  </w:t>
    </w:r>
    <w:r w:rsidRPr="004C6E2A">
      <w:rPr>
        <w:rFonts w:cs="David" w:hint="cs"/>
        <w:sz w:val="28"/>
        <w:szCs w:val="28"/>
        <w:rtl/>
      </w:rPr>
      <w:t xml:space="preserve">                     </w:t>
    </w:r>
    <w:r>
      <w:rPr>
        <w:rFonts w:cs="David" w:hint="cs"/>
        <w:sz w:val="28"/>
        <w:szCs w:val="28"/>
        <w:rtl/>
      </w:rPr>
      <w:t>ע/36/20</w:t>
    </w:r>
  </w:p>
  <w:p w14:paraId="2082990D" w14:textId="77777777" w:rsidR="00290008" w:rsidRDefault="00290008" w:rsidP="000D23DC">
    <w:pPr>
      <w:pStyle w:val="a3"/>
      <w:rPr>
        <w:rFonts w:cs="David"/>
        <w:sz w:val="28"/>
        <w:szCs w:val="28"/>
        <w:rtl/>
      </w:rPr>
    </w:pPr>
  </w:p>
  <w:p w14:paraId="4D36537A" w14:textId="77777777" w:rsidR="00290008" w:rsidRPr="001A690F" w:rsidRDefault="00290008" w:rsidP="007C223E">
    <w:pPr>
      <w:pStyle w:val="a3"/>
      <w:rPr>
        <w:rFonts w:cs="David"/>
        <w:rtl/>
      </w:rPr>
    </w:pPr>
  </w:p>
  <w:p w14:paraId="382D3B4C" w14:textId="77777777" w:rsidR="00290008" w:rsidRPr="004C6E2A" w:rsidRDefault="00290008" w:rsidP="000D23DC">
    <w:pPr>
      <w:pStyle w:val="a3"/>
      <w:rPr>
        <w:rFonts w:cs="David"/>
        <w:sz w:val="28"/>
        <w:szCs w:val="28"/>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3A92" w14:textId="77777777" w:rsidR="0007318B" w:rsidRDefault="000731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710"/>
    <w:multiLevelType w:val="hybridMultilevel"/>
    <w:tmpl w:val="E068892C"/>
    <w:lvl w:ilvl="0" w:tplc="FC3C3D0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754"/>
    <w:multiLevelType w:val="multilevel"/>
    <w:tmpl w:val="45FC58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055268"/>
    <w:multiLevelType w:val="hybridMultilevel"/>
    <w:tmpl w:val="46DE1A4E"/>
    <w:lvl w:ilvl="0" w:tplc="58C2A24E">
      <w:start w:val="1"/>
      <w:numFmt w:val="decimal"/>
      <w:suff w:val="nothing"/>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2D2C66"/>
    <w:multiLevelType w:val="hybridMultilevel"/>
    <w:tmpl w:val="A6302432"/>
    <w:lvl w:ilvl="0" w:tplc="8470597A">
      <w:start w:val="1"/>
      <w:numFmt w:val="decimal"/>
      <w:lvlText w:val="%1."/>
      <w:lvlJc w:val="left"/>
      <w:pPr>
        <w:ind w:left="0" w:firstLine="0"/>
      </w:pPr>
      <w:rPr>
        <w:rFonts w:ascii="Century" w:hAnsi="Century" w:cs="FrankRuehl" w:hint="default"/>
        <w:b w:val="0"/>
        <w:bCs w:val="0"/>
        <w:i w:val="0"/>
        <w:iCs w:val="0"/>
        <w:caps w:val="0"/>
        <w:smallCaps w:val="0"/>
        <w:strike w:val="0"/>
        <w:dstrike w:val="0"/>
        <w:vanish w:val="0"/>
        <w:color w:val="auto"/>
        <w:spacing w:val="10"/>
        <w:w w:val="100"/>
        <w:kern w:val="0"/>
        <w:position w:val="0"/>
        <w:sz w:val="22"/>
        <w:szCs w:val="28"/>
        <w:u w:val="none"/>
        <w:effect w:val="none"/>
        <w:vertAlign w:val="baseline"/>
        <w:lang w:bidi="he-IL"/>
      </w:rPr>
    </w:lvl>
    <w:lvl w:ilvl="1" w:tplc="FD8801A0" w:tentative="1">
      <w:start w:val="1"/>
      <w:numFmt w:val="lowerLetter"/>
      <w:lvlText w:val="%2."/>
      <w:lvlJc w:val="left"/>
      <w:pPr>
        <w:ind w:left="1440" w:hanging="360"/>
      </w:pPr>
    </w:lvl>
    <w:lvl w:ilvl="2" w:tplc="C458EE58" w:tentative="1">
      <w:start w:val="1"/>
      <w:numFmt w:val="lowerRoman"/>
      <w:lvlText w:val="%3."/>
      <w:lvlJc w:val="right"/>
      <w:pPr>
        <w:ind w:left="2160" w:hanging="180"/>
      </w:pPr>
    </w:lvl>
    <w:lvl w:ilvl="3" w:tplc="5484CFA8" w:tentative="1">
      <w:start w:val="1"/>
      <w:numFmt w:val="decimal"/>
      <w:lvlText w:val="%4."/>
      <w:lvlJc w:val="left"/>
      <w:pPr>
        <w:ind w:left="2880" w:hanging="360"/>
      </w:pPr>
    </w:lvl>
    <w:lvl w:ilvl="4" w:tplc="0EC26550" w:tentative="1">
      <w:start w:val="1"/>
      <w:numFmt w:val="lowerLetter"/>
      <w:lvlText w:val="%5."/>
      <w:lvlJc w:val="left"/>
      <w:pPr>
        <w:ind w:left="3600" w:hanging="360"/>
      </w:pPr>
    </w:lvl>
    <w:lvl w:ilvl="5" w:tplc="41A6FC6C" w:tentative="1">
      <w:start w:val="1"/>
      <w:numFmt w:val="lowerRoman"/>
      <w:lvlText w:val="%6."/>
      <w:lvlJc w:val="right"/>
      <w:pPr>
        <w:ind w:left="4320" w:hanging="180"/>
      </w:pPr>
    </w:lvl>
    <w:lvl w:ilvl="6" w:tplc="6AF48056" w:tentative="1">
      <w:start w:val="1"/>
      <w:numFmt w:val="decimal"/>
      <w:lvlText w:val="%7."/>
      <w:lvlJc w:val="left"/>
      <w:pPr>
        <w:ind w:left="5040" w:hanging="360"/>
      </w:pPr>
    </w:lvl>
    <w:lvl w:ilvl="7" w:tplc="062E6DC6" w:tentative="1">
      <w:start w:val="1"/>
      <w:numFmt w:val="lowerLetter"/>
      <w:lvlText w:val="%8."/>
      <w:lvlJc w:val="left"/>
      <w:pPr>
        <w:ind w:left="5760" w:hanging="360"/>
      </w:pPr>
    </w:lvl>
    <w:lvl w:ilvl="8" w:tplc="CCC664D6" w:tentative="1">
      <w:start w:val="1"/>
      <w:numFmt w:val="lowerRoman"/>
      <w:lvlText w:val="%9."/>
      <w:lvlJc w:val="right"/>
      <w:pPr>
        <w:ind w:left="6480" w:hanging="180"/>
      </w:pPr>
    </w:lvl>
  </w:abstractNum>
  <w:abstractNum w:abstractNumId="4" w15:restartNumberingAfterBreak="0">
    <w:nsid w:val="316A664F"/>
    <w:multiLevelType w:val="hybridMultilevel"/>
    <w:tmpl w:val="94C255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33C4B63"/>
    <w:multiLevelType w:val="hybridMultilevel"/>
    <w:tmpl w:val="E0664C40"/>
    <w:lvl w:ilvl="0" w:tplc="B7F48866">
      <w:start w:val="1"/>
      <w:numFmt w:val="decimal"/>
      <w:lvlText w:val="%1."/>
      <w:lvlJc w:val="left"/>
      <w:pPr>
        <w:ind w:left="720" w:hanging="360"/>
      </w:pPr>
      <w:rPr>
        <w:rFonts w:cs="Davi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97F53"/>
    <w:multiLevelType w:val="hybridMultilevel"/>
    <w:tmpl w:val="DDB29E12"/>
    <w:lvl w:ilvl="0" w:tplc="CA70B08E">
      <w:start w:val="1"/>
      <w:numFmt w:val="decimal"/>
      <w:suff w:val="space"/>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A72ED"/>
    <w:multiLevelType w:val="hybridMultilevel"/>
    <w:tmpl w:val="241005C0"/>
    <w:lvl w:ilvl="0" w:tplc="13A85D06">
      <w:start w:val="1"/>
      <w:numFmt w:val="hebrew1"/>
      <w:lvlText w:val="%1."/>
      <w:lvlJc w:val="left"/>
      <w:pPr>
        <w:ind w:left="284" w:hanging="57"/>
      </w:pPr>
      <w:rPr>
        <w:rFonts w:hint="default"/>
      </w:rPr>
    </w:lvl>
    <w:lvl w:ilvl="1" w:tplc="04090019" w:tentative="1">
      <w:start w:val="1"/>
      <w:numFmt w:val="lowerLetter"/>
      <w:lvlText w:val="%2."/>
      <w:lvlJc w:val="left"/>
      <w:pPr>
        <w:ind w:left="887" w:hanging="360"/>
      </w:pPr>
    </w:lvl>
    <w:lvl w:ilvl="2" w:tplc="0409001B" w:tentative="1">
      <w:start w:val="1"/>
      <w:numFmt w:val="lowerRoman"/>
      <w:lvlText w:val="%3."/>
      <w:lvlJc w:val="right"/>
      <w:pPr>
        <w:ind w:left="1607" w:hanging="180"/>
      </w:pPr>
    </w:lvl>
    <w:lvl w:ilvl="3" w:tplc="0409000F" w:tentative="1">
      <w:start w:val="1"/>
      <w:numFmt w:val="decimal"/>
      <w:lvlText w:val="%4."/>
      <w:lvlJc w:val="left"/>
      <w:pPr>
        <w:ind w:left="2327" w:hanging="360"/>
      </w:pPr>
    </w:lvl>
    <w:lvl w:ilvl="4" w:tplc="04090019" w:tentative="1">
      <w:start w:val="1"/>
      <w:numFmt w:val="lowerLetter"/>
      <w:lvlText w:val="%5."/>
      <w:lvlJc w:val="left"/>
      <w:pPr>
        <w:ind w:left="3047" w:hanging="360"/>
      </w:pPr>
    </w:lvl>
    <w:lvl w:ilvl="5" w:tplc="0409001B" w:tentative="1">
      <w:start w:val="1"/>
      <w:numFmt w:val="lowerRoman"/>
      <w:lvlText w:val="%6."/>
      <w:lvlJc w:val="right"/>
      <w:pPr>
        <w:ind w:left="3767" w:hanging="180"/>
      </w:pPr>
    </w:lvl>
    <w:lvl w:ilvl="6" w:tplc="0409000F" w:tentative="1">
      <w:start w:val="1"/>
      <w:numFmt w:val="decimal"/>
      <w:lvlText w:val="%7."/>
      <w:lvlJc w:val="left"/>
      <w:pPr>
        <w:ind w:left="4487" w:hanging="360"/>
      </w:pPr>
    </w:lvl>
    <w:lvl w:ilvl="7" w:tplc="04090019" w:tentative="1">
      <w:start w:val="1"/>
      <w:numFmt w:val="lowerLetter"/>
      <w:lvlText w:val="%8."/>
      <w:lvlJc w:val="left"/>
      <w:pPr>
        <w:ind w:left="5207" w:hanging="360"/>
      </w:pPr>
    </w:lvl>
    <w:lvl w:ilvl="8" w:tplc="0409001B" w:tentative="1">
      <w:start w:val="1"/>
      <w:numFmt w:val="lowerRoman"/>
      <w:lvlText w:val="%9."/>
      <w:lvlJc w:val="right"/>
      <w:pPr>
        <w:ind w:left="5927" w:hanging="180"/>
      </w:pPr>
    </w:lvl>
  </w:abstractNum>
  <w:abstractNum w:abstractNumId="8" w15:restartNumberingAfterBreak="0">
    <w:nsid w:val="4295105E"/>
    <w:multiLevelType w:val="hybridMultilevel"/>
    <w:tmpl w:val="D794D1C0"/>
    <w:lvl w:ilvl="0" w:tplc="6CA21436">
      <w:start w:val="1"/>
      <w:numFmt w:val="decimal"/>
      <w:lvlText w:val="%1."/>
      <w:lvlJc w:val="left"/>
      <w:pPr>
        <w:ind w:left="720" w:hanging="360"/>
      </w:pPr>
      <w:rPr>
        <w:rFonts w:cs="David"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55169"/>
    <w:multiLevelType w:val="hybridMultilevel"/>
    <w:tmpl w:val="260AD99C"/>
    <w:lvl w:ilvl="0" w:tplc="57DE69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F26C19"/>
    <w:multiLevelType w:val="multilevel"/>
    <w:tmpl w:val="026C425A"/>
    <w:lvl w:ilvl="0">
      <w:start w:val="1"/>
      <w:numFmt w:val="decimal"/>
      <w:suff w:val="space"/>
      <w:lvlText w:val="%1."/>
      <w:lvlJc w:val="left"/>
      <w:pPr>
        <w:ind w:left="170" w:hanging="170"/>
      </w:pPr>
      <w:rPr>
        <w:rFonts w:hint="default"/>
        <w:b/>
        <w:bCs/>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11" w15:restartNumberingAfterBreak="0">
    <w:nsid w:val="598B635F"/>
    <w:multiLevelType w:val="hybridMultilevel"/>
    <w:tmpl w:val="258A7994"/>
    <w:lvl w:ilvl="0" w:tplc="B7CED4BE">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4A35FD"/>
    <w:multiLevelType w:val="hybridMultilevel"/>
    <w:tmpl w:val="7D22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46E64"/>
    <w:multiLevelType w:val="hybridMultilevel"/>
    <w:tmpl w:val="FA24E9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5616D7"/>
    <w:multiLevelType w:val="hybridMultilevel"/>
    <w:tmpl w:val="017E77AC"/>
    <w:lvl w:ilvl="0" w:tplc="64382456">
      <w:start w:val="1"/>
      <w:numFmt w:val="decimal"/>
      <w:suff w:val="space"/>
      <w:lvlText w:val="%1."/>
      <w:lvlJc w:val="left"/>
      <w:pPr>
        <w:ind w:left="360" w:hanging="360"/>
      </w:pPr>
      <w:rPr>
        <w:rFonts w:cs="David" w:hint="default"/>
        <w:b w:val="0"/>
        <w:bCs w:val="0"/>
        <w:sz w:val="28"/>
        <w:szCs w:val="28"/>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B12229"/>
    <w:multiLevelType w:val="hybridMultilevel"/>
    <w:tmpl w:val="ADC4D26E"/>
    <w:lvl w:ilvl="0" w:tplc="48EAD126">
      <w:start w:val="1"/>
      <w:numFmt w:val="decimal"/>
      <w:suff w:val="space"/>
      <w:lvlText w:val="%1."/>
      <w:lvlJc w:val="left"/>
      <w:pPr>
        <w:ind w:left="746" w:hanging="320"/>
      </w:pPr>
      <w:rPr>
        <w:rFonts w:hint="default"/>
        <w:b w:val="0"/>
        <w:bCs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6045EF"/>
    <w:multiLevelType w:val="hybridMultilevel"/>
    <w:tmpl w:val="6CFA503C"/>
    <w:lvl w:ilvl="0" w:tplc="6C7C5E6E">
      <w:start w:val="1"/>
      <w:numFmt w:val="decimal"/>
      <w:lvlText w:val="%1."/>
      <w:lvlJc w:val="left"/>
      <w:pPr>
        <w:ind w:left="720" w:hanging="360"/>
      </w:pPr>
      <w:rPr>
        <w:rFonts w:cs="David"/>
        <w:b w:val="0"/>
        <w:bCs w:val="0"/>
        <w:i w:val="0"/>
        <w:iCs w:val="0"/>
        <w:sz w:val="24"/>
        <w:szCs w:val="24"/>
        <w:lang w:bidi="he-I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22B349C"/>
    <w:multiLevelType w:val="hybridMultilevel"/>
    <w:tmpl w:val="C35658E0"/>
    <w:lvl w:ilvl="0" w:tplc="2236C700">
      <w:start w:val="4"/>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904B9"/>
    <w:multiLevelType w:val="hybridMultilevel"/>
    <w:tmpl w:val="7DDE4422"/>
    <w:lvl w:ilvl="0" w:tplc="01100E72">
      <w:start w:val="1"/>
      <w:numFmt w:val="decimal"/>
      <w:suff w:val="space"/>
      <w:lvlText w:val="%1."/>
      <w:lvlJc w:val="left"/>
      <w:pPr>
        <w:ind w:left="360" w:hanging="360"/>
      </w:pPr>
      <w:rPr>
        <w:rFonts w:cs="David" w:hint="default"/>
        <w:b w:val="0"/>
        <w:bCs w:val="0"/>
        <w:sz w:val="28"/>
        <w:szCs w:val="28"/>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5929B5"/>
    <w:multiLevelType w:val="multilevel"/>
    <w:tmpl w:val="D3F604D2"/>
    <w:lvl w:ilvl="0">
      <w:start w:val="1"/>
      <w:numFmt w:val="decimal"/>
      <w:lvlText w:val="%1."/>
      <w:lvlJc w:val="left"/>
      <w:pPr>
        <w:tabs>
          <w:tab w:val="num" w:pos="392"/>
        </w:tabs>
        <w:ind w:left="392" w:right="392" w:hanging="360"/>
      </w:pPr>
      <w:rPr>
        <w:rFonts w:hint="default"/>
        <w:b/>
        <w:bCs/>
      </w:rPr>
    </w:lvl>
    <w:lvl w:ilvl="1">
      <w:start w:val="1"/>
      <w:numFmt w:val="decimal"/>
      <w:isLgl/>
      <w:lvlText w:val="%1.%2"/>
      <w:lvlJc w:val="left"/>
      <w:pPr>
        <w:tabs>
          <w:tab w:val="num" w:pos="437"/>
        </w:tabs>
        <w:ind w:left="437" w:right="437" w:hanging="405"/>
      </w:pPr>
      <w:rPr>
        <w:rFonts w:hint="default"/>
      </w:rPr>
    </w:lvl>
    <w:lvl w:ilvl="2">
      <w:start w:val="1"/>
      <w:numFmt w:val="decimal"/>
      <w:isLgl/>
      <w:lvlText w:val="%1.%2.%3"/>
      <w:lvlJc w:val="left"/>
      <w:pPr>
        <w:tabs>
          <w:tab w:val="num" w:pos="752"/>
        </w:tabs>
        <w:ind w:left="752" w:right="752" w:hanging="720"/>
      </w:pPr>
      <w:rPr>
        <w:rFonts w:hint="default"/>
      </w:rPr>
    </w:lvl>
    <w:lvl w:ilvl="3">
      <w:start w:val="1"/>
      <w:numFmt w:val="decimal"/>
      <w:isLgl/>
      <w:lvlText w:val="%1.%2.%3.%4"/>
      <w:lvlJc w:val="left"/>
      <w:pPr>
        <w:tabs>
          <w:tab w:val="num" w:pos="1112"/>
        </w:tabs>
        <w:ind w:left="1112" w:right="1112" w:hanging="1080"/>
      </w:pPr>
      <w:rPr>
        <w:rFonts w:hint="default"/>
      </w:rPr>
    </w:lvl>
    <w:lvl w:ilvl="4">
      <w:start w:val="1"/>
      <w:numFmt w:val="decimal"/>
      <w:isLgl/>
      <w:lvlText w:val="%1.%2.%3.%4.%5"/>
      <w:lvlJc w:val="left"/>
      <w:pPr>
        <w:tabs>
          <w:tab w:val="num" w:pos="1112"/>
        </w:tabs>
        <w:ind w:left="1112" w:right="1112" w:hanging="1080"/>
      </w:pPr>
      <w:rPr>
        <w:rFonts w:hint="default"/>
      </w:rPr>
    </w:lvl>
    <w:lvl w:ilvl="5">
      <w:start w:val="1"/>
      <w:numFmt w:val="decimal"/>
      <w:isLgl/>
      <w:lvlText w:val="%1.%2.%3.%4.%5.%6"/>
      <w:lvlJc w:val="left"/>
      <w:pPr>
        <w:tabs>
          <w:tab w:val="num" w:pos="1472"/>
        </w:tabs>
        <w:ind w:left="1472" w:right="1472" w:hanging="1440"/>
      </w:pPr>
      <w:rPr>
        <w:rFonts w:hint="default"/>
      </w:rPr>
    </w:lvl>
    <w:lvl w:ilvl="6">
      <w:start w:val="1"/>
      <w:numFmt w:val="decimal"/>
      <w:isLgl/>
      <w:lvlText w:val="%1.%2.%3.%4.%5.%6.%7"/>
      <w:lvlJc w:val="left"/>
      <w:pPr>
        <w:tabs>
          <w:tab w:val="num" w:pos="1472"/>
        </w:tabs>
        <w:ind w:left="1472" w:right="1472" w:hanging="1440"/>
      </w:pPr>
      <w:rPr>
        <w:rFonts w:hint="default"/>
      </w:rPr>
    </w:lvl>
    <w:lvl w:ilvl="7">
      <w:start w:val="1"/>
      <w:numFmt w:val="decimal"/>
      <w:isLgl/>
      <w:lvlText w:val="%1.%2.%3.%4.%5.%6.%7.%8"/>
      <w:lvlJc w:val="left"/>
      <w:pPr>
        <w:tabs>
          <w:tab w:val="num" w:pos="1832"/>
        </w:tabs>
        <w:ind w:left="1832" w:right="1832" w:hanging="1800"/>
      </w:pPr>
      <w:rPr>
        <w:rFonts w:hint="default"/>
      </w:rPr>
    </w:lvl>
    <w:lvl w:ilvl="8">
      <w:start w:val="1"/>
      <w:numFmt w:val="decimal"/>
      <w:isLgl/>
      <w:lvlText w:val="%1.%2.%3.%4.%5.%6.%7.%8.%9"/>
      <w:lvlJc w:val="left"/>
      <w:pPr>
        <w:tabs>
          <w:tab w:val="num" w:pos="2192"/>
        </w:tabs>
        <w:ind w:left="2192" w:right="2192" w:hanging="2160"/>
      </w:pPr>
      <w:rPr>
        <w:rFonts w:hint="default"/>
      </w:rPr>
    </w:lvl>
  </w:abstractNum>
  <w:num w:numId="1">
    <w:abstractNumId w:val="2"/>
  </w:num>
  <w:num w:numId="2">
    <w:abstractNumId w:val="2"/>
  </w:num>
  <w:num w:numId="3">
    <w:abstractNumId w:val="1"/>
  </w:num>
  <w:num w:numId="4">
    <w:abstractNumId w:val="14"/>
  </w:num>
  <w:num w:numId="5">
    <w:abstractNumId w:val="9"/>
  </w:num>
  <w:num w:numId="6">
    <w:abstractNumId w:val="5"/>
  </w:num>
  <w:num w:numId="7">
    <w:abstractNumId w:val="13"/>
  </w:num>
  <w:num w:numId="8">
    <w:abstractNumId w:val="3"/>
  </w:num>
  <w:num w:numId="9">
    <w:abstractNumId w:val="10"/>
  </w:num>
  <w:num w:numId="10">
    <w:abstractNumId w:val="19"/>
  </w:num>
  <w:num w:numId="11">
    <w:abstractNumId w:val="8"/>
  </w:num>
  <w:num w:numId="12">
    <w:abstractNumId w:val="15"/>
  </w:num>
  <w:num w:numId="13">
    <w:abstractNumId w:val="12"/>
  </w:num>
  <w:num w:numId="14">
    <w:abstractNumId w:val="7"/>
  </w:num>
  <w:num w:numId="15">
    <w:abstractNumId w:val="0"/>
  </w:num>
  <w:num w:numId="16">
    <w:abstractNumId w:val="11"/>
  </w:num>
  <w:num w:numId="17">
    <w:abstractNumId w:val="16"/>
  </w:num>
  <w:num w:numId="18">
    <w:abstractNumId w:val="17"/>
  </w:num>
  <w:num w:numId="19">
    <w:abstractNumId w:val="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28F"/>
    <w:rsid w:val="000113DF"/>
    <w:rsid w:val="00020207"/>
    <w:rsid w:val="0003207E"/>
    <w:rsid w:val="000726C6"/>
    <w:rsid w:val="0007318B"/>
    <w:rsid w:val="00073450"/>
    <w:rsid w:val="00075191"/>
    <w:rsid w:val="00075B60"/>
    <w:rsid w:val="00076326"/>
    <w:rsid w:val="00077097"/>
    <w:rsid w:val="00080DCC"/>
    <w:rsid w:val="000A318E"/>
    <w:rsid w:val="000A4638"/>
    <w:rsid w:val="000A567D"/>
    <w:rsid w:val="000A5D65"/>
    <w:rsid w:val="000A5E9A"/>
    <w:rsid w:val="000B1365"/>
    <w:rsid w:val="000B2952"/>
    <w:rsid w:val="000B6D95"/>
    <w:rsid w:val="000C206E"/>
    <w:rsid w:val="000C3604"/>
    <w:rsid w:val="000D23DC"/>
    <w:rsid w:val="000D3459"/>
    <w:rsid w:val="000D48FE"/>
    <w:rsid w:val="000D5232"/>
    <w:rsid w:val="000F0532"/>
    <w:rsid w:val="000F265F"/>
    <w:rsid w:val="000F51C1"/>
    <w:rsid w:val="00105DB8"/>
    <w:rsid w:val="00112EB6"/>
    <w:rsid w:val="00121094"/>
    <w:rsid w:val="001244C2"/>
    <w:rsid w:val="00145C90"/>
    <w:rsid w:val="00151221"/>
    <w:rsid w:val="001545FE"/>
    <w:rsid w:val="00156192"/>
    <w:rsid w:val="00156678"/>
    <w:rsid w:val="00162E20"/>
    <w:rsid w:val="00183220"/>
    <w:rsid w:val="00197469"/>
    <w:rsid w:val="001A3CFB"/>
    <w:rsid w:val="001A690F"/>
    <w:rsid w:val="001A6EE1"/>
    <w:rsid w:val="001A7495"/>
    <w:rsid w:val="001B2003"/>
    <w:rsid w:val="001B63D8"/>
    <w:rsid w:val="001C1709"/>
    <w:rsid w:val="001C1C6C"/>
    <w:rsid w:val="001D35E4"/>
    <w:rsid w:val="001E2C9D"/>
    <w:rsid w:val="001E2FB0"/>
    <w:rsid w:val="001E70CA"/>
    <w:rsid w:val="001F066B"/>
    <w:rsid w:val="001F429C"/>
    <w:rsid w:val="001F637A"/>
    <w:rsid w:val="001F6F09"/>
    <w:rsid w:val="00203937"/>
    <w:rsid w:val="002119EC"/>
    <w:rsid w:val="00212274"/>
    <w:rsid w:val="00213780"/>
    <w:rsid w:val="00220B98"/>
    <w:rsid w:val="002215B6"/>
    <w:rsid w:val="00223236"/>
    <w:rsid w:val="00224159"/>
    <w:rsid w:val="00233C87"/>
    <w:rsid w:val="00236067"/>
    <w:rsid w:val="00265853"/>
    <w:rsid w:val="002668A1"/>
    <w:rsid w:val="002670A7"/>
    <w:rsid w:val="00267B26"/>
    <w:rsid w:val="002719A1"/>
    <w:rsid w:val="00272C2F"/>
    <w:rsid w:val="00275C3A"/>
    <w:rsid w:val="00280DAA"/>
    <w:rsid w:val="00285895"/>
    <w:rsid w:val="00290008"/>
    <w:rsid w:val="00295D49"/>
    <w:rsid w:val="00297673"/>
    <w:rsid w:val="002A6322"/>
    <w:rsid w:val="002C4E94"/>
    <w:rsid w:val="002C6B72"/>
    <w:rsid w:val="002F00F0"/>
    <w:rsid w:val="002F2B1D"/>
    <w:rsid w:val="002F30FE"/>
    <w:rsid w:val="002F5DDF"/>
    <w:rsid w:val="0030380F"/>
    <w:rsid w:val="00305FB7"/>
    <w:rsid w:val="00311A52"/>
    <w:rsid w:val="00311E18"/>
    <w:rsid w:val="0031360A"/>
    <w:rsid w:val="00320955"/>
    <w:rsid w:val="00322A2C"/>
    <w:rsid w:val="003238C4"/>
    <w:rsid w:val="003263F8"/>
    <w:rsid w:val="003330B2"/>
    <w:rsid w:val="00333646"/>
    <w:rsid w:val="00340071"/>
    <w:rsid w:val="00343FE5"/>
    <w:rsid w:val="00345F16"/>
    <w:rsid w:val="00350C05"/>
    <w:rsid w:val="00355E46"/>
    <w:rsid w:val="00372BF9"/>
    <w:rsid w:val="00372CD5"/>
    <w:rsid w:val="00383682"/>
    <w:rsid w:val="003854E0"/>
    <w:rsid w:val="00390C27"/>
    <w:rsid w:val="00397177"/>
    <w:rsid w:val="003A2716"/>
    <w:rsid w:val="003A46E0"/>
    <w:rsid w:val="003A6EB3"/>
    <w:rsid w:val="003A79C7"/>
    <w:rsid w:val="003B4DE8"/>
    <w:rsid w:val="003C5CB2"/>
    <w:rsid w:val="003C65B0"/>
    <w:rsid w:val="003D04F5"/>
    <w:rsid w:val="003F19B7"/>
    <w:rsid w:val="00407EC5"/>
    <w:rsid w:val="00410DCE"/>
    <w:rsid w:val="00415FD0"/>
    <w:rsid w:val="004179EE"/>
    <w:rsid w:val="0042473A"/>
    <w:rsid w:val="004248CE"/>
    <w:rsid w:val="00430D49"/>
    <w:rsid w:val="00432DEA"/>
    <w:rsid w:val="0043425A"/>
    <w:rsid w:val="00440603"/>
    <w:rsid w:val="00440723"/>
    <w:rsid w:val="00443991"/>
    <w:rsid w:val="00450158"/>
    <w:rsid w:val="0045196A"/>
    <w:rsid w:val="004537E3"/>
    <w:rsid w:val="004600B7"/>
    <w:rsid w:val="004669E9"/>
    <w:rsid w:val="00476AA1"/>
    <w:rsid w:val="00476C10"/>
    <w:rsid w:val="00481F81"/>
    <w:rsid w:val="00496A91"/>
    <w:rsid w:val="00497F5F"/>
    <w:rsid w:val="004A2A9C"/>
    <w:rsid w:val="004B006C"/>
    <w:rsid w:val="004B0666"/>
    <w:rsid w:val="004B0BBB"/>
    <w:rsid w:val="004C560C"/>
    <w:rsid w:val="004C5FA9"/>
    <w:rsid w:val="004C619A"/>
    <w:rsid w:val="004D092A"/>
    <w:rsid w:val="004D2219"/>
    <w:rsid w:val="004D4599"/>
    <w:rsid w:val="004E5BF0"/>
    <w:rsid w:val="004F1A30"/>
    <w:rsid w:val="004F3E90"/>
    <w:rsid w:val="005016EE"/>
    <w:rsid w:val="00513BC5"/>
    <w:rsid w:val="0053079A"/>
    <w:rsid w:val="00531E70"/>
    <w:rsid w:val="005338CD"/>
    <w:rsid w:val="0054132D"/>
    <w:rsid w:val="00547391"/>
    <w:rsid w:val="00551619"/>
    <w:rsid w:val="005536FD"/>
    <w:rsid w:val="00553C81"/>
    <w:rsid w:val="00573025"/>
    <w:rsid w:val="0057363E"/>
    <w:rsid w:val="00581A94"/>
    <w:rsid w:val="00582714"/>
    <w:rsid w:val="00585A81"/>
    <w:rsid w:val="00595B69"/>
    <w:rsid w:val="005A05FE"/>
    <w:rsid w:val="005A7C1D"/>
    <w:rsid w:val="005B1372"/>
    <w:rsid w:val="005C2940"/>
    <w:rsid w:val="005D03E2"/>
    <w:rsid w:val="005D042B"/>
    <w:rsid w:val="005D1087"/>
    <w:rsid w:val="005D602E"/>
    <w:rsid w:val="005E121F"/>
    <w:rsid w:val="005E359C"/>
    <w:rsid w:val="005E50FF"/>
    <w:rsid w:val="005E710C"/>
    <w:rsid w:val="005F7893"/>
    <w:rsid w:val="00604D8A"/>
    <w:rsid w:val="00610623"/>
    <w:rsid w:val="00616408"/>
    <w:rsid w:val="00616497"/>
    <w:rsid w:val="006231CC"/>
    <w:rsid w:val="0062369F"/>
    <w:rsid w:val="0062723C"/>
    <w:rsid w:val="00627CCB"/>
    <w:rsid w:val="00630802"/>
    <w:rsid w:val="00635841"/>
    <w:rsid w:val="00653BDF"/>
    <w:rsid w:val="006562EF"/>
    <w:rsid w:val="0066481D"/>
    <w:rsid w:val="006721AE"/>
    <w:rsid w:val="00674AEA"/>
    <w:rsid w:val="006755A5"/>
    <w:rsid w:val="006772ED"/>
    <w:rsid w:val="00681B0B"/>
    <w:rsid w:val="00681BB2"/>
    <w:rsid w:val="00681FF5"/>
    <w:rsid w:val="00685C62"/>
    <w:rsid w:val="00692D8D"/>
    <w:rsid w:val="00696D49"/>
    <w:rsid w:val="006A09A2"/>
    <w:rsid w:val="006A6FEB"/>
    <w:rsid w:val="006B5558"/>
    <w:rsid w:val="006C0709"/>
    <w:rsid w:val="006C63F4"/>
    <w:rsid w:val="006C69D2"/>
    <w:rsid w:val="006D6181"/>
    <w:rsid w:val="006D6775"/>
    <w:rsid w:val="006D701D"/>
    <w:rsid w:val="006E1930"/>
    <w:rsid w:val="006E328A"/>
    <w:rsid w:val="006F6AAB"/>
    <w:rsid w:val="0070181C"/>
    <w:rsid w:val="00707C7B"/>
    <w:rsid w:val="00710F00"/>
    <w:rsid w:val="00711B16"/>
    <w:rsid w:val="007148B0"/>
    <w:rsid w:val="0071730C"/>
    <w:rsid w:val="00717D23"/>
    <w:rsid w:val="00720DF3"/>
    <w:rsid w:val="00722A5D"/>
    <w:rsid w:val="00725378"/>
    <w:rsid w:val="00733DFB"/>
    <w:rsid w:val="0074340D"/>
    <w:rsid w:val="00745163"/>
    <w:rsid w:val="00745427"/>
    <w:rsid w:val="00746197"/>
    <w:rsid w:val="00747067"/>
    <w:rsid w:val="00756C08"/>
    <w:rsid w:val="00763C97"/>
    <w:rsid w:val="00775D47"/>
    <w:rsid w:val="00784E5E"/>
    <w:rsid w:val="007867B8"/>
    <w:rsid w:val="00786B6F"/>
    <w:rsid w:val="00795BBE"/>
    <w:rsid w:val="007B02C8"/>
    <w:rsid w:val="007B1E83"/>
    <w:rsid w:val="007C01B2"/>
    <w:rsid w:val="007C1A15"/>
    <w:rsid w:val="007C223E"/>
    <w:rsid w:val="007C6AF7"/>
    <w:rsid w:val="007C6D01"/>
    <w:rsid w:val="007D01E5"/>
    <w:rsid w:val="007D52F9"/>
    <w:rsid w:val="007D7CBF"/>
    <w:rsid w:val="007E1D2D"/>
    <w:rsid w:val="007E2E7E"/>
    <w:rsid w:val="007E7932"/>
    <w:rsid w:val="007F5170"/>
    <w:rsid w:val="007F71C2"/>
    <w:rsid w:val="00802105"/>
    <w:rsid w:val="0080750A"/>
    <w:rsid w:val="0080763C"/>
    <w:rsid w:val="008172A8"/>
    <w:rsid w:val="00823145"/>
    <w:rsid w:val="0082644C"/>
    <w:rsid w:val="0084135E"/>
    <w:rsid w:val="00843E9F"/>
    <w:rsid w:val="008532FC"/>
    <w:rsid w:val="008608D7"/>
    <w:rsid w:val="00871188"/>
    <w:rsid w:val="00874B25"/>
    <w:rsid w:val="00877594"/>
    <w:rsid w:val="008878B0"/>
    <w:rsid w:val="008947D4"/>
    <w:rsid w:val="008A0F88"/>
    <w:rsid w:val="008A14FE"/>
    <w:rsid w:val="008A252C"/>
    <w:rsid w:val="008A31CF"/>
    <w:rsid w:val="008A51A7"/>
    <w:rsid w:val="008B2921"/>
    <w:rsid w:val="008B4739"/>
    <w:rsid w:val="008B4D03"/>
    <w:rsid w:val="008B68B6"/>
    <w:rsid w:val="008B7DA6"/>
    <w:rsid w:val="008C0C03"/>
    <w:rsid w:val="008C76A7"/>
    <w:rsid w:val="008C7C23"/>
    <w:rsid w:val="008D4364"/>
    <w:rsid w:val="008D78B2"/>
    <w:rsid w:val="008E0E50"/>
    <w:rsid w:val="008E75C5"/>
    <w:rsid w:val="008F30E4"/>
    <w:rsid w:val="008F3452"/>
    <w:rsid w:val="008F45F4"/>
    <w:rsid w:val="008F7D67"/>
    <w:rsid w:val="00900053"/>
    <w:rsid w:val="0090371E"/>
    <w:rsid w:val="00914B9F"/>
    <w:rsid w:val="009223E3"/>
    <w:rsid w:val="009229AE"/>
    <w:rsid w:val="00922A7E"/>
    <w:rsid w:val="009233DC"/>
    <w:rsid w:val="0093200D"/>
    <w:rsid w:val="00940088"/>
    <w:rsid w:val="00940D17"/>
    <w:rsid w:val="00941555"/>
    <w:rsid w:val="009501CD"/>
    <w:rsid w:val="009603BF"/>
    <w:rsid w:val="009611A9"/>
    <w:rsid w:val="00970A19"/>
    <w:rsid w:val="00975C75"/>
    <w:rsid w:val="00984A7C"/>
    <w:rsid w:val="00987A26"/>
    <w:rsid w:val="009958F1"/>
    <w:rsid w:val="009A5B6C"/>
    <w:rsid w:val="009B1FF5"/>
    <w:rsid w:val="009B4B05"/>
    <w:rsid w:val="009C00C1"/>
    <w:rsid w:val="009E005A"/>
    <w:rsid w:val="009F2619"/>
    <w:rsid w:val="00A02B66"/>
    <w:rsid w:val="00A03EFB"/>
    <w:rsid w:val="00A07219"/>
    <w:rsid w:val="00A11377"/>
    <w:rsid w:val="00A11EBE"/>
    <w:rsid w:val="00A14B3C"/>
    <w:rsid w:val="00A15097"/>
    <w:rsid w:val="00A15FFF"/>
    <w:rsid w:val="00A16A02"/>
    <w:rsid w:val="00A351F0"/>
    <w:rsid w:val="00A359A9"/>
    <w:rsid w:val="00A52048"/>
    <w:rsid w:val="00A61A57"/>
    <w:rsid w:val="00A67690"/>
    <w:rsid w:val="00A71E20"/>
    <w:rsid w:val="00A723EE"/>
    <w:rsid w:val="00A867E7"/>
    <w:rsid w:val="00A95CF8"/>
    <w:rsid w:val="00A95E2B"/>
    <w:rsid w:val="00AB048D"/>
    <w:rsid w:val="00AB27CF"/>
    <w:rsid w:val="00AC0D50"/>
    <w:rsid w:val="00AC5B47"/>
    <w:rsid w:val="00AC63FF"/>
    <w:rsid w:val="00AD2926"/>
    <w:rsid w:val="00AD64FB"/>
    <w:rsid w:val="00AD6BE4"/>
    <w:rsid w:val="00AE0C4D"/>
    <w:rsid w:val="00AE390D"/>
    <w:rsid w:val="00AE4CDF"/>
    <w:rsid w:val="00AE6304"/>
    <w:rsid w:val="00B02036"/>
    <w:rsid w:val="00B02351"/>
    <w:rsid w:val="00B1052E"/>
    <w:rsid w:val="00B251CF"/>
    <w:rsid w:val="00B2737B"/>
    <w:rsid w:val="00B326AD"/>
    <w:rsid w:val="00B40AEE"/>
    <w:rsid w:val="00B45CC5"/>
    <w:rsid w:val="00B52DDC"/>
    <w:rsid w:val="00B56968"/>
    <w:rsid w:val="00B571B2"/>
    <w:rsid w:val="00B60F55"/>
    <w:rsid w:val="00B7316A"/>
    <w:rsid w:val="00B76E82"/>
    <w:rsid w:val="00B84DD7"/>
    <w:rsid w:val="00B90815"/>
    <w:rsid w:val="00B91660"/>
    <w:rsid w:val="00B95660"/>
    <w:rsid w:val="00BA1BEC"/>
    <w:rsid w:val="00BC696A"/>
    <w:rsid w:val="00BD1FB4"/>
    <w:rsid w:val="00BD49EB"/>
    <w:rsid w:val="00BE097C"/>
    <w:rsid w:val="00BE3986"/>
    <w:rsid w:val="00BE43F3"/>
    <w:rsid w:val="00BE4D87"/>
    <w:rsid w:val="00C01B90"/>
    <w:rsid w:val="00C115EA"/>
    <w:rsid w:val="00C11A24"/>
    <w:rsid w:val="00C217D3"/>
    <w:rsid w:val="00C221CF"/>
    <w:rsid w:val="00C22B30"/>
    <w:rsid w:val="00C30268"/>
    <w:rsid w:val="00C327FC"/>
    <w:rsid w:val="00C33A29"/>
    <w:rsid w:val="00C37D74"/>
    <w:rsid w:val="00C41248"/>
    <w:rsid w:val="00C44B16"/>
    <w:rsid w:val="00C44DB1"/>
    <w:rsid w:val="00C51D1D"/>
    <w:rsid w:val="00C51F94"/>
    <w:rsid w:val="00C61410"/>
    <w:rsid w:val="00C6335E"/>
    <w:rsid w:val="00C6581D"/>
    <w:rsid w:val="00C70139"/>
    <w:rsid w:val="00C7175C"/>
    <w:rsid w:val="00C7513C"/>
    <w:rsid w:val="00C75A2F"/>
    <w:rsid w:val="00C935B7"/>
    <w:rsid w:val="00C95F3E"/>
    <w:rsid w:val="00C97F44"/>
    <w:rsid w:val="00CD3038"/>
    <w:rsid w:val="00CE3023"/>
    <w:rsid w:val="00CE4E50"/>
    <w:rsid w:val="00CF0508"/>
    <w:rsid w:val="00CF1817"/>
    <w:rsid w:val="00D01449"/>
    <w:rsid w:val="00D03AD6"/>
    <w:rsid w:val="00D11F24"/>
    <w:rsid w:val="00D23358"/>
    <w:rsid w:val="00D312E9"/>
    <w:rsid w:val="00D40353"/>
    <w:rsid w:val="00D415DF"/>
    <w:rsid w:val="00D426E7"/>
    <w:rsid w:val="00D43BCA"/>
    <w:rsid w:val="00D5056B"/>
    <w:rsid w:val="00D51446"/>
    <w:rsid w:val="00D51ADA"/>
    <w:rsid w:val="00D54E7E"/>
    <w:rsid w:val="00D57727"/>
    <w:rsid w:val="00D66A80"/>
    <w:rsid w:val="00D72040"/>
    <w:rsid w:val="00D77EEC"/>
    <w:rsid w:val="00D8283A"/>
    <w:rsid w:val="00D95B9D"/>
    <w:rsid w:val="00DB0CCB"/>
    <w:rsid w:val="00DB22EC"/>
    <w:rsid w:val="00DB7078"/>
    <w:rsid w:val="00DD34AB"/>
    <w:rsid w:val="00DD45CB"/>
    <w:rsid w:val="00DE100B"/>
    <w:rsid w:val="00DE13E3"/>
    <w:rsid w:val="00DE18BF"/>
    <w:rsid w:val="00DE42C0"/>
    <w:rsid w:val="00DE7051"/>
    <w:rsid w:val="00DF2F22"/>
    <w:rsid w:val="00E148E7"/>
    <w:rsid w:val="00E16AE2"/>
    <w:rsid w:val="00E21013"/>
    <w:rsid w:val="00E22619"/>
    <w:rsid w:val="00E2337D"/>
    <w:rsid w:val="00E31CA8"/>
    <w:rsid w:val="00E36941"/>
    <w:rsid w:val="00E41D6D"/>
    <w:rsid w:val="00E47BCB"/>
    <w:rsid w:val="00E50699"/>
    <w:rsid w:val="00E5224F"/>
    <w:rsid w:val="00E5228F"/>
    <w:rsid w:val="00E53B08"/>
    <w:rsid w:val="00E645B7"/>
    <w:rsid w:val="00E6648D"/>
    <w:rsid w:val="00E74AB3"/>
    <w:rsid w:val="00E8160B"/>
    <w:rsid w:val="00E82DF3"/>
    <w:rsid w:val="00E91A64"/>
    <w:rsid w:val="00E96E8C"/>
    <w:rsid w:val="00EB0CD2"/>
    <w:rsid w:val="00EB1055"/>
    <w:rsid w:val="00EB3601"/>
    <w:rsid w:val="00EB6D73"/>
    <w:rsid w:val="00EB70DC"/>
    <w:rsid w:val="00EC1769"/>
    <w:rsid w:val="00ED3645"/>
    <w:rsid w:val="00ED4F7D"/>
    <w:rsid w:val="00ED562C"/>
    <w:rsid w:val="00ED5CB5"/>
    <w:rsid w:val="00ED69F1"/>
    <w:rsid w:val="00EE453A"/>
    <w:rsid w:val="00EE5806"/>
    <w:rsid w:val="00EF1B88"/>
    <w:rsid w:val="00EF2704"/>
    <w:rsid w:val="00F0106A"/>
    <w:rsid w:val="00F11F9E"/>
    <w:rsid w:val="00F20B1B"/>
    <w:rsid w:val="00F20FF0"/>
    <w:rsid w:val="00F2203C"/>
    <w:rsid w:val="00F24E02"/>
    <w:rsid w:val="00F343A8"/>
    <w:rsid w:val="00F456D5"/>
    <w:rsid w:val="00F45982"/>
    <w:rsid w:val="00F5041D"/>
    <w:rsid w:val="00F50594"/>
    <w:rsid w:val="00F5657D"/>
    <w:rsid w:val="00F566E7"/>
    <w:rsid w:val="00F56736"/>
    <w:rsid w:val="00F71C3D"/>
    <w:rsid w:val="00F755D7"/>
    <w:rsid w:val="00F80BD3"/>
    <w:rsid w:val="00F97CF8"/>
    <w:rsid w:val="00FA1E62"/>
    <w:rsid w:val="00FA2E7E"/>
    <w:rsid w:val="00FA7C97"/>
    <w:rsid w:val="00FA7DC8"/>
    <w:rsid w:val="00FB7803"/>
    <w:rsid w:val="00FC4A0E"/>
    <w:rsid w:val="00FD1834"/>
    <w:rsid w:val="00FD2AA8"/>
    <w:rsid w:val="00FD66E9"/>
    <w:rsid w:val="00FD6D2E"/>
    <w:rsid w:val="00FE5ECD"/>
    <w:rsid w:val="00FE7939"/>
    <w:rsid w:val="00FF58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20D16"/>
  <w15:chartTrackingRefBased/>
  <w15:docId w15:val="{C433782D-7BB6-4BB7-A6B5-63980271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1"/>
    <w:qFormat/>
    <w:rsid w:val="00E5228F"/>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0"/>
    <w:autoRedefine/>
    <w:uiPriority w:val="9"/>
    <w:qFormat/>
    <w:rsid w:val="0042473A"/>
    <w:pPr>
      <w:keepNext/>
      <w:keepLines/>
      <w:spacing w:before="480" w:after="240"/>
      <w:outlineLvl w:val="0"/>
    </w:pPr>
    <w:rPr>
      <w:rFonts w:asciiTheme="majorHAnsi" w:eastAsiaTheme="majorEastAsia" w:hAnsiTheme="majorHAnsi"/>
      <w:bCs/>
      <w:sz w:val="32"/>
      <w:u w:val="single"/>
    </w:rPr>
  </w:style>
  <w:style w:type="paragraph" w:styleId="2">
    <w:name w:val="heading 2"/>
    <w:basedOn w:val="a"/>
    <w:next w:val="a"/>
    <w:link w:val="20"/>
    <w:autoRedefine/>
    <w:uiPriority w:val="9"/>
    <w:unhideWhenUsed/>
    <w:qFormat/>
    <w:rsid w:val="0042473A"/>
    <w:pPr>
      <w:keepNext/>
      <w:keepLines/>
      <w:spacing w:before="280" w:after="240"/>
      <w:jc w:val="both"/>
      <w:outlineLvl w:val="1"/>
    </w:pPr>
    <w:rPr>
      <w:rFonts w:asciiTheme="majorHAnsi" w:eastAsiaTheme="majorEastAsia" w:hAnsiTheme="majorHAnsi"/>
      <w:bCs/>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סגנון2"/>
    <w:basedOn w:val="a"/>
    <w:next w:val="a"/>
    <w:link w:val="22"/>
    <w:autoRedefine/>
    <w:qFormat/>
    <w:rsid w:val="007D52F9"/>
    <w:pPr>
      <w:spacing w:line="360" w:lineRule="auto"/>
      <w:ind w:left="360"/>
      <w:contextualSpacing/>
      <w:jc w:val="both"/>
    </w:pPr>
    <w:rPr>
      <w:bCs/>
      <w:sz w:val="28"/>
      <w:u w:val="single"/>
    </w:rPr>
  </w:style>
  <w:style w:type="character" w:customStyle="1" w:styleId="22">
    <w:name w:val="סגנון2 תו"/>
    <w:link w:val="21"/>
    <w:rsid w:val="007D52F9"/>
    <w:rPr>
      <w:rFonts w:ascii="Times New Roman" w:eastAsia="Times New Roman" w:hAnsi="Times New Roman" w:cs="Times New Roman"/>
      <w:bCs/>
      <w:sz w:val="28"/>
      <w:szCs w:val="24"/>
      <w:u w:val="single"/>
    </w:rPr>
  </w:style>
  <w:style w:type="character" w:customStyle="1" w:styleId="10">
    <w:name w:val="כותרת 1 תו"/>
    <w:basedOn w:val="a0"/>
    <w:link w:val="1"/>
    <w:uiPriority w:val="9"/>
    <w:rsid w:val="0042473A"/>
    <w:rPr>
      <w:rFonts w:asciiTheme="majorHAnsi" w:eastAsiaTheme="majorEastAsia" w:hAnsiTheme="majorHAnsi" w:cs="David"/>
      <w:bCs/>
      <w:sz w:val="32"/>
      <w:szCs w:val="28"/>
      <w:u w:val="single"/>
    </w:rPr>
  </w:style>
  <w:style w:type="character" w:customStyle="1" w:styleId="20">
    <w:name w:val="כותרת 2 תו"/>
    <w:basedOn w:val="a0"/>
    <w:link w:val="2"/>
    <w:uiPriority w:val="9"/>
    <w:rsid w:val="0042473A"/>
    <w:rPr>
      <w:rFonts w:asciiTheme="majorHAnsi" w:eastAsiaTheme="majorEastAsia" w:hAnsiTheme="majorHAnsi" w:cs="David"/>
      <w:bCs/>
      <w:sz w:val="26"/>
      <w:szCs w:val="28"/>
      <w:u w:val="single"/>
    </w:rPr>
  </w:style>
  <w:style w:type="paragraph" w:styleId="a3">
    <w:name w:val="header"/>
    <w:basedOn w:val="a"/>
    <w:link w:val="a4"/>
    <w:rsid w:val="00E5228F"/>
    <w:pPr>
      <w:tabs>
        <w:tab w:val="center" w:pos="4153"/>
        <w:tab w:val="right" w:pos="8306"/>
      </w:tabs>
    </w:pPr>
  </w:style>
  <w:style w:type="character" w:customStyle="1" w:styleId="a4">
    <w:name w:val="כותרת עליונה תו"/>
    <w:basedOn w:val="a0"/>
    <w:link w:val="a3"/>
    <w:rsid w:val="00E5228F"/>
    <w:rPr>
      <w:rFonts w:ascii="Times New Roman" w:eastAsia="Times New Roman" w:hAnsi="Times New Roman" w:cs="Times New Roman"/>
      <w:sz w:val="24"/>
      <w:szCs w:val="24"/>
    </w:rPr>
  </w:style>
  <w:style w:type="paragraph" w:styleId="a5">
    <w:name w:val="footer"/>
    <w:basedOn w:val="a"/>
    <w:link w:val="a6"/>
    <w:rsid w:val="00E5228F"/>
    <w:pPr>
      <w:tabs>
        <w:tab w:val="center" w:pos="4153"/>
        <w:tab w:val="right" w:pos="8306"/>
      </w:tabs>
    </w:pPr>
  </w:style>
  <w:style w:type="character" w:customStyle="1" w:styleId="a6">
    <w:name w:val="כותרת תחתונה תו"/>
    <w:basedOn w:val="a0"/>
    <w:link w:val="a5"/>
    <w:rsid w:val="00E5228F"/>
    <w:rPr>
      <w:rFonts w:ascii="Times New Roman" w:eastAsia="Times New Roman" w:hAnsi="Times New Roman" w:cs="Times New Roman"/>
      <w:sz w:val="24"/>
      <w:szCs w:val="24"/>
    </w:rPr>
  </w:style>
  <w:style w:type="character" w:styleId="a7">
    <w:name w:val="page number"/>
    <w:basedOn w:val="a0"/>
    <w:rsid w:val="00E5228F"/>
  </w:style>
  <w:style w:type="paragraph" w:styleId="a8">
    <w:name w:val="List Paragraph"/>
    <w:basedOn w:val="a"/>
    <w:link w:val="a9"/>
    <w:uiPriority w:val="34"/>
    <w:qFormat/>
    <w:rsid w:val="00E5228F"/>
    <w:pPr>
      <w:spacing w:after="200" w:line="276" w:lineRule="auto"/>
      <w:ind w:left="720"/>
      <w:contextualSpacing/>
    </w:pPr>
    <w:rPr>
      <w:rFonts w:asciiTheme="minorHAnsi" w:eastAsiaTheme="minorHAnsi" w:hAnsiTheme="minorHAnsi" w:cstheme="minorBidi"/>
      <w:sz w:val="22"/>
      <w:szCs w:val="22"/>
    </w:rPr>
  </w:style>
  <w:style w:type="character" w:customStyle="1" w:styleId="a9">
    <w:name w:val="פיסקת רשימה תו"/>
    <w:link w:val="a8"/>
    <w:uiPriority w:val="34"/>
    <w:rsid w:val="00E5228F"/>
    <w:rPr>
      <w:rFonts w:eastAsiaTheme="minorHAnsi"/>
    </w:rPr>
  </w:style>
  <w:style w:type="character" w:styleId="Hyperlink">
    <w:name w:val="Hyperlink"/>
    <w:basedOn w:val="a0"/>
    <w:uiPriority w:val="99"/>
    <w:unhideWhenUsed/>
    <w:rsid w:val="00212274"/>
    <w:rPr>
      <w:color w:val="0563C1" w:themeColor="hyperlink"/>
      <w:u w:val="single"/>
    </w:rPr>
  </w:style>
  <w:style w:type="paragraph" w:styleId="aa">
    <w:name w:val="Balloon Text"/>
    <w:basedOn w:val="a"/>
    <w:link w:val="ab"/>
    <w:uiPriority w:val="99"/>
    <w:semiHidden/>
    <w:unhideWhenUsed/>
    <w:rsid w:val="00FE5ECD"/>
    <w:rPr>
      <w:rFonts w:ascii="Tahoma" w:hAnsi="Tahoma" w:cs="Tahoma"/>
      <w:sz w:val="18"/>
      <w:szCs w:val="18"/>
    </w:rPr>
  </w:style>
  <w:style w:type="character" w:customStyle="1" w:styleId="ab">
    <w:name w:val="טקסט בלונים תו"/>
    <w:basedOn w:val="a0"/>
    <w:link w:val="aa"/>
    <w:uiPriority w:val="99"/>
    <w:semiHidden/>
    <w:rsid w:val="00FE5ECD"/>
    <w:rPr>
      <w:rFonts w:ascii="Tahoma" w:eastAsia="Times New Roman" w:hAnsi="Tahoma" w:cs="Tahoma"/>
      <w:sz w:val="18"/>
      <w:szCs w:val="18"/>
    </w:rPr>
  </w:style>
  <w:style w:type="character" w:styleId="ac">
    <w:name w:val="annotation reference"/>
    <w:basedOn w:val="a0"/>
    <w:uiPriority w:val="99"/>
    <w:semiHidden/>
    <w:unhideWhenUsed/>
    <w:rsid w:val="00A723EE"/>
    <w:rPr>
      <w:sz w:val="16"/>
      <w:szCs w:val="16"/>
    </w:rPr>
  </w:style>
  <w:style w:type="paragraph" w:styleId="ad">
    <w:name w:val="annotation text"/>
    <w:basedOn w:val="a"/>
    <w:link w:val="ae"/>
    <w:uiPriority w:val="99"/>
    <w:semiHidden/>
    <w:unhideWhenUsed/>
    <w:rsid w:val="00A723EE"/>
    <w:rPr>
      <w:sz w:val="20"/>
      <w:szCs w:val="20"/>
    </w:rPr>
  </w:style>
  <w:style w:type="character" w:customStyle="1" w:styleId="ae">
    <w:name w:val="טקסט הערה תו"/>
    <w:basedOn w:val="a0"/>
    <w:link w:val="ad"/>
    <w:uiPriority w:val="99"/>
    <w:semiHidden/>
    <w:rsid w:val="00A723EE"/>
    <w:rPr>
      <w:rFonts w:ascii="Times New Roman" w:eastAsia="Times New Roman" w:hAnsi="Times New Roman" w:cs="Times New Roman"/>
      <w:sz w:val="20"/>
      <w:szCs w:val="20"/>
    </w:rPr>
  </w:style>
  <w:style w:type="paragraph" w:styleId="af">
    <w:name w:val="annotation subject"/>
    <w:basedOn w:val="ad"/>
    <w:next w:val="ad"/>
    <w:link w:val="af0"/>
    <w:uiPriority w:val="99"/>
    <w:semiHidden/>
    <w:unhideWhenUsed/>
    <w:rsid w:val="00A723EE"/>
    <w:rPr>
      <w:b/>
      <w:bCs/>
    </w:rPr>
  </w:style>
  <w:style w:type="character" w:customStyle="1" w:styleId="af0">
    <w:name w:val="נושא הערה תו"/>
    <w:basedOn w:val="ae"/>
    <w:link w:val="af"/>
    <w:uiPriority w:val="99"/>
    <w:semiHidden/>
    <w:rsid w:val="00A723EE"/>
    <w:rPr>
      <w:rFonts w:ascii="Times New Roman" w:eastAsia="Times New Roman" w:hAnsi="Times New Roman" w:cs="Times New Roman"/>
      <w:b/>
      <w:bCs/>
      <w:sz w:val="20"/>
      <w:szCs w:val="20"/>
    </w:rPr>
  </w:style>
  <w:style w:type="paragraph" w:styleId="af1">
    <w:name w:val="Body Text"/>
    <w:basedOn w:val="a"/>
    <w:link w:val="af2"/>
    <w:rsid w:val="00AD64FB"/>
    <w:pPr>
      <w:jc w:val="both"/>
    </w:pPr>
    <w:rPr>
      <w:noProof/>
      <w:sz w:val="20"/>
      <w:szCs w:val="20"/>
      <w:lang w:val="x-none" w:eastAsia="he-IL"/>
    </w:rPr>
  </w:style>
  <w:style w:type="character" w:customStyle="1" w:styleId="af2">
    <w:name w:val="גוף טקסט תו"/>
    <w:basedOn w:val="a0"/>
    <w:link w:val="af1"/>
    <w:rsid w:val="00AD64FB"/>
    <w:rPr>
      <w:rFonts w:ascii="Times New Roman" w:eastAsia="Times New Roman" w:hAnsi="Times New Roman" w:cs="Times New Roman"/>
      <w:noProof/>
      <w:sz w:val="20"/>
      <w:szCs w:val="20"/>
      <w:lang w:val="x-none" w:eastAsia="he-IL"/>
    </w:rPr>
  </w:style>
  <w:style w:type="paragraph" w:customStyle="1" w:styleId="Ruller4">
    <w:name w:val="Ruller4"/>
    <w:basedOn w:val="a"/>
    <w:rsid w:val="000A4638"/>
    <w:pPr>
      <w:tabs>
        <w:tab w:val="left" w:pos="800"/>
      </w:tabs>
      <w:overflowPunct w:val="0"/>
      <w:autoSpaceDE w:val="0"/>
      <w:autoSpaceDN w:val="0"/>
      <w:adjustRightInd w:val="0"/>
      <w:spacing w:line="360" w:lineRule="auto"/>
      <w:jc w:val="both"/>
      <w:textAlignment w:val="baseline"/>
    </w:pPr>
    <w:rPr>
      <w:rFonts w:ascii="Arial TUR" w:hAnsi="Arial TUR" w:cs="FrankRuehl"/>
      <w:spacing w:val="1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7881">
      <w:bodyDiv w:val="1"/>
      <w:marLeft w:val="0"/>
      <w:marRight w:val="0"/>
      <w:marTop w:val="0"/>
      <w:marBottom w:val="0"/>
      <w:divBdr>
        <w:top w:val="none" w:sz="0" w:space="0" w:color="auto"/>
        <w:left w:val="none" w:sz="0" w:space="0" w:color="auto"/>
        <w:bottom w:val="none" w:sz="0" w:space="0" w:color="auto"/>
        <w:right w:val="none" w:sz="0" w:space="0" w:color="auto"/>
      </w:divBdr>
    </w:div>
    <w:div w:id="165907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6486</Words>
  <Characters>32433</Characters>
  <Application>Microsoft Office Word</Application>
  <DocSecurity>0</DocSecurity>
  <Lines>270</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38842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s6067226</dc:creator>
  <cp:keywords/>
  <dc:description/>
  <cp:lastModifiedBy>מאי משש - יבד"ץ 205/בית הדין לערעורים/משקי"ת משפט/</cp:lastModifiedBy>
  <cp:revision>4</cp:revision>
  <cp:lastPrinted>2020-08-31T12:54:00Z</cp:lastPrinted>
  <dcterms:created xsi:type="dcterms:W3CDTF">2024-03-10T09:45:00Z</dcterms:created>
  <dcterms:modified xsi:type="dcterms:W3CDTF">2024-03-10T09:45:00Z</dcterms:modified>
</cp:coreProperties>
</file>