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FF06" w14:textId="79A2A337" w:rsidR="00AB18A9" w:rsidRDefault="00AB18A9" w:rsidP="00AB18A9">
      <w:pPr>
        <w:tabs>
          <w:tab w:val="right" w:pos="6376"/>
        </w:tabs>
        <w:spacing w:line="480" w:lineRule="auto"/>
        <w:ind w:left="2600" w:right="1985"/>
        <w:rPr>
          <w:rFonts w:cs="Arial"/>
          <w:sz w:val="22"/>
          <w:szCs w:val="22"/>
        </w:rPr>
      </w:pPr>
      <w:r>
        <w:rPr>
          <w:noProof/>
        </w:rPr>
        <w:drawing>
          <wp:inline distT="0" distB="0" distL="0" distR="0" wp14:anchorId="770DB54F" wp14:editId="3885A1F2">
            <wp:extent cx="866140" cy="789940"/>
            <wp:effectExtent l="0" t="0" r="0" b="0"/>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789940"/>
                    </a:xfrm>
                    <a:prstGeom prst="rect">
                      <a:avLst/>
                    </a:prstGeom>
                    <a:solidFill>
                      <a:srgbClr val="FFCC00"/>
                    </a:solidFill>
                    <a:ln>
                      <a:noFill/>
                    </a:ln>
                  </pic:spPr>
                </pic:pic>
              </a:graphicData>
            </a:graphic>
          </wp:inline>
        </w:drawing>
      </w:r>
      <w:r>
        <w:tab/>
      </w:r>
      <w:r>
        <w:rPr>
          <w:noProof/>
        </w:rPr>
        <w:drawing>
          <wp:inline distT="0" distB="0" distL="0" distR="0" wp14:anchorId="63F19EA5" wp14:editId="6BB97796">
            <wp:extent cx="581660" cy="789940"/>
            <wp:effectExtent l="0" t="0" r="8890" b="0"/>
            <wp:docPr id="1" name="Picture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660" cy="789940"/>
                    </a:xfrm>
                    <a:prstGeom prst="rect">
                      <a:avLst/>
                    </a:prstGeom>
                    <a:noFill/>
                    <a:ln>
                      <a:noFill/>
                    </a:ln>
                  </pic:spPr>
                </pic:pic>
              </a:graphicData>
            </a:graphic>
          </wp:inline>
        </w:drawing>
      </w:r>
    </w:p>
    <w:p w14:paraId="315C7CCE" w14:textId="07B137DF" w:rsidR="00316260" w:rsidRDefault="00316260" w:rsidP="00316260">
      <w:pPr>
        <w:rPr>
          <w:rtl/>
        </w:rPr>
      </w:pPr>
    </w:p>
    <w:p w14:paraId="5170FC25" w14:textId="77777777" w:rsidR="00316260" w:rsidRPr="00FD2DDA" w:rsidRDefault="00316260" w:rsidP="00316260">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7686097B" w14:textId="4F2C88D1" w:rsidR="00316260" w:rsidRDefault="00316260" w:rsidP="00316260">
      <w:pPr>
        <w:spacing w:before="120" w:line="480" w:lineRule="auto"/>
        <w:rPr>
          <w:rFonts w:ascii="David" w:hAnsi="David"/>
          <w:rtl/>
        </w:rPr>
      </w:pPr>
      <w:r w:rsidRPr="00FD2DDA">
        <w:rPr>
          <w:rFonts w:ascii="David" w:hAnsi="David" w:hint="cs"/>
          <w:rtl/>
        </w:rPr>
        <w:t>בפני:</w:t>
      </w:r>
    </w:p>
    <w:p w14:paraId="7A8990C4" w14:textId="77777777" w:rsidR="00316260" w:rsidRPr="00FD2DDA" w:rsidRDefault="00316260" w:rsidP="00316260">
      <w:pPr>
        <w:spacing w:before="120" w:line="480" w:lineRule="auto"/>
        <w:rPr>
          <w:rFonts w:ascii="David" w:hAnsi="David"/>
          <w:rtl/>
        </w:rPr>
      </w:pPr>
    </w:p>
    <w:p w14:paraId="0F269F0F" w14:textId="77777777" w:rsidR="00316260" w:rsidRPr="00BB5867" w:rsidRDefault="00316260" w:rsidP="00316260">
      <w:pPr>
        <w:spacing w:line="240" w:lineRule="auto"/>
        <w:jc w:val="center"/>
        <w:rPr>
          <w:rtl/>
        </w:rPr>
      </w:pPr>
      <w:r w:rsidRPr="00ED4EF3">
        <w:rPr>
          <w:rFonts w:hint="cs"/>
          <w:b/>
          <w:bCs/>
          <w:rtl/>
        </w:rPr>
        <w:t>אל"ם מאיה גולדשמידט</w:t>
      </w:r>
      <w:r>
        <w:rPr>
          <w:rFonts w:hint="cs"/>
          <w:rtl/>
        </w:rPr>
        <w:t xml:space="preserve">    -   שופטת</w:t>
      </w:r>
    </w:p>
    <w:p w14:paraId="57B0C12A" w14:textId="0A839D0D" w:rsidR="00316260" w:rsidRDefault="00316260" w:rsidP="00316260">
      <w:pPr>
        <w:rPr>
          <w:rFonts w:ascii="David" w:hAnsi="David"/>
          <w:rtl/>
        </w:rPr>
      </w:pPr>
      <w:r w:rsidRPr="00FD2DDA">
        <w:rPr>
          <w:rFonts w:ascii="David" w:hAnsi="David" w:hint="cs"/>
          <w:rtl/>
        </w:rPr>
        <w:t>בעניין:</w:t>
      </w:r>
    </w:p>
    <w:p w14:paraId="762CBA49" w14:textId="54CABC71" w:rsidR="00316260" w:rsidRDefault="00316260" w:rsidP="001A2BD5">
      <w:pPr>
        <w:ind w:left="706"/>
        <w:rPr>
          <w:rFonts w:ascii="David" w:hAnsi="David"/>
          <w:rtl/>
        </w:rPr>
      </w:pPr>
    </w:p>
    <w:p w14:paraId="00AC2CDF" w14:textId="2F594F6E" w:rsidR="001A2BD5" w:rsidRDefault="001A2BD5" w:rsidP="001A2BD5">
      <w:pPr>
        <w:ind w:left="848"/>
        <w:jc w:val="left"/>
        <w:rPr>
          <w:rFonts w:ascii="David" w:hAnsi="David"/>
          <w:rtl/>
        </w:rPr>
      </w:pPr>
      <w:r>
        <w:rPr>
          <w:rFonts w:ascii="David" w:hAnsi="David" w:hint="cs"/>
          <w:rtl/>
        </w:rPr>
        <w:t>ח/</w:t>
      </w:r>
      <w:r>
        <w:rPr>
          <w:rFonts w:ascii="David" w:hAnsi="David" w:hint="cs"/>
        </w:rPr>
        <w:t>XXXXXXX</w:t>
      </w:r>
      <w:r>
        <w:rPr>
          <w:rFonts w:ascii="David" w:hAnsi="David" w:hint="cs"/>
          <w:rtl/>
        </w:rPr>
        <w:t xml:space="preserve"> </w:t>
      </w:r>
      <w:r w:rsidRPr="001A2BD5">
        <w:rPr>
          <w:rFonts w:ascii="David" w:hAnsi="David" w:hint="cs"/>
          <w:b/>
          <w:bCs/>
          <w:rtl/>
        </w:rPr>
        <w:t xml:space="preserve">סמל </w:t>
      </w:r>
      <w:r>
        <w:rPr>
          <w:rFonts w:ascii="David" w:hAnsi="David" w:hint="cs"/>
          <w:b/>
          <w:bCs/>
          <w:rtl/>
        </w:rPr>
        <w:t>מ'</w:t>
      </w:r>
      <w:r w:rsidRPr="001A2BD5">
        <w:rPr>
          <w:rFonts w:ascii="David" w:hAnsi="David" w:hint="cs"/>
          <w:b/>
          <w:bCs/>
          <w:rtl/>
        </w:rPr>
        <w:t xml:space="preserve"> </w:t>
      </w:r>
      <w:r>
        <w:rPr>
          <w:rFonts w:ascii="David" w:hAnsi="David" w:hint="cs"/>
          <w:b/>
          <w:bCs/>
          <w:rtl/>
        </w:rPr>
        <w:t>א'</w:t>
      </w:r>
      <w:r>
        <w:rPr>
          <w:rFonts w:ascii="David" w:hAnsi="David" w:hint="cs"/>
          <w:rtl/>
        </w:rPr>
        <w:t xml:space="preserve"> </w:t>
      </w:r>
      <w:r w:rsidRPr="00316260">
        <w:rPr>
          <w:rFonts w:ascii="David" w:hAnsi="David" w:hint="cs"/>
          <w:b/>
          <w:bCs/>
          <w:rtl/>
        </w:rPr>
        <w:t xml:space="preserve">– </w:t>
      </w:r>
      <w:r w:rsidRPr="00316260">
        <w:rPr>
          <w:rFonts w:ascii="David" w:hAnsi="David" w:hint="cs"/>
          <w:rtl/>
        </w:rPr>
        <w:t>המערער</w:t>
      </w:r>
      <w:r w:rsidRPr="00316260">
        <w:rPr>
          <w:rFonts w:ascii="David" w:hAnsi="David" w:hint="cs"/>
          <w:b/>
          <w:bCs/>
          <w:rtl/>
        </w:rPr>
        <w:t xml:space="preserve"> </w:t>
      </w:r>
      <w:r w:rsidRPr="00316260">
        <w:rPr>
          <w:rFonts w:ascii="David" w:hAnsi="David" w:hint="cs"/>
          <w:rtl/>
        </w:rPr>
        <w:t>1</w:t>
      </w:r>
      <w:r w:rsidRPr="00316260">
        <w:rPr>
          <w:rFonts w:ascii="David" w:hAnsi="David" w:hint="cs"/>
          <w:b/>
          <w:bCs/>
          <w:rtl/>
        </w:rPr>
        <w:t xml:space="preserve"> </w:t>
      </w:r>
      <w:r w:rsidRPr="00316260">
        <w:rPr>
          <w:rFonts w:ascii="David" w:hAnsi="David" w:hint="cs"/>
          <w:rtl/>
        </w:rPr>
        <w:t>(ע"י ב"כ,</w:t>
      </w:r>
      <w:r>
        <w:rPr>
          <w:rFonts w:ascii="David" w:hAnsi="David" w:hint="cs"/>
          <w:rtl/>
        </w:rPr>
        <w:t xml:space="preserve"> סרן רואי </w:t>
      </w:r>
      <w:proofErr w:type="spellStart"/>
      <w:r>
        <w:rPr>
          <w:rFonts w:ascii="David" w:hAnsi="David" w:hint="cs"/>
          <w:rtl/>
        </w:rPr>
        <w:t>מלינגר</w:t>
      </w:r>
      <w:proofErr w:type="spellEnd"/>
      <w:r w:rsidRPr="00316260">
        <w:rPr>
          <w:rFonts w:ascii="David" w:hAnsi="David" w:hint="cs"/>
          <w:rtl/>
        </w:rPr>
        <w:t>)</w:t>
      </w:r>
    </w:p>
    <w:p w14:paraId="5031932F" w14:textId="2F92B080" w:rsidR="001A2BD5" w:rsidRDefault="001A2BD5" w:rsidP="001A2BD5">
      <w:pPr>
        <w:ind w:left="848"/>
        <w:jc w:val="left"/>
        <w:rPr>
          <w:rFonts w:ascii="David" w:hAnsi="David"/>
          <w:rtl/>
        </w:rPr>
      </w:pPr>
      <w:r w:rsidRPr="001A2BD5">
        <w:rPr>
          <w:rFonts w:ascii="David" w:hAnsi="David"/>
          <w:rtl/>
        </w:rPr>
        <w:t>ח/</w:t>
      </w:r>
      <w:r>
        <w:rPr>
          <w:rFonts w:ascii="David" w:hAnsi="David" w:hint="cs"/>
        </w:rPr>
        <w:t>XXXXXXX</w:t>
      </w:r>
      <w:r w:rsidRPr="001A2BD5">
        <w:rPr>
          <w:rFonts w:ascii="David" w:hAnsi="David"/>
          <w:rtl/>
        </w:rPr>
        <w:t xml:space="preserve"> </w:t>
      </w:r>
      <w:r w:rsidRPr="001A2BD5">
        <w:rPr>
          <w:rFonts w:ascii="David" w:hAnsi="David"/>
          <w:b/>
          <w:bCs/>
          <w:rtl/>
        </w:rPr>
        <w:t xml:space="preserve">סמל </w:t>
      </w:r>
      <w:r>
        <w:rPr>
          <w:rFonts w:ascii="David" w:hAnsi="David" w:hint="cs"/>
          <w:b/>
          <w:bCs/>
          <w:rtl/>
        </w:rPr>
        <w:t>נ'</w:t>
      </w:r>
      <w:r w:rsidRPr="001A2BD5">
        <w:rPr>
          <w:rFonts w:ascii="David" w:hAnsi="David"/>
          <w:b/>
          <w:bCs/>
          <w:rtl/>
        </w:rPr>
        <w:t xml:space="preserve"> </w:t>
      </w:r>
      <w:r>
        <w:rPr>
          <w:rFonts w:ascii="David" w:hAnsi="David" w:hint="cs"/>
          <w:b/>
          <w:bCs/>
          <w:rtl/>
        </w:rPr>
        <w:t>א'</w:t>
      </w:r>
      <w:r w:rsidRPr="001A2BD5">
        <w:rPr>
          <w:rFonts w:ascii="David" w:hAnsi="David"/>
          <w:rtl/>
        </w:rPr>
        <w:t xml:space="preserve"> – המערער 2 (ע"י ב"כ, סגן עדן שאקי)</w:t>
      </w:r>
    </w:p>
    <w:p w14:paraId="500FBF32" w14:textId="43A8ABDC" w:rsidR="001A2BD5" w:rsidRPr="001A2BD5" w:rsidRDefault="001A2BD5" w:rsidP="001A2BD5">
      <w:pPr>
        <w:ind w:left="848"/>
        <w:jc w:val="left"/>
        <w:rPr>
          <w:rFonts w:ascii="David" w:hAnsi="David"/>
        </w:rPr>
      </w:pPr>
      <w:r w:rsidRPr="001A2BD5">
        <w:rPr>
          <w:rFonts w:ascii="David" w:hAnsi="David"/>
          <w:rtl/>
        </w:rPr>
        <w:t>ח/</w:t>
      </w:r>
      <w:r>
        <w:rPr>
          <w:rFonts w:ascii="David" w:hAnsi="David" w:hint="cs"/>
        </w:rPr>
        <w:t>XXXXXXX</w:t>
      </w:r>
      <w:r w:rsidRPr="001A2BD5">
        <w:rPr>
          <w:rFonts w:ascii="David" w:hAnsi="David"/>
          <w:rtl/>
        </w:rPr>
        <w:t xml:space="preserve"> </w:t>
      </w:r>
      <w:r w:rsidRPr="001A2BD5">
        <w:rPr>
          <w:rFonts w:ascii="David" w:hAnsi="David"/>
          <w:b/>
          <w:bCs/>
          <w:rtl/>
        </w:rPr>
        <w:t xml:space="preserve">טוראי </w:t>
      </w:r>
      <w:r>
        <w:rPr>
          <w:rFonts w:ascii="David" w:hAnsi="David" w:hint="cs"/>
          <w:b/>
          <w:bCs/>
          <w:rtl/>
        </w:rPr>
        <w:t>ע'</w:t>
      </w:r>
      <w:r w:rsidRPr="001A2BD5">
        <w:rPr>
          <w:rFonts w:ascii="David" w:hAnsi="David"/>
          <w:b/>
          <w:bCs/>
          <w:rtl/>
        </w:rPr>
        <w:t xml:space="preserve"> </w:t>
      </w:r>
      <w:r>
        <w:rPr>
          <w:rFonts w:ascii="David" w:hAnsi="David" w:hint="cs"/>
          <w:b/>
          <w:bCs/>
          <w:rtl/>
        </w:rPr>
        <w:t>ב'</w:t>
      </w:r>
      <w:r w:rsidRPr="001A2BD5">
        <w:rPr>
          <w:rFonts w:ascii="David" w:hAnsi="David"/>
          <w:b/>
          <w:bCs/>
          <w:rtl/>
        </w:rPr>
        <w:t xml:space="preserve"> </w:t>
      </w:r>
      <w:r>
        <w:rPr>
          <w:rFonts w:ascii="David" w:hAnsi="David" w:hint="cs"/>
          <w:b/>
          <w:bCs/>
          <w:rtl/>
        </w:rPr>
        <w:t>ע'</w:t>
      </w:r>
      <w:r w:rsidRPr="001A2BD5">
        <w:rPr>
          <w:rFonts w:ascii="David" w:hAnsi="David"/>
          <w:rtl/>
        </w:rPr>
        <w:t xml:space="preserve"> – המערער 3 (ע"י ב"כ, סגן מישל </w:t>
      </w:r>
      <w:proofErr w:type="spellStart"/>
      <w:r w:rsidRPr="001A2BD5">
        <w:rPr>
          <w:rFonts w:ascii="David" w:hAnsi="David"/>
          <w:rtl/>
        </w:rPr>
        <w:t>צ'רניחובסקי</w:t>
      </w:r>
      <w:proofErr w:type="spellEnd"/>
      <w:r w:rsidRPr="001A2BD5">
        <w:rPr>
          <w:rFonts w:ascii="David" w:hAnsi="David"/>
          <w:rtl/>
        </w:rPr>
        <w:t>)</w:t>
      </w:r>
    </w:p>
    <w:p w14:paraId="33EB8093" w14:textId="4C016D02" w:rsidR="001A2BD5" w:rsidRPr="001A2BD5" w:rsidRDefault="001A2BD5" w:rsidP="001A2BD5">
      <w:pPr>
        <w:ind w:left="848"/>
        <w:jc w:val="left"/>
        <w:rPr>
          <w:rFonts w:ascii="David" w:hAnsi="David" w:hint="cs"/>
          <w:rtl/>
        </w:rPr>
      </w:pPr>
      <w:r w:rsidRPr="001A2BD5">
        <w:rPr>
          <w:rFonts w:ascii="David" w:hAnsi="David"/>
          <w:rtl/>
        </w:rPr>
        <w:t>ח/</w:t>
      </w:r>
      <w:r>
        <w:rPr>
          <w:rFonts w:ascii="David" w:hAnsi="David" w:hint="cs"/>
        </w:rPr>
        <w:t>XXXXXXX</w:t>
      </w:r>
      <w:r w:rsidRPr="001A2BD5">
        <w:rPr>
          <w:rFonts w:ascii="David" w:hAnsi="David"/>
          <w:rtl/>
        </w:rPr>
        <w:t xml:space="preserve"> </w:t>
      </w:r>
      <w:r w:rsidRPr="001A2BD5">
        <w:rPr>
          <w:rFonts w:ascii="David" w:hAnsi="David"/>
          <w:b/>
          <w:bCs/>
          <w:rtl/>
        </w:rPr>
        <w:t xml:space="preserve">סמ"ר </w:t>
      </w:r>
      <w:r>
        <w:rPr>
          <w:rFonts w:ascii="David" w:hAnsi="David" w:hint="cs"/>
          <w:b/>
          <w:bCs/>
          <w:rtl/>
        </w:rPr>
        <w:t>ת'</w:t>
      </w:r>
      <w:r w:rsidRPr="001A2BD5">
        <w:rPr>
          <w:rFonts w:ascii="David" w:hAnsi="David"/>
          <w:b/>
          <w:bCs/>
          <w:rtl/>
        </w:rPr>
        <w:t xml:space="preserve"> </w:t>
      </w:r>
      <w:r>
        <w:rPr>
          <w:rFonts w:ascii="David" w:hAnsi="David" w:hint="cs"/>
          <w:b/>
          <w:bCs/>
          <w:rtl/>
        </w:rPr>
        <w:t>נ'</w:t>
      </w:r>
      <w:r w:rsidRPr="001A2BD5">
        <w:rPr>
          <w:rFonts w:ascii="David" w:hAnsi="David"/>
          <w:rtl/>
        </w:rPr>
        <w:t xml:space="preserve"> – המערער 4 (ע"י ב"כ, עו"ד גיא אשכנזי)</w:t>
      </w:r>
    </w:p>
    <w:p w14:paraId="0621F46A" w14:textId="77777777" w:rsidR="00316260" w:rsidRPr="00316260" w:rsidRDefault="00316260" w:rsidP="001A2BD5">
      <w:pPr>
        <w:bidi w:val="0"/>
        <w:ind w:left="848" w:right="848"/>
        <w:jc w:val="center"/>
        <w:rPr>
          <w:rFonts w:ascii="David" w:hAnsi="David"/>
          <w:b/>
          <w:bCs/>
          <w:rtl/>
        </w:rPr>
      </w:pPr>
    </w:p>
    <w:p w14:paraId="17CFEFA6" w14:textId="41199D59" w:rsidR="00316260" w:rsidRDefault="00316260" w:rsidP="00316260">
      <w:pPr>
        <w:spacing w:after="360"/>
        <w:jc w:val="center"/>
        <w:rPr>
          <w:rFonts w:ascii="David" w:hAnsi="David"/>
          <w:b/>
          <w:bCs/>
          <w:rtl/>
        </w:rPr>
      </w:pPr>
      <w:r w:rsidRPr="00FD2DDA">
        <w:rPr>
          <w:rFonts w:ascii="David" w:hAnsi="David" w:hint="cs"/>
          <w:b/>
          <w:bCs/>
          <w:rtl/>
        </w:rPr>
        <w:t xml:space="preserve">נ ג ד </w:t>
      </w:r>
    </w:p>
    <w:p w14:paraId="1F29618A" w14:textId="2D0CB394" w:rsidR="00316260" w:rsidRPr="00FD2DDA" w:rsidRDefault="00316260" w:rsidP="00316260">
      <w:pPr>
        <w:spacing w:after="120"/>
        <w:jc w:val="center"/>
        <w:rPr>
          <w:rFonts w:ascii="David" w:hAnsi="David"/>
          <w:rtl/>
        </w:rPr>
      </w:pPr>
      <w:r>
        <w:rPr>
          <w:rFonts w:hint="cs"/>
          <w:b/>
          <w:bCs/>
          <w:sz w:val="32"/>
          <w:rtl/>
        </w:rPr>
        <w:t xml:space="preserve">התובע הצבאי הראשי </w:t>
      </w:r>
      <w:r w:rsidRPr="00FD2DDA">
        <w:rPr>
          <w:rFonts w:ascii="David" w:hAnsi="David" w:hint="cs"/>
          <w:b/>
          <w:bCs/>
          <w:rtl/>
        </w:rPr>
        <w:t xml:space="preserve"> –</w:t>
      </w:r>
      <w:r w:rsidRPr="00FD2DDA">
        <w:rPr>
          <w:rFonts w:ascii="David" w:hAnsi="David" w:hint="cs"/>
          <w:rtl/>
        </w:rPr>
        <w:t xml:space="preserve"> המשיב (ע"י ב"כ,</w:t>
      </w:r>
      <w:r w:rsidR="005649B5">
        <w:rPr>
          <w:rFonts w:ascii="David" w:hAnsi="David" w:hint="cs"/>
          <w:rtl/>
        </w:rPr>
        <w:t xml:space="preserve"> סרן שני שחר; סגן ד</w:t>
      </w:r>
      <w:r w:rsidR="0038393E">
        <w:rPr>
          <w:rFonts w:ascii="David" w:hAnsi="David" w:hint="cs"/>
          <w:rtl/>
        </w:rPr>
        <w:t>י</w:t>
      </w:r>
      <w:r w:rsidR="005649B5">
        <w:rPr>
          <w:rFonts w:ascii="David" w:hAnsi="David" w:hint="cs"/>
          <w:rtl/>
        </w:rPr>
        <w:t xml:space="preserve">וויד </w:t>
      </w:r>
      <w:proofErr w:type="spellStart"/>
      <w:r w:rsidR="005649B5">
        <w:rPr>
          <w:rFonts w:ascii="David" w:hAnsi="David" w:hint="cs"/>
          <w:rtl/>
        </w:rPr>
        <w:t>סמולר</w:t>
      </w:r>
      <w:proofErr w:type="spellEnd"/>
      <w:r w:rsidRPr="00FD2DDA">
        <w:rPr>
          <w:rFonts w:ascii="David" w:hAnsi="David" w:hint="cs"/>
          <w:rtl/>
        </w:rPr>
        <w:t>)</w:t>
      </w:r>
    </w:p>
    <w:p w14:paraId="118FA162" w14:textId="77777777" w:rsidR="00316260" w:rsidRPr="00FD2DDA" w:rsidRDefault="00316260" w:rsidP="00316260">
      <w:pPr>
        <w:spacing w:after="360"/>
        <w:rPr>
          <w:rFonts w:ascii="David" w:hAnsi="David"/>
          <w:b/>
          <w:bCs/>
          <w:u w:val="single"/>
          <w:rtl/>
        </w:rPr>
      </w:pPr>
    </w:p>
    <w:p w14:paraId="34B92720" w14:textId="2876FD56" w:rsidR="00316260" w:rsidRDefault="00316260" w:rsidP="00316260">
      <w:pPr>
        <w:rPr>
          <w:rtl/>
        </w:rPr>
      </w:pPr>
      <w:r w:rsidRPr="00FD2DDA">
        <w:rPr>
          <w:rFonts w:ascii="David" w:hAnsi="David" w:hint="cs"/>
          <w:rtl/>
        </w:rPr>
        <w:t>ערעור</w:t>
      </w:r>
      <w:r w:rsidR="005649B5">
        <w:rPr>
          <w:rFonts w:ascii="David" w:hAnsi="David" w:hint="cs"/>
          <w:rtl/>
        </w:rPr>
        <w:t>ים</w:t>
      </w:r>
      <w:r w:rsidRPr="00FD2DDA">
        <w:rPr>
          <w:rFonts w:ascii="David" w:hAnsi="David" w:hint="cs"/>
          <w:rtl/>
        </w:rPr>
        <w:t xml:space="preserve"> על </w:t>
      </w:r>
      <w:r>
        <w:rPr>
          <w:rFonts w:ascii="David" w:hAnsi="David" w:hint="cs"/>
          <w:rtl/>
        </w:rPr>
        <w:t>החלט</w:t>
      </w:r>
      <w:r w:rsidR="005649B5">
        <w:rPr>
          <w:rFonts w:ascii="David" w:hAnsi="David" w:hint="cs"/>
          <w:rtl/>
        </w:rPr>
        <w:t xml:space="preserve">ות </w:t>
      </w:r>
      <w:r w:rsidRPr="00FD2DDA">
        <w:rPr>
          <w:rFonts w:ascii="David" w:hAnsi="David" w:hint="cs"/>
          <w:rtl/>
        </w:rPr>
        <w:t xml:space="preserve">של בית הדין הצבאי המחוזי במחוז שיפוטי </w:t>
      </w:r>
      <w:r w:rsidR="005D50C8">
        <w:rPr>
          <w:rFonts w:ascii="David" w:hAnsi="David" w:hint="cs"/>
          <w:rtl/>
        </w:rPr>
        <w:t>הצפון</w:t>
      </w:r>
      <w:r w:rsidRPr="00FD2DDA">
        <w:rPr>
          <w:rFonts w:ascii="David" w:hAnsi="David" w:hint="cs"/>
          <w:rtl/>
        </w:rPr>
        <w:t xml:space="preserve"> </w:t>
      </w:r>
      <w:r w:rsidR="006F1369">
        <w:rPr>
          <w:rFonts w:ascii="David" w:hAnsi="David" w:hint="cs"/>
          <w:rtl/>
        </w:rPr>
        <w:t>שניתנו</w:t>
      </w:r>
      <w:r w:rsidRPr="00FD2DDA">
        <w:rPr>
          <w:rFonts w:ascii="David" w:hAnsi="David" w:hint="cs"/>
          <w:rtl/>
        </w:rPr>
        <w:t xml:space="preserve"> בתיק</w:t>
      </w:r>
      <w:r w:rsidR="00DE4929">
        <w:rPr>
          <w:rFonts w:ascii="David" w:hAnsi="David" w:hint="cs"/>
          <w:rtl/>
        </w:rPr>
        <w:t>י</w:t>
      </w:r>
      <w:r w:rsidRPr="00FD2DDA">
        <w:rPr>
          <w:rFonts w:ascii="David" w:hAnsi="David" w:hint="cs"/>
          <w:rtl/>
        </w:rPr>
        <w:t xml:space="preserve"> </w:t>
      </w:r>
      <w:r w:rsidR="005D50C8">
        <w:rPr>
          <w:rFonts w:ascii="David" w:hAnsi="David" w:hint="cs"/>
          <w:rtl/>
        </w:rPr>
        <w:t>צפון</w:t>
      </w:r>
      <w:r w:rsidRPr="00FD2DDA">
        <w:rPr>
          <w:rFonts w:ascii="David" w:hAnsi="David" w:hint="cs"/>
          <w:rtl/>
        </w:rPr>
        <w:t xml:space="preserve"> </w:t>
      </w:r>
      <w:r w:rsidRPr="00FE7B6F">
        <w:rPr>
          <w:rFonts w:ascii="David" w:hAnsi="David" w:hint="cs"/>
          <w:rtl/>
        </w:rPr>
        <w:t>(</w:t>
      </w:r>
      <w:r w:rsidR="00DE4929">
        <w:rPr>
          <w:rFonts w:ascii="David" w:hAnsi="David" w:hint="cs"/>
          <w:rtl/>
        </w:rPr>
        <w:t>מעצרים</w:t>
      </w:r>
      <w:r w:rsidRPr="00FE7B6F">
        <w:rPr>
          <w:rFonts w:ascii="David" w:hAnsi="David" w:hint="cs"/>
          <w:rtl/>
        </w:rPr>
        <w:t xml:space="preserve">) </w:t>
      </w:r>
      <w:r w:rsidR="00E50EF2">
        <w:rPr>
          <w:rFonts w:ascii="David" w:hAnsi="David" w:hint="cs"/>
          <w:rtl/>
        </w:rPr>
        <w:t>82,85,87,88/23</w:t>
      </w:r>
      <w:r w:rsidRPr="00FE7B6F">
        <w:rPr>
          <w:rFonts w:ascii="David" w:hAnsi="David" w:hint="cs"/>
          <w:rtl/>
        </w:rPr>
        <w:t xml:space="preserve"> (סא"ל </w:t>
      </w:r>
      <w:r w:rsidR="005D50C8">
        <w:rPr>
          <w:rFonts w:ascii="David" w:hAnsi="David" w:hint="cs"/>
          <w:rtl/>
        </w:rPr>
        <w:t xml:space="preserve">טובי הארט </w:t>
      </w:r>
      <w:r w:rsidR="005D50C8">
        <w:rPr>
          <w:rFonts w:ascii="David" w:hAnsi="David"/>
          <w:rtl/>
        </w:rPr>
        <w:t>–</w:t>
      </w:r>
      <w:r w:rsidR="005D50C8">
        <w:rPr>
          <w:rFonts w:ascii="David" w:hAnsi="David" w:hint="cs"/>
          <w:rtl/>
        </w:rPr>
        <w:t xml:space="preserve"> </w:t>
      </w:r>
      <w:r w:rsidR="005649B5">
        <w:rPr>
          <w:rFonts w:ascii="David" w:hAnsi="David" w:hint="cs"/>
          <w:rtl/>
        </w:rPr>
        <w:t>שופט</w:t>
      </w:r>
      <w:r w:rsidRPr="00FE7B6F">
        <w:rPr>
          <w:rFonts w:ascii="David" w:hAnsi="David" w:hint="cs"/>
          <w:rtl/>
        </w:rPr>
        <w:t xml:space="preserve">) ביום </w:t>
      </w:r>
      <w:r w:rsidR="005D50C8">
        <w:rPr>
          <w:rFonts w:ascii="David" w:hAnsi="David" w:hint="cs"/>
          <w:rtl/>
        </w:rPr>
        <w:t>14</w:t>
      </w:r>
      <w:r w:rsidRPr="00FE7B6F">
        <w:rPr>
          <w:rFonts w:ascii="David" w:hAnsi="David" w:hint="cs"/>
          <w:rtl/>
        </w:rPr>
        <w:t>.</w:t>
      </w:r>
      <w:r w:rsidR="005D50C8">
        <w:rPr>
          <w:rFonts w:ascii="David" w:hAnsi="David" w:hint="cs"/>
          <w:rtl/>
        </w:rPr>
        <w:t>6</w:t>
      </w:r>
      <w:r w:rsidRPr="00FE7B6F">
        <w:rPr>
          <w:rFonts w:ascii="David" w:hAnsi="David" w:hint="cs"/>
          <w:rtl/>
        </w:rPr>
        <w:t>.</w:t>
      </w:r>
      <w:r w:rsidR="005D50C8">
        <w:rPr>
          <w:rFonts w:ascii="David" w:hAnsi="David" w:hint="cs"/>
          <w:rtl/>
        </w:rPr>
        <w:t>2023</w:t>
      </w:r>
      <w:r w:rsidRPr="00FE7B6F">
        <w:rPr>
          <w:rFonts w:ascii="David" w:hAnsi="David" w:hint="cs"/>
          <w:rtl/>
        </w:rPr>
        <w:t xml:space="preserve">. </w:t>
      </w:r>
      <w:r>
        <w:rPr>
          <w:rFonts w:ascii="David" w:hAnsi="David" w:hint="cs"/>
          <w:rtl/>
        </w:rPr>
        <w:t>ה</w:t>
      </w:r>
      <w:r w:rsidRPr="00FE7B6F">
        <w:rPr>
          <w:rFonts w:ascii="David" w:hAnsi="David" w:hint="cs"/>
          <w:rtl/>
        </w:rPr>
        <w:t>ערעור</w:t>
      </w:r>
      <w:r w:rsidR="005649B5">
        <w:rPr>
          <w:rFonts w:ascii="David" w:hAnsi="David" w:hint="cs"/>
          <w:rtl/>
        </w:rPr>
        <w:t>ים</w:t>
      </w:r>
      <w:r w:rsidRPr="00FE7B6F">
        <w:rPr>
          <w:rFonts w:ascii="David" w:hAnsi="David" w:hint="cs"/>
          <w:rtl/>
        </w:rPr>
        <w:t xml:space="preserve"> </w:t>
      </w:r>
      <w:r w:rsidR="005D50C8">
        <w:rPr>
          <w:rFonts w:ascii="David" w:hAnsi="David" w:hint="cs"/>
          <w:rtl/>
        </w:rPr>
        <w:t>נדח</w:t>
      </w:r>
      <w:r w:rsidR="005649B5">
        <w:rPr>
          <w:rFonts w:ascii="David" w:hAnsi="David" w:hint="cs"/>
          <w:rtl/>
        </w:rPr>
        <w:t>ו</w:t>
      </w:r>
      <w:r w:rsidR="005D50C8">
        <w:rPr>
          <w:rFonts w:ascii="David" w:hAnsi="David" w:hint="cs"/>
          <w:rtl/>
        </w:rPr>
        <w:t>.</w:t>
      </w:r>
    </w:p>
    <w:p w14:paraId="3E4D211F" w14:textId="77777777" w:rsidR="00316260" w:rsidRPr="00B64A67" w:rsidRDefault="00316260" w:rsidP="00316260"/>
    <w:p w14:paraId="17FA1732" w14:textId="77777777" w:rsidR="005D50C8" w:rsidRDefault="005D50C8" w:rsidP="00316260">
      <w:pPr>
        <w:tabs>
          <w:tab w:val="left" w:pos="226"/>
        </w:tabs>
        <w:jc w:val="center"/>
        <w:rPr>
          <w:b/>
          <w:bCs/>
          <w:u w:val="single"/>
          <w:rtl/>
        </w:rPr>
      </w:pPr>
    </w:p>
    <w:p w14:paraId="442CB996" w14:textId="7B2D67F5" w:rsidR="00316260" w:rsidRDefault="00316260" w:rsidP="00316260">
      <w:pPr>
        <w:tabs>
          <w:tab w:val="left" w:pos="226"/>
        </w:tabs>
        <w:jc w:val="center"/>
        <w:rPr>
          <w:b/>
          <w:bCs/>
          <w:u w:val="single"/>
          <w:rtl/>
        </w:rPr>
      </w:pPr>
      <w:r w:rsidRPr="00B85787">
        <w:rPr>
          <w:rFonts w:hint="cs"/>
          <w:b/>
          <w:bCs/>
          <w:u w:val="single"/>
          <w:rtl/>
        </w:rPr>
        <w:t>ה</w:t>
      </w:r>
      <w:r w:rsidR="005D50C8">
        <w:rPr>
          <w:rFonts w:hint="cs"/>
          <w:b/>
          <w:bCs/>
          <w:u w:val="single"/>
          <w:rtl/>
        </w:rPr>
        <w:t xml:space="preserve"> </w:t>
      </w:r>
      <w:r w:rsidRPr="00B85787">
        <w:rPr>
          <w:rFonts w:hint="cs"/>
          <w:b/>
          <w:bCs/>
          <w:u w:val="single"/>
          <w:rtl/>
        </w:rPr>
        <w:t>ח</w:t>
      </w:r>
      <w:r w:rsidR="005D50C8">
        <w:rPr>
          <w:rFonts w:hint="cs"/>
          <w:b/>
          <w:bCs/>
          <w:u w:val="single"/>
          <w:rtl/>
        </w:rPr>
        <w:t xml:space="preserve"> </w:t>
      </w:r>
      <w:r w:rsidRPr="00B85787">
        <w:rPr>
          <w:rFonts w:hint="cs"/>
          <w:b/>
          <w:bCs/>
          <w:u w:val="single"/>
          <w:rtl/>
        </w:rPr>
        <w:t>ל</w:t>
      </w:r>
      <w:r w:rsidR="005D50C8">
        <w:rPr>
          <w:rFonts w:hint="cs"/>
          <w:b/>
          <w:bCs/>
          <w:u w:val="single"/>
          <w:rtl/>
        </w:rPr>
        <w:t xml:space="preserve"> </w:t>
      </w:r>
      <w:r w:rsidRPr="00B85787">
        <w:rPr>
          <w:rFonts w:hint="cs"/>
          <w:b/>
          <w:bCs/>
          <w:u w:val="single"/>
          <w:rtl/>
        </w:rPr>
        <w:t>ט</w:t>
      </w:r>
      <w:r w:rsidR="005D50C8">
        <w:rPr>
          <w:rFonts w:hint="cs"/>
          <w:b/>
          <w:bCs/>
          <w:u w:val="single"/>
          <w:rtl/>
        </w:rPr>
        <w:t xml:space="preserve"> </w:t>
      </w:r>
      <w:r w:rsidRPr="00B85787">
        <w:rPr>
          <w:rFonts w:hint="cs"/>
          <w:b/>
          <w:bCs/>
          <w:u w:val="single"/>
          <w:rtl/>
        </w:rPr>
        <w:t>ה</w:t>
      </w:r>
    </w:p>
    <w:p w14:paraId="02D885AA" w14:textId="77777777" w:rsidR="00316260" w:rsidRPr="00B85787" w:rsidRDefault="00316260" w:rsidP="00316260">
      <w:pPr>
        <w:tabs>
          <w:tab w:val="left" w:pos="226"/>
        </w:tabs>
        <w:rPr>
          <w:b/>
          <w:bCs/>
          <w:u w:val="single"/>
          <w:rtl/>
        </w:rPr>
      </w:pPr>
    </w:p>
    <w:p w14:paraId="478C79E3" w14:textId="04577F0E" w:rsidR="00316260" w:rsidRDefault="005649B5" w:rsidP="00316260">
      <w:pPr>
        <w:pStyle w:val="ListParagraph"/>
        <w:tabs>
          <w:tab w:val="left" w:pos="226"/>
        </w:tabs>
        <w:ind w:left="-58"/>
        <w:rPr>
          <w:rtl/>
        </w:rPr>
      </w:pPr>
      <w:r>
        <w:rPr>
          <w:rFonts w:hint="cs"/>
          <w:rtl/>
        </w:rPr>
        <w:t>1.</w:t>
      </w:r>
      <w:r w:rsidR="00F01C67">
        <w:rPr>
          <w:rFonts w:hint="cs"/>
          <w:rtl/>
        </w:rPr>
        <w:t xml:space="preserve"> </w:t>
      </w:r>
      <w:r w:rsidR="00316260">
        <w:rPr>
          <w:rFonts w:hint="cs"/>
          <w:rtl/>
        </w:rPr>
        <w:t>לאחר שמיעת טיעוני הצדדים ועיון בחומר החקירה לא מצאתי להתערב בהחלטות בית הדין קמא. הערעורים נדחים אפוא. ההחלטה ניתנת בשלב זה ללא נימוקים על מנת שלא לעכב את המערערים במתחם ועל מנת שלא לעכב את המשך פעולות החקירה. הנימוקים יינתנו בהמשך היום ויועברו לצדדים.</w:t>
      </w:r>
    </w:p>
    <w:p w14:paraId="732CDCF8" w14:textId="45AC611D" w:rsidR="00316260" w:rsidRDefault="005649B5" w:rsidP="00316260">
      <w:pPr>
        <w:pStyle w:val="ListParagraph"/>
        <w:tabs>
          <w:tab w:val="left" w:pos="226"/>
        </w:tabs>
        <w:ind w:left="-58"/>
        <w:rPr>
          <w:rtl/>
        </w:rPr>
      </w:pPr>
      <w:r>
        <w:rPr>
          <w:rFonts w:hint="cs"/>
          <w:rtl/>
        </w:rPr>
        <w:lastRenderedPageBreak/>
        <w:t>2.</w:t>
      </w:r>
      <w:r w:rsidR="00F01C67">
        <w:rPr>
          <w:rFonts w:hint="cs"/>
          <w:rtl/>
        </w:rPr>
        <w:t xml:space="preserve"> </w:t>
      </w:r>
      <w:r w:rsidR="00316260">
        <w:rPr>
          <w:rFonts w:hint="cs"/>
          <w:rtl/>
        </w:rPr>
        <w:t>נטען על ידי באי כוח המערערים כי הם הובאו היום לדיון בערעור מבלי שניתנה להם ארוחת בוקר במתקן הכליאה או לאחר הגעתם למתחם בית הדין.</w:t>
      </w:r>
    </w:p>
    <w:p w14:paraId="1B260F55" w14:textId="5664F468" w:rsidR="00316260" w:rsidRDefault="005649B5" w:rsidP="00316260">
      <w:pPr>
        <w:pStyle w:val="ListParagraph"/>
        <w:tabs>
          <w:tab w:val="left" w:pos="226"/>
        </w:tabs>
        <w:ind w:left="-58"/>
        <w:rPr>
          <w:rtl/>
        </w:rPr>
      </w:pPr>
      <w:r>
        <w:rPr>
          <w:rFonts w:hint="cs"/>
          <w:rtl/>
        </w:rPr>
        <w:t>3.</w:t>
      </w:r>
      <w:r w:rsidR="00F01C67">
        <w:rPr>
          <w:rFonts w:hint="cs"/>
          <w:rtl/>
        </w:rPr>
        <w:t xml:space="preserve"> </w:t>
      </w:r>
      <w:r w:rsidR="00316260">
        <w:rPr>
          <w:rFonts w:hint="cs"/>
          <w:rtl/>
        </w:rPr>
        <w:t>קצין בית הדין יערוך בירור בעניין זה אל מול גורמי הכליאה ויש לוודא כי המערערים יקבלו מזון כנדרש.</w:t>
      </w:r>
    </w:p>
    <w:p w14:paraId="1E26DF76" w14:textId="77777777" w:rsidR="00316260" w:rsidRDefault="00316260" w:rsidP="00316260">
      <w:pPr>
        <w:tabs>
          <w:tab w:val="left" w:pos="226"/>
        </w:tabs>
        <w:rPr>
          <w:rtl/>
        </w:rPr>
      </w:pPr>
    </w:p>
    <w:p w14:paraId="54577274" w14:textId="14C432F6" w:rsidR="00316260" w:rsidRDefault="00316260" w:rsidP="00316260">
      <w:pPr>
        <w:pStyle w:val="ListParagraph"/>
        <w:tabs>
          <w:tab w:val="left" w:pos="226"/>
        </w:tabs>
        <w:ind w:left="-58"/>
        <w:rPr>
          <w:rtl/>
        </w:rPr>
      </w:pPr>
      <w:r w:rsidRPr="003C7A3E">
        <w:rPr>
          <w:rFonts w:hint="cs"/>
          <w:rtl/>
        </w:rPr>
        <w:t>ניתנה היום,</w:t>
      </w:r>
      <w:r>
        <w:rPr>
          <w:rFonts w:hint="cs"/>
          <w:rtl/>
        </w:rPr>
        <w:t xml:space="preserve"> כ"ו בסיוון </w:t>
      </w:r>
      <w:proofErr w:type="spellStart"/>
      <w:r w:rsidRPr="003C7A3E">
        <w:rPr>
          <w:rFonts w:hint="cs"/>
          <w:rtl/>
        </w:rPr>
        <w:t>התשפ"</w:t>
      </w:r>
      <w:r>
        <w:rPr>
          <w:rFonts w:hint="cs"/>
          <w:rtl/>
        </w:rPr>
        <w:t>ג</w:t>
      </w:r>
      <w:proofErr w:type="spellEnd"/>
      <w:r w:rsidRPr="003C7A3E">
        <w:rPr>
          <w:rFonts w:hint="cs"/>
          <w:rtl/>
        </w:rPr>
        <w:t xml:space="preserve">, </w:t>
      </w:r>
      <w:r>
        <w:rPr>
          <w:rFonts w:hint="cs"/>
          <w:rtl/>
        </w:rPr>
        <w:t xml:space="preserve">15 ביוני </w:t>
      </w:r>
      <w:r w:rsidRPr="003C7A3E">
        <w:rPr>
          <w:rFonts w:hint="cs"/>
          <w:rtl/>
        </w:rPr>
        <w:t>202</w:t>
      </w:r>
      <w:r>
        <w:rPr>
          <w:rFonts w:hint="cs"/>
          <w:rtl/>
        </w:rPr>
        <w:t>3</w:t>
      </w:r>
      <w:r w:rsidRPr="003C7A3E">
        <w:rPr>
          <w:rFonts w:hint="cs"/>
          <w:rtl/>
        </w:rPr>
        <w:t>, בפומבי ובמעמד הצדדים.</w:t>
      </w:r>
    </w:p>
    <w:p w14:paraId="45E3B320" w14:textId="4B5BAF76" w:rsidR="00CF18A2" w:rsidRDefault="00CF18A2" w:rsidP="00316260">
      <w:pPr>
        <w:pStyle w:val="ListParagraph"/>
        <w:tabs>
          <w:tab w:val="left" w:pos="226"/>
        </w:tabs>
        <w:ind w:left="-58"/>
        <w:rPr>
          <w:rtl/>
        </w:rPr>
      </w:pPr>
    </w:p>
    <w:p w14:paraId="69EC5CEF" w14:textId="77777777" w:rsidR="00CF18A2" w:rsidRPr="001033BC" w:rsidRDefault="00CF18A2" w:rsidP="00CF18A2">
      <w:pPr>
        <w:jc w:val="right"/>
        <w:rPr>
          <w:rtl/>
        </w:rPr>
      </w:pPr>
      <w:r>
        <w:rPr>
          <w:rFonts w:hint="cs"/>
          <w:rtl/>
        </w:rPr>
        <w:t>_______________________</w:t>
      </w:r>
    </w:p>
    <w:p w14:paraId="2BB61A09" w14:textId="77777777" w:rsidR="00CF18A2" w:rsidRPr="00C0775F" w:rsidRDefault="00CF18A2" w:rsidP="00CF18A2">
      <w:pPr>
        <w:jc w:val="right"/>
        <w:rPr>
          <w:b/>
          <w:bCs/>
          <w:rtl/>
        </w:rPr>
      </w:pPr>
      <w:r w:rsidRPr="00C0775F">
        <w:rPr>
          <w:rFonts w:hint="cs"/>
          <w:b/>
          <w:bCs/>
          <w:rtl/>
        </w:rPr>
        <w:t xml:space="preserve">אל"ם    </w:t>
      </w:r>
      <w:r>
        <w:rPr>
          <w:rFonts w:hint="cs"/>
          <w:b/>
          <w:bCs/>
          <w:rtl/>
        </w:rPr>
        <w:t xml:space="preserve"> </w:t>
      </w:r>
      <w:r w:rsidRPr="00C0775F">
        <w:rPr>
          <w:rFonts w:hint="cs"/>
          <w:b/>
          <w:bCs/>
          <w:rtl/>
        </w:rPr>
        <w:t xml:space="preserve">   מאיה </w:t>
      </w:r>
      <w:r>
        <w:rPr>
          <w:rFonts w:hint="cs"/>
          <w:b/>
          <w:bCs/>
          <w:rtl/>
        </w:rPr>
        <w:t xml:space="preserve">       </w:t>
      </w:r>
      <w:r w:rsidRPr="00C0775F">
        <w:rPr>
          <w:rFonts w:hint="cs"/>
          <w:b/>
          <w:bCs/>
          <w:rtl/>
        </w:rPr>
        <w:t>גולדשמידט</w:t>
      </w:r>
    </w:p>
    <w:p w14:paraId="0411A39D" w14:textId="77777777" w:rsidR="00CF18A2" w:rsidRDefault="00CF18A2" w:rsidP="00CF18A2">
      <w:pPr>
        <w:jc w:val="right"/>
        <w:outlineLvl w:val="0"/>
        <w:rPr>
          <w:b/>
          <w:bCs/>
          <w:rtl/>
        </w:rPr>
      </w:pPr>
      <w:r w:rsidRPr="00C0775F">
        <w:rPr>
          <w:rFonts w:hint="cs"/>
          <w:b/>
          <w:bCs/>
          <w:rtl/>
        </w:rPr>
        <w:t xml:space="preserve">שופטת </w:t>
      </w:r>
      <w:r>
        <w:rPr>
          <w:rFonts w:hint="cs"/>
          <w:b/>
          <w:bCs/>
          <w:rtl/>
        </w:rPr>
        <w:t xml:space="preserve">   </w:t>
      </w:r>
      <w:r w:rsidRPr="00C0775F">
        <w:rPr>
          <w:rFonts w:hint="cs"/>
          <w:b/>
          <w:bCs/>
          <w:rtl/>
        </w:rPr>
        <w:t>בית</w:t>
      </w:r>
      <w:r>
        <w:rPr>
          <w:rFonts w:hint="cs"/>
          <w:b/>
          <w:bCs/>
          <w:rtl/>
        </w:rPr>
        <w:t xml:space="preserve">     </w:t>
      </w:r>
      <w:r w:rsidRPr="00C0775F">
        <w:rPr>
          <w:rFonts w:hint="cs"/>
          <w:b/>
          <w:bCs/>
          <w:rtl/>
        </w:rPr>
        <w:t xml:space="preserve"> הדין</w:t>
      </w:r>
      <w:r>
        <w:rPr>
          <w:rFonts w:hint="cs"/>
          <w:b/>
          <w:bCs/>
          <w:rtl/>
        </w:rPr>
        <w:t xml:space="preserve">      </w:t>
      </w:r>
      <w:r w:rsidRPr="00C0775F">
        <w:rPr>
          <w:rFonts w:hint="cs"/>
          <w:b/>
          <w:bCs/>
          <w:rtl/>
        </w:rPr>
        <w:t xml:space="preserve"> הצבאי</w:t>
      </w:r>
      <w:r w:rsidRPr="00C0775F">
        <w:rPr>
          <w:rFonts w:hint="cs"/>
          <w:b/>
          <w:bCs/>
          <w:rtl/>
        </w:rPr>
        <w:br/>
        <w:t xml:space="preserve">                                                                              </w:t>
      </w:r>
      <w:r>
        <w:rPr>
          <w:rFonts w:hint="cs"/>
          <w:b/>
          <w:bCs/>
          <w:rtl/>
        </w:rPr>
        <w:t xml:space="preserve">  </w:t>
      </w:r>
      <w:r w:rsidRPr="00C0775F">
        <w:rPr>
          <w:rFonts w:hint="cs"/>
          <w:b/>
          <w:bCs/>
          <w:rtl/>
        </w:rPr>
        <w:t xml:space="preserve">  </w:t>
      </w:r>
      <w:r>
        <w:rPr>
          <w:rFonts w:hint="cs"/>
          <w:b/>
          <w:bCs/>
          <w:rtl/>
        </w:rPr>
        <w:t>ל</w:t>
      </w:r>
      <w:r w:rsidRPr="00C0775F">
        <w:rPr>
          <w:rFonts w:hint="cs"/>
          <w:b/>
          <w:bCs/>
          <w:rtl/>
        </w:rPr>
        <w:t xml:space="preserve">    ע    </w:t>
      </w:r>
      <w:r>
        <w:rPr>
          <w:rFonts w:hint="cs"/>
          <w:b/>
          <w:bCs/>
          <w:rtl/>
        </w:rPr>
        <w:t xml:space="preserve"> </w:t>
      </w:r>
      <w:r w:rsidRPr="00C0775F">
        <w:rPr>
          <w:rFonts w:hint="cs"/>
          <w:b/>
          <w:bCs/>
          <w:rtl/>
        </w:rPr>
        <w:t xml:space="preserve"> ר      ע  </w:t>
      </w:r>
      <w:r>
        <w:rPr>
          <w:rFonts w:hint="cs"/>
          <w:b/>
          <w:bCs/>
          <w:rtl/>
        </w:rPr>
        <w:t xml:space="preserve"> </w:t>
      </w:r>
      <w:r w:rsidRPr="00C0775F">
        <w:rPr>
          <w:rFonts w:hint="cs"/>
          <w:b/>
          <w:bCs/>
          <w:rtl/>
        </w:rPr>
        <w:t xml:space="preserve">    ו      ר    י     ם</w:t>
      </w:r>
    </w:p>
    <w:p w14:paraId="33BE776E" w14:textId="77777777" w:rsidR="00CF18A2" w:rsidRDefault="00CF18A2" w:rsidP="00CF18A2">
      <w:pPr>
        <w:jc w:val="right"/>
        <w:outlineLvl w:val="0"/>
        <w:rPr>
          <w:b/>
          <w:bCs/>
          <w:rtl/>
        </w:rPr>
      </w:pPr>
    </w:p>
    <w:p w14:paraId="61A2D23D" w14:textId="77777777" w:rsidR="005D50C8" w:rsidRPr="00AB18A9" w:rsidRDefault="005D50C8" w:rsidP="00316260">
      <w:pPr>
        <w:jc w:val="right"/>
        <w:rPr>
          <w:sz w:val="16"/>
          <w:szCs w:val="16"/>
          <w:rtl/>
        </w:rPr>
      </w:pPr>
    </w:p>
    <w:p w14:paraId="2BE69F31" w14:textId="77777777" w:rsidR="00333358" w:rsidRPr="00333358" w:rsidRDefault="00333358" w:rsidP="00333358">
      <w:pPr>
        <w:jc w:val="center"/>
        <w:outlineLvl w:val="0"/>
        <w:rPr>
          <w:b/>
          <w:bCs/>
          <w:u w:val="single"/>
          <w:rtl/>
        </w:rPr>
      </w:pPr>
      <w:r w:rsidRPr="00333358">
        <w:rPr>
          <w:rFonts w:hint="cs"/>
          <w:b/>
          <w:bCs/>
          <w:u w:val="single"/>
          <w:rtl/>
        </w:rPr>
        <w:t xml:space="preserve">נ י מ ו ק י  </w:t>
      </w:r>
      <w:r w:rsidRPr="00333358">
        <w:rPr>
          <w:b/>
          <w:bCs/>
          <w:u w:val="single"/>
          <w:rtl/>
        </w:rPr>
        <w:t>–</w:t>
      </w:r>
      <w:r w:rsidRPr="00333358">
        <w:rPr>
          <w:rFonts w:hint="cs"/>
          <w:b/>
          <w:bCs/>
          <w:u w:val="single"/>
          <w:rtl/>
        </w:rPr>
        <w:t xml:space="preserve"> ה </w:t>
      </w:r>
      <w:proofErr w:type="spellStart"/>
      <w:r w:rsidRPr="00333358">
        <w:rPr>
          <w:rFonts w:hint="cs"/>
          <w:b/>
          <w:bCs/>
          <w:u w:val="single"/>
          <w:rtl/>
        </w:rPr>
        <w:t>ה</w:t>
      </w:r>
      <w:proofErr w:type="spellEnd"/>
      <w:r w:rsidRPr="00333358">
        <w:rPr>
          <w:rFonts w:hint="cs"/>
          <w:b/>
          <w:bCs/>
          <w:u w:val="single"/>
          <w:rtl/>
        </w:rPr>
        <w:t xml:space="preserve"> ח ל ט ה</w:t>
      </w:r>
    </w:p>
    <w:p w14:paraId="4975D71E" w14:textId="77777777" w:rsidR="00333358" w:rsidRPr="00333358" w:rsidRDefault="00333358" w:rsidP="00333358">
      <w:pPr>
        <w:jc w:val="center"/>
        <w:outlineLvl w:val="0"/>
        <w:rPr>
          <w:u w:val="single"/>
          <w:rtl/>
        </w:rPr>
      </w:pPr>
    </w:p>
    <w:p w14:paraId="48CA7C34" w14:textId="77777777" w:rsidR="00333358" w:rsidRPr="00333358" w:rsidRDefault="00333358" w:rsidP="00333358">
      <w:pPr>
        <w:numPr>
          <w:ilvl w:val="0"/>
          <w:numId w:val="1"/>
        </w:numPr>
        <w:tabs>
          <w:tab w:val="left" w:pos="232"/>
        </w:tabs>
        <w:ind w:left="-52" w:firstLine="0"/>
      </w:pPr>
      <w:r w:rsidRPr="00333358">
        <w:rPr>
          <w:rFonts w:hint="cs"/>
          <w:rtl/>
        </w:rPr>
        <w:t xml:space="preserve">היום בשעות הבוקר החלטתי לדחות את ערעוריהם של ארבעת המערערים על החלטות בית הדין בדבר מעצרם עד ליום א' הקרוב, 18 ביוני 2023. להלן יפורטו נימוקי ההחלטה. </w:t>
      </w:r>
    </w:p>
    <w:p w14:paraId="1B0BBCB9" w14:textId="71C73363" w:rsidR="00333358" w:rsidRPr="00333358" w:rsidRDefault="00333358" w:rsidP="00333358">
      <w:pPr>
        <w:numPr>
          <w:ilvl w:val="0"/>
          <w:numId w:val="1"/>
        </w:numPr>
        <w:tabs>
          <w:tab w:val="left" w:pos="232"/>
        </w:tabs>
        <w:ind w:left="-52" w:firstLine="0"/>
      </w:pPr>
      <w:r w:rsidRPr="00333358">
        <w:rPr>
          <w:rFonts w:hint="cs"/>
          <w:rtl/>
        </w:rPr>
        <w:t xml:space="preserve">המערערים, חיילים בגדוד קשר בפיקוד הצפון, נעצרו  בחשד לעבירות של שימוש בסם ביחידתם וסירוב להיבדק לשם גילוי שימוש בסם מסוכן. טור' </w:t>
      </w:r>
      <w:r w:rsidR="001A2BD5">
        <w:rPr>
          <w:rFonts w:hint="cs"/>
          <w:rtl/>
        </w:rPr>
        <w:t>ע'</w:t>
      </w:r>
      <w:r w:rsidRPr="00333358">
        <w:rPr>
          <w:rFonts w:hint="cs"/>
          <w:rtl/>
        </w:rPr>
        <w:t xml:space="preserve"> </w:t>
      </w:r>
      <w:r w:rsidR="001A2BD5">
        <w:rPr>
          <w:rFonts w:hint="cs"/>
          <w:rtl/>
        </w:rPr>
        <w:t>ב'</w:t>
      </w:r>
      <w:r w:rsidRPr="00333358">
        <w:rPr>
          <w:rFonts w:hint="cs"/>
          <w:rtl/>
        </w:rPr>
        <w:t xml:space="preserve"> </w:t>
      </w:r>
      <w:r w:rsidR="001A2BD5">
        <w:rPr>
          <w:rFonts w:hint="cs"/>
          <w:rtl/>
        </w:rPr>
        <w:t>ע'</w:t>
      </w:r>
      <w:r w:rsidRPr="00333358">
        <w:rPr>
          <w:rFonts w:hint="cs"/>
          <w:rtl/>
        </w:rPr>
        <w:t xml:space="preserve">, המשרת כטבח, נעצר ביום 7 ביוני 2023; סמל </w:t>
      </w:r>
      <w:r w:rsidR="001A2BD5">
        <w:rPr>
          <w:rFonts w:hint="cs"/>
          <w:rtl/>
        </w:rPr>
        <w:t>נ'</w:t>
      </w:r>
      <w:r w:rsidRPr="00333358">
        <w:rPr>
          <w:rFonts w:hint="cs"/>
          <w:rtl/>
        </w:rPr>
        <w:t xml:space="preserve"> </w:t>
      </w:r>
      <w:r w:rsidR="001A2BD5">
        <w:rPr>
          <w:rFonts w:hint="cs"/>
          <w:rtl/>
        </w:rPr>
        <w:t>א'</w:t>
      </w:r>
      <w:r w:rsidRPr="00333358">
        <w:rPr>
          <w:rFonts w:hint="cs"/>
          <w:rtl/>
        </w:rPr>
        <w:t xml:space="preserve">, המשרת כטכנאי </w:t>
      </w:r>
      <w:proofErr w:type="spellStart"/>
      <w:r w:rsidRPr="00333358">
        <w:rPr>
          <w:rFonts w:hint="cs"/>
          <w:rtl/>
        </w:rPr>
        <w:t>אוטוטק</w:t>
      </w:r>
      <w:proofErr w:type="spellEnd"/>
      <w:r w:rsidRPr="00333358">
        <w:rPr>
          <w:rFonts w:hint="cs"/>
          <w:rtl/>
        </w:rPr>
        <w:t xml:space="preserve">, נעצר ביום 8 ביוני 2023; סמל </w:t>
      </w:r>
      <w:r w:rsidR="001A2BD5">
        <w:rPr>
          <w:rFonts w:hint="cs"/>
          <w:rtl/>
        </w:rPr>
        <w:t>מ'</w:t>
      </w:r>
      <w:r w:rsidRPr="00333358">
        <w:rPr>
          <w:rFonts w:hint="cs"/>
          <w:rtl/>
        </w:rPr>
        <w:t xml:space="preserve"> </w:t>
      </w:r>
      <w:r w:rsidR="001A2BD5">
        <w:rPr>
          <w:rFonts w:hint="cs"/>
          <w:rtl/>
        </w:rPr>
        <w:t>א'</w:t>
      </w:r>
      <w:r w:rsidRPr="00333358">
        <w:rPr>
          <w:rFonts w:hint="cs"/>
          <w:rtl/>
        </w:rPr>
        <w:t xml:space="preserve"> וסמ"ר </w:t>
      </w:r>
      <w:r w:rsidR="001A2BD5">
        <w:rPr>
          <w:rFonts w:hint="cs"/>
          <w:rtl/>
        </w:rPr>
        <w:t>ת'</w:t>
      </w:r>
      <w:r w:rsidRPr="00333358">
        <w:rPr>
          <w:rFonts w:hint="cs"/>
          <w:rtl/>
        </w:rPr>
        <w:t xml:space="preserve"> </w:t>
      </w:r>
      <w:r w:rsidR="001A2BD5">
        <w:rPr>
          <w:rFonts w:hint="cs"/>
          <w:rtl/>
        </w:rPr>
        <w:t>נ'</w:t>
      </w:r>
      <w:r w:rsidRPr="00333358">
        <w:rPr>
          <w:rFonts w:hint="cs"/>
          <w:rtl/>
        </w:rPr>
        <w:t xml:space="preserve">, המשרתים כנהגים נעצרו ביום 12 ביוני 2023. לשם השלמת התמונה יצוין, כי מדובר בפרשה נרחבת, שבה נאספו ראיות גם כנגד חיילים נוספים מאותה יחידה. לאור האמור ישנם עוד עצורים נוספים בפרשה, שבעניינם לא הוגש ערעור.  </w:t>
      </w:r>
    </w:p>
    <w:p w14:paraId="2C53B2EA" w14:textId="77777777" w:rsidR="00333358" w:rsidRPr="00333358" w:rsidRDefault="00333358" w:rsidP="00333358">
      <w:pPr>
        <w:numPr>
          <w:ilvl w:val="0"/>
          <w:numId w:val="1"/>
        </w:numPr>
        <w:tabs>
          <w:tab w:val="left" w:pos="232"/>
        </w:tabs>
        <w:ind w:left="-52" w:firstLine="0"/>
      </w:pPr>
      <w:r w:rsidRPr="00333358">
        <w:rPr>
          <w:rFonts w:hint="cs"/>
          <w:rtl/>
        </w:rPr>
        <w:t xml:space="preserve">מעצרם הממשי של המערערים הוארך עד כה לצרכי חקירה. ביום 14 ביוני 2023 עתרה התביעה להאריך את מעצרם עד ליום 19 ביוני 2023. לאחר דיון בבקשה, החליט בית הדין קמא להאריך את מעצרם עד ליום 18 ביוני 2023, לשם המשך החקירה. באי כוחם לא השלימו עם החלטה זו, ומכאן הערעורים. </w:t>
      </w:r>
    </w:p>
    <w:p w14:paraId="22038D35" w14:textId="77777777" w:rsidR="00333358" w:rsidRPr="00333358" w:rsidRDefault="00333358" w:rsidP="00333358">
      <w:pPr>
        <w:ind w:left="-52"/>
      </w:pPr>
      <w:r w:rsidRPr="00333358">
        <w:rPr>
          <w:rFonts w:hint="cs"/>
          <w:rtl/>
        </w:rPr>
        <w:t xml:space="preserve">   </w:t>
      </w:r>
    </w:p>
    <w:p w14:paraId="7D4CE7B1" w14:textId="77777777" w:rsidR="00333358" w:rsidRPr="00333358" w:rsidRDefault="00333358" w:rsidP="00333358">
      <w:pPr>
        <w:ind w:left="-52"/>
        <w:rPr>
          <w:b/>
          <w:bCs/>
          <w:u w:val="single"/>
          <w:rtl/>
        </w:rPr>
      </w:pPr>
      <w:r w:rsidRPr="00333358">
        <w:rPr>
          <w:rFonts w:hint="cs"/>
          <w:b/>
          <w:bCs/>
          <w:u w:val="single"/>
          <w:rtl/>
        </w:rPr>
        <w:t xml:space="preserve">החלטות בית הדין קמא והטענות בערעור </w:t>
      </w:r>
    </w:p>
    <w:p w14:paraId="0A616F69" w14:textId="77777777" w:rsidR="00333358" w:rsidRPr="00333358" w:rsidRDefault="00333358" w:rsidP="00333358">
      <w:pPr>
        <w:ind w:left="-52"/>
        <w:rPr>
          <w:u w:val="single"/>
          <w:rtl/>
        </w:rPr>
      </w:pPr>
    </w:p>
    <w:p w14:paraId="56FBB73B" w14:textId="77777777" w:rsidR="00333358" w:rsidRPr="00333358" w:rsidRDefault="00333358" w:rsidP="00333358">
      <w:pPr>
        <w:numPr>
          <w:ilvl w:val="0"/>
          <w:numId w:val="1"/>
        </w:numPr>
        <w:tabs>
          <w:tab w:val="left" w:pos="232"/>
        </w:tabs>
        <w:ind w:left="-52" w:firstLine="0"/>
      </w:pPr>
      <w:r w:rsidRPr="00333358">
        <w:rPr>
          <w:rFonts w:hint="cs"/>
          <w:rtl/>
        </w:rPr>
        <w:t xml:space="preserve">בדיונים בעניינם של המערערים הוצג בפני בית הדין קמא הנכבד (סגן הנשיא, סא"ל טובי הארט) דוח סודי שבו מפורטות 14 פעולות חקירה שנותרו לביצוע. תשע מן הפעולות הוגדרו כ"אופציונליות" ותלויות במסד הראייתי שייאסף בפעולות החקירה הנוספות. הוטעם, כי יש </w:t>
      </w:r>
      <w:r w:rsidRPr="00333358">
        <w:rPr>
          <w:rFonts w:hint="cs"/>
          <w:rtl/>
        </w:rPr>
        <w:lastRenderedPageBreak/>
        <w:t xml:space="preserve">חשיבות בעיקר לשתיים מן הפעולות שנותרו, שלפחות אחת מהן תסתיים לפי ההערכה עד יום א'. </w:t>
      </w:r>
    </w:p>
    <w:p w14:paraId="11B13318" w14:textId="77777777" w:rsidR="00333358" w:rsidRPr="00333358" w:rsidRDefault="00333358" w:rsidP="00333358">
      <w:pPr>
        <w:numPr>
          <w:ilvl w:val="0"/>
          <w:numId w:val="1"/>
        </w:numPr>
        <w:tabs>
          <w:tab w:val="left" w:pos="232"/>
        </w:tabs>
        <w:ind w:left="-52" w:firstLine="0"/>
      </w:pPr>
      <w:r w:rsidRPr="00333358">
        <w:rPr>
          <w:rFonts w:hint="cs"/>
          <w:rtl/>
        </w:rPr>
        <w:t>בהחלטות שניתנו ביחס לכל אחד מהמערערים, ציין בית הדין, כי קיים יסוד סביר לחשדות שהוצגו, שעניינם שימוש בסם מסוג קנאביס בתוך היחידה. צוין, כי לא ניתן היה למצות את החקירה עד למועד הדיון, בשל טעמים שאינם תלויים בגורמי החקירה - אולם קיים יסוד להניח, לאור המידע שהוצג בפני בית הדין, כי ניתן יהיה לקדם אותה ואולי אפילו למצותה עד ליום א', ה-18 ביוני 2023. לצד זאת צוין, כי אם לא ניתן יהיה לקדם את פעולות החקירה עד לאותו מועד, ראוי יהיה כי התביעה תשקול את עמדתה באשר להמשך ביצוען.</w:t>
      </w:r>
    </w:p>
    <w:p w14:paraId="5601DF55" w14:textId="12DB6A13" w:rsidR="00333358" w:rsidRPr="00333358" w:rsidRDefault="00333358" w:rsidP="00333358">
      <w:pPr>
        <w:numPr>
          <w:ilvl w:val="0"/>
          <w:numId w:val="1"/>
        </w:numPr>
        <w:tabs>
          <w:tab w:val="left" w:pos="232"/>
        </w:tabs>
        <w:ind w:left="-52" w:firstLine="0"/>
      </w:pPr>
      <w:r w:rsidRPr="00333358">
        <w:rPr>
          <w:rFonts w:hint="cs"/>
          <w:rtl/>
        </w:rPr>
        <w:t xml:space="preserve">בערעורים שהוגשו על ההחלטות לא הועלו טענות ממשיות באשר למסד הראייתי, מלבד בעניינו של סמ"ר </w:t>
      </w:r>
      <w:r w:rsidR="001A2BD5">
        <w:rPr>
          <w:rFonts w:hint="cs"/>
          <w:rtl/>
        </w:rPr>
        <w:t>נ'</w:t>
      </w:r>
      <w:r w:rsidRPr="00333358">
        <w:rPr>
          <w:rFonts w:hint="cs"/>
          <w:rtl/>
        </w:rPr>
        <w:t xml:space="preserve">. בא כוחו טען כי חומר הראיות מבוסס על עדותו של מפליל שאין לסמוך על דבריו, וכי גורמי החקירה סירבו לבקשתו לערוך עימות בין </w:t>
      </w:r>
      <w:proofErr w:type="spellStart"/>
      <w:r w:rsidRPr="00333358">
        <w:rPr>
          <w:rFonts w:hint="cs"/>
          <w:rtl/>
        </w:rPr>
        <w:t>מרשו</w:t>
      </w:r>
      <w:proofErr w:type="spellEnd"/>
      <w:r w:rsidRPr="00333358">
        <w:rPr>
          <w:rFonts w:hint="cs"/>
          <w:rtl/>
        </w:rPr>
        <w:t xml:space="preserve"> לבין המפליל (וכן טען כי למערער בעיות ת"ש בגינן הוא זכאי להיות בביתו). עיקר טענותיהם של באי כוח המערערים נגעו להתמשכות החקירה. נטען, כי החקירה החלה כבר לפני למעלה משבוע ימים ולא חלה בה התקדמות ממשית, שכן אותן פעולות חקירה שממתינים לביצוען כעת היו רלוונטיות כבר מראשיתה של החקירה וגורמי החקירה לא הצליחו לקדמן; יתר על כן, הוטעם כי גם כעת חלק ניכר מהפעולות אינן וודאיות. ההגנה סבורה אפוא, כי לא ראוי היה לאפשר לגורמי החקירה פרק זמן נוסף לביצוען של פעולות החקירה, שבמהלכו ייוותרו המערערים מאחורי סורג ובריח.   </w:t>
      </w:r>
    </w:p>
    <w:p w14:paraId="20E1A1E3" w14:textId="77777777" w:rsidR="00333358" w:rsidRPr="00333358" w:rsidRDefault="00333358" w:rsidP="00333358">
      <w:pPr>
        <w:numPr>
          <w:ilvl w:val="0"/>
          <w:numId w:val="1"/>
        </w:numPr>
        <w:tabs>
          <w:tab w:val="left" w:pos="232"/>
        </w:tabs>
        <w:ind w:left="-52" w:firstLine="0"/>
        <w:rPr>
          <w:rtl/>
        </w:rPr>
      </w:pPr>
      <w:r w:rsidRPr="00333358">
        <w:rPr>
          <w:rFonts w:hint="cs"/>
          <w:rtl/>
        </w:rPr>
        <w:t xml:space="preserve">התביעה סבורה, כי אין מקום להתערב בהחלטותיו של בית הדין קמא בנוגע למערערים. הוטעם, כי ביחס לכלל המערערים נאספו ראיות המחזקות את עדותו של המפליל בפרשה, וכי החשדות מקימים עילות מעצר מובהקות. כן הדגישה התביעה, כי מדובר בפרשייה שבה נחקרים חיילים רבים, ולכן כל אחת מפעולות החקירה עשויה להשליך על בחינת הראיות ביחס לכלל המעורבים. התביעה מעריכה, כי גורמי החקירה יסיימו לבצע את הפעולות המרכזיות עד ליום א' הקרוב; ומסרה כי בהעדר התקדמות בפעולות אלה, לא תעתור בדיון הבא להארכת מעצר רק לשם השלמתן. </w:t>
      </w:r>
    </w:p>
    <w:p w14:paraId="0B0C4B6C" w14:textId="77777777" w:rsidR="00333358" w:rsidRPr="00333358" w:rsidRDefault="00333358" w:rsidP="00333358">
      <w:pPr>
        <w:ind w:left="-52"/>
        <w:rPr>
          <w:u w:val="single"/>
          <w:rtl/>
        </w:rPr>
      </w:pPr>
    </w:p>
    <w:p w14:paraId="71B62C6C" w14:textId="77777777" w:rsidR="00333358" w:rsidRPr="00333358" w:rsidRDefault="00333358" w:rsidP="00333358">
      <w:pPr>
        <w:ind w:left="-52"/>
        <w:rPr>
          <w:b/>
          <w:bCs/>
          <w:u w:val="single"/>
          <w:rtl/>
        </w:rPr>
      </w:pPr>
      <w:r w:rsidRPr="00333358">
        <w:rPr>
          <w:rFonts w:hint="cs"/>
          <w:b/>
          <w:bCs/>
          <w:u w:val="single"/>
          <w:rtl/>
        </w:rPr>
        <w:t>דיון והכרעה</w:t>
      </w:r>
    </w:p>
    <w:p w14:paraId="74D3224B" w14:textId="77777777" w:rsidR="00333358" w:rsidRPr="00333358" w:rsidRDefault="00333358" w:rsidP="00333358">
      <w:pPr>
        <w:ind w:left="-52"/>
        <w:rPr>
          <w:u w:val="single"/>
          <w:rtl/>
        </w:rPr>
      </w:pPr>
    </w:p>
    <w:p w14:paraId="62D78936" w14:textId="41D67CB8" w:rsidR="00333358" w:rsidRPr="00333358" w:rsidRDefault="00333358" w:rsidP="00333358">
      <w:pPr>
        <w:numPr>
          <w:ilvl w:val="0"/>
          <w:numId w:val="1"/>
        </w:numPr>
        <w:tabs>
          <w:tab w:val="left" w:pos="232"/>
        </w:tabs>
        <w:ind w:left="-52" w:firstLine="0"/>
      </w:pPr>
      <w:r w:rsidRPr="00333358">
        <w:rPr>
          <w:rFonts w:hint="cs"/>
          <w:rtl/>
        </w:rPr>
        <w:t xml:space="preserve">כאמור בפי המערערים אין טענות של ממש באשר למסד הראייתי. עם זאת, ובין השאר גם בשים לב לטענותיו של </w:t>
      </w:r>
      <w:proofErr w:type="spellStart"/>
      <w:r w:rsidRPr="00333358">
        <w:rPr>
          <w:rFonts w:hint="cs"/>
          <w:rtl/>
        </w:rPr>
        <w:t>סניגורו</w:t>
      </w:r>
      <w:proofErr w:type="spellEnd"/>
      <w:r w:rsidRPr="00333358">
        <w:rPr>
          <w:rFonts w:hint="cs"/>
          <w:rtl/>
        </w:rPr>
        <w:t xml:space="preserve"> של סמ"ר </w:t>
      </w:r>
      <w:r w:rsidR="001A2BD5">
        <w:rPr>
          <w:rFonts w:hint="cs"/>
          <w:rtl/>
        </w:rPr>
        <w:t>נ'</w:t>
      </w:r>
      <w:r w:rsidRPr="00333358">
        <w:rPr>
          <w:rFonts w:hint="cs"/>
          <w:rtl/>
        </w:rPr>
        <w:t xml:space="preserve">, עיינתי בחומר החקירה, ונחה דעתי כי מתקיים בעניינם של כלל המערערים חשד סביר, המבוסס על הפללה ועל חיזוקים שנמצאו לה,  ביחס לעבירות של שימוש בסם מסוכן ביחידתם (ובאשר לסמל </w:t>
      </w:r>
      <w:r w:rsidR="001A2BD5">
        <w:rPr>
          <w:rFonts w:hint="cs"/>
          <w:rtl/>
        </w:rPr>
        <w:t>א'</w:t>
      </w:r>
      <w:r w:rsidRPr="00333358">
        <w:rPr>
          <w:rFonts w:hint="cs"/>
          <w:rtl/>
        </w:rPr>
        <w:t xml:space="preserve"> </w:t>
      </w:r>
      <w:r w:rsidRPr="00333358">
        <w:rPr>
          <w:rtl/>
        </w:rPr>
        <w:t>–</w:t>
      </w:r>
      <w:r w:rsidRPr="00333358">
        <w:rPr>
          <w:rFonts w:hint="cs"/>
          <w:rtl/>
        </w:rPr>
        <w:t xml:space="preserve"> על פי אמרתו, גם בנסיבות "אזרחיות"), באופן המצדיק את הארכת המעצר לצורך מיצוי החקירה (</w:t>
      </w:r>
      <w:proofErr w:type="spellStart"/>
      <w:r w:rsidRPr="00333358">
        <w:rPr>
          <w:rFonts w:hint="cs"/>
          <w:rtl/>
        </w:rPr>
        <w:t>בש"פ</w:t>
      </w:r>
      <w:proofErr w:type="spellEnd"/>
      <w:r w:rsidRPr="00333358">
        <w:rPr>
          <w:rFonts w:hint="cs"/>
          <w:rtl/>
        </w:rPr>
        <w:t xml:space="preserve"> 6350/97 </w:t>
      </w:r>
      <w:proofErr w:type="spellStart"/>
      <w:r w:rsidRPr="009709C5">
        <w:rPr>
          <w:rFonts w:hint="cs"/>
          <w:b/>
          <w:bCs/>
          <w:rtl/>
        </w:rPr>
        <w:lastRenderedPageBreak/>
        <w:t>רוזנשטיין</w:t>
      </w:r>
      <w:proofErr w:type="spellEnd"/>
      <w:r w:rsidRPr="009709C5">
        <w:rPr>
          <w:rFonts w:hint="cs"/>
          <w:b/>
          <w:bCs/>
          <w:rtl/>
        </w:rPr>
        <w:t xml:space="preserve"> נ' מדינת ישראל</w:t>
      </w:r>
      <w:r w:rsidRPr="00333358">
        <w:rPr>
          <w:rFonts w:hint="cs"/>
          <w:rtl/>
        </w:rPr>
        <w:t xml:space="preserve"> (29.10.1997)); יוער כי היקף החשדות והראיות שנאספו אינו זהה ביחס לכל המעורבים, אולם בשלב הדיוני שבו אנו מצויים, הם מקימים חשד סביר כאמור. על הטענות נגד טיבה של ההפללה להיבחן בראי כלל הראיות שייאספו.</w:t>
      </w:r>
    </w:p>
    <w:p w14:paraId="01B7C11A" w14:textId="77777777" w:rsidR="00333358" w:rsidRPr="00333358" w:rsidRDefault="00333358" w:rsidP="00333358">
      <w:pPr>
        <w:numPr>
          <w:ilvl w:val="0"/>
          <w:numId w:val="1"/>
        </w:numPr>
        <w:tabs>
          <w:tab w:val="left" w:pos="232"/>
        </w:tabs>
        <w:ind w:left="-52" w:firstLine="0"/>
      </w:pPr>
      <w:r w:rsidRPr="00333358">
        <w:rPr>
          <w:rFonts w:hint="cs"/>
          <w:rtl/>
        </w:rPr>
        <w:t xml:space="preserve">נוכח טיב החשד, שעניינו כאמור שימוש בסמים, בתוך הבסיס, על ידי חיילים המשרתים יחדיו וחלקם בתפקידים רגישים הדורשים ערנות רבה, מתקיימות באופן מובהק העילות שעניינן מסוכנות צבאית ופגיעה במשמעת הצבאית (ע"מ 58/17 </w:t>
      </w:r>
      <w:r w:rsidRPr="009709C5">
        <w:rPr>
          <w:rFonts w:hint="cs"/>
          <w:b/>
          <w:bCs/>
          <w:rtl/>
        </w:rPr>
        <w:t xml:space="preserve">רב"ט </w:t>
      </w:r>
      <w:proofErr w:type="spellStart"/>
      <w:r w:rsidRPr="009709C5">
        <w:rPr>
          <w:rFonts w:hint="cs"/>
          <w:b/>
          <w:bCs/>
          <w:rtl/>
        </w:rPr>
        <w:t>יפימנקו</w:t>
      </w:r>
      <w:proofErr w:type="spellEnd"/>
      <w:r w:rsidRPr="009709C5">
        <w:rPr>
          <w:rFonts w:hint="cs"/>
          <w:b/>
          <w:bCs/>
          <w:rtl/>
        </w:rPr>
        <w:t xml:space="preserve"> נ' התובע הצבאי הראשי</w:t>
      </w:r>
      <w:r w:rsidRPr="00333358">
        <w:rPr>
          <w:rFonts w:hint="cs"/>
          <w:rtl/>
        </w:rPr>
        <w:t xml:space="preserve"> (2017)).  </w:t>
      </w:r>
    </w:p>
    <w:p w14:paraId="0177A5D1" w14:textId="5B14AEEC" w:rsidR="00333358" w:rsidRPr="00333358" w:rsidRDefault="00333358" w:rsidP="00333358">
      <w:pPr>
        <w:numPr>
          <w:ilvl w:val="0"/>
          <w:numId w:val="1"/>
        </w:numPr>
        <w:tabs>
          <w:tab w:val="left" w:pos="232"/>
        </w:tabs>
        <w:ind w:left="-52" w:firstLine="0"/>
      </w:pPr>
      <w:r w:rsidRPr="00333358">
        <w:rPr>
          <w:rFonts w:hint="cs"/>
          <w:rtl/>
        </w:rPr>
        <w:t xml:space="preserve">אכן החקירה נמשכת כבר פרק זמן שאינו קצר, ובעיקר הדברים אמורים ביחס לטור' </w:t>
      </w:r>
      <w:r w:rsidR="001A2BD5">
        <w:rPr>
          <w:rFonts w:hint="cs"/>
          <w:rtl/>
        </w:rPr>
        <w:t>ב'</w:t>
      </w:r>
      <w:r w:rsidRPr="00333358">
        <w:rPr>
          <w:rFonts w:hint="cs"/>
          <w:rtl/>
        </w:rPr>
        <w:t xml:space="preserve"> </w:t>
      </w:r>
      <w:r w:rsidR="001A2BD5">
        <w:rPr>
          <w:rFonts w:hint="cs"/>
          <w:rtl/>
        </w:rPr>
        <w:t>ע'</w:t>
      </w:r>
      <w:r w:rsidRPr="00333358">
        <w:rPr>
          <w:rFonts w:hint="cs"/>
          <w:rtl/>
        </w:rPr>
        <w:t xml:space="preserve"> וסמל </w:t>
      </w:r>
      <w:r w:rsidR="001A2BD5">
        <w:rPr>
          <w:rFonts w:hint="cs"/>
          <w:rtl/>
        </w:rPr>
        <w:t>א'</w:t>
      </w:r>
      <w:r w:rsidRPr="00333358">
        <w:rPr>
          <w:rFonts w:hint="cs"/>
          <w:rtl/>
        </w:rPr>
        <w:t xml:space="preserve">, המצויים במעצר כבר שבוע ימים והובאו מספר פעמים להארכות מעצר; אולם עיון בדוח הסודי משקף את מורכבות הפרשה, ואת הקושי האובייקטיבי שעמו התמודדו גורמי החקירה ומנע את השלמת החקירה עד כה. ברי אמנם, כי החקירה אינה יכולה להמשך לפרק זמן שאינו מוגבל ותחום בזמן; אולם בשים לב להיקף הפרשה כולה, לטיבן של פעולות החקירה הנדרשות להתבצע, ולרקע לעיכובים שחלו עד כה - סברתי כי האיזון שערך בית הדין קמא, כאשר הורה על הארכת המעצר עד ליום א' הקרוב, וכן התריע כי על התביעה לשקול את עמדתה במועד זה ככל שלא תסיים את פעולות החקירה, הוא איזון סביר וראוי ואין מקום להתערב בו. מכאן שערעורי ההגנה נדחו. </w:t>
      </w:r>
    </w:p>
    <w:p w14:paraId="6620EC36" w14:textId="77777777" w:rsidR="00333358" w:rsidRPr="00333358" w:rsidRDefault="00333358" w:rsidP="00333358">
      <w:pPr>
        <w:tabs>
          <w:tab w:val="left" w:pos="232"/>
        </w:tabs>
        <w:ind w:left="-52"/>
      </w:pPr>
    </w:p>
    <w:p w14:paraId="1812C7AE" w14:textId="2DA79318" w:rsidR="00333358" w:rsidRPr="00333358" w:rsidRDefault="00333358" w:rsidP="00333358">
      <w:pPr>
        <w:contextualSpacing/>
        <w:outlineLvl w:val="0"/>
        <w:rPr>
          <w:sz w:val="32"/>
          <w:rtl/>
        </w:rPr>
      </w:pPr>
      <w:r w:rsidRPr="00333358">
        <w:rPr>
          <w:rFonts w:hint="cs"/>
          <w:sz w:val="32"/>
          <w:rtl/>
        </w:rPr>
        <w:t xml:space="preserve">נימוקי ההחלטה ניתנו היום, כ"ו בסיוון </w:t>
      </w:r>
      <w:proofErr w:type="spellStart"/>
      <w:r w:rsidRPr="00333358">
        <w:rPr>
          <w:rFonts w:hint="cs"/>
          <w:sz w:val="32"/>
          <w:rtl/>
        </w:rPr>
        <w:t>התשפ"ג</w:t>
      </w:r>
      <w:proofErr w:type="spellEnd"/>
      <w:r w:rsidRPr="00333358">
        <w:rPr>
          <w:rFonts w:hint="cs"/>
          <w:sz w:val="32"/>
          <w:rtl/>
        </w:rPr>
        <w:t xml:space="preserve">, 15 ביוני 2023, </w:t>
      </w:r>
      <w:r w:rsidR="009709C5">
        <w:rPr>
          <w:rFonts w:hint="cs"/>
          <w:sz w:val="32"/>
          <w:rtl/>
        </w:rPr>
        <w:t>והועברו לצדדים ע"י מזכירות בית הדין</w:t>
      </w:r>
      <w:r w:rsidR="00282F62">
        <w:rPr>
          <w:rFonts w:hint="cs"/>
          <w:sz w:val="32"/>
          <w:rtl/>
        </w:rPr>
        <w:t>.</w:t>
      </w:r>
      <w:r w:rsidRPr="00333358">
        <w:rPr>
          <w:rFonts w:hint="cs"/>
          <w:sz w:val="32"/>
          <w:rtl/>
        </w:rPr>
        <w:t xml:space="preserve"> </w:t>
      </w:r>
    </w:p>
    <w:p w14:paraId="2B46F8F5" w14:textId="77777777" w:rsidR="00333358" w:rsidRDefault="00333358" w:rsidP="00316260">
      <w:pPr>
        <w:jc w:val="right"/>
        <w:rPr>
          <w:rtl/>
        </w:rPr>
      </w:pPr>
    </w:p>
    <w:p w14:paraId="1C315716" w14:textId="77777777" w:rsidR="00333358" w:rsidRDefault="00333358" w:rsidP="00316260">
      <w:pPr>
        <w:jc w:val="right"/>
        <w:rPr>
          <w:rtl/>
        </w:rPr>
      </w:pPr>
    </w:p>
    <w:p w14:paraId="4B0F79D5" w14:textId="65B642E6" w:rsidR="00316260" w:rsidRPr="001033BC" w:rsidRDefault="005D50C8" w:rsidP="00316260">
      <w:pPr>
        <w:jc w:val="right"/>
        <w:rPr>
          <w:rtl/>
        </w:rPr>
      </w:pPr>
      <w:r>
        <w:rPr>
          <w:rFonts w:hint="cs"/>
          <w:rtl/>
        </w:rPr>
        <w:t>_______________________</w:t>
      </w:r>
    </w:p>
    <w:p w14:paraId="4467AD1E" w14:textId="7A3EFA6C" w:rsidR="00316260" w:rsidRPr="00C0775F" w:rsidRDefault="00316260" w:rsidP="00316260">
      <w:pPr>
        <w:jc w:val="right"/>
        <w:rPr>
          <w:b/>
          <w:bCs/>
          <w:rtl/>
        </w:rPr>
      </w:pPr>
      <w:r w:rsidRPr="00C0775F">
        <w:rPr>
          <w:rFonts w:hint="cs"/>
          <w:b/>
          <w:bCs/>
          <w:rtl/>
        </w:rPr>
        <w:t xml:space="preserve">אל"ם    </w:t>
      </w:r>
      <w:r w:rsidR="005D50C8">
        <w:rPr>
          <w:rFonts w:hint="cs"/>
          <w:b/>
          <w:bCs/>
          <w:rtl/>
        </w:rPr>
        <w:t xml:space="preserve"> </w:t>
      </w:r>
      <w:r w:rsidRPr="00C0775F">
        <w:rPr>
          <w:rFonts w:hint="cs"/>
          <w:b/>
          <w:bCs/>
          <w:rtl/>
        </w:rPr>
        <w:t xml:space="preserve">   מאיה </w:t>
      </w:r>
      <w:r>
        <w:rPr>
          <w:rFonts w:hint="cs"/>
          <w:b/>
          <w:bCs/>
          <w:rtl/>
        </w:rPr>
        <w:t xml:space="preserve">       </w:t>
      </w:r>
      <w:r w:rsidRPr="00C0775F">
        <w:rPr>
          <w:rFonts w:hint="cs"/>
          <w:b/>
          <w:bCs/>
          <w:rtl/>
        </w:rPr>
        <w:t>גולדשמידט</w:t>
      </w:r>
    </w:p>
    <w:p w14:paraId="58692419" w14:textId="6B893E07" w:rsidR="00316260" w:rsidRDefault="00316260" w:rsidP="00316260">
      <w:pPr>
        <w:jc w:val="right"/>
        <w:outlineLvl w:val="0"/>
        <w:rPr>
          <w:b/>
          <w:bCs/>
          <w:rtl/>
        </w:rPr>
      </w:pPr>
      <w:r w:rsidRPr="00C0775F">
        <w:rPr>
          <w:rFonts w:hint="cs"/>
          <w:b/>
          <w:bCs/>
          <w:rtl/>
        </w:rPr>
        <w:t xml:space="preserve">שופטת </w:t>
      </w:r>
      <w:r>
        <w:rPr>
          <w:rFonts w:hint="cs"/>
          <w:b/>
          <w:bCs/>
          <w:rtl/>
        </w:rPr>
        <w:t xml:space="preserve">   </w:t>
      </w:r>
      <w:r w:rsidRPr="00C0775F">
        <w:rPr>
          <w:rFonts w:hint="cs"/>
          <w:b/>
          <w:bCs/>
          <w:rtl/>
        </w:rPr>
        <w:t>בית</w:t>
      </w:r>
      <w:r>
        <w:rPr>
          <w:rFonts w:hint="cs"/>
          <w:b/>
          <w:bCs/>
          <w:rtl/>
        </w:rPr>
        <w:t xml:space="preserve">     </w:t>
      </w:r>
      <w:r w:rsidRPr="00C0775F">
        <w:rPr>
          <w:rFonts w:hint="cs"/>
          <w:b/>
          <w:bCs/>
          <w:rtl/>
        </w:rPr>
        <w:t xml:space="preserve"> הדין</w:t>
      </w:r>
      <w:r>
        <w:rPr>
          <w:rFonts w:hint="cs"/>
          <w:b/>
          <w:bCs/>
          <w:rtl/>
        </w:rPr>
        <w:t xml:space="preserve">      </w:t>
      </w:r>
      <w:r w:rsidRPr="00C0775F">
        <w:rPr>
          <w:rFonts w:hint="cs"/>
          <w:b/>
          <w:bCs/>
          <w:rtl/>
        </w:rPr>
        <w:t xml:space="preserve"> הצבאי</w:t>
      </w:r>
      <w:r w:rsidRPr="00C0775F">
        <w:rPr>
          <w:rFonts w:hint="cs"/>
          <w:b/>
          <w:bCs/>
          <w:rtl/>
        </w:rPr>
        <w:br/>
        <w:t xml:space="preserve">                                                                              </w:t>
      </w:r>
      <w:r>
        <w:rPr>
          <w:rFonts w:hint="cs"/>
          <w:b/>
          <w:bCs/>
          <w:rtl/>
        </w:rPr>
        <w:t xml:space="preserve">  </w:t>
      </w:r>
      <w:r w:rsidRPr="00C0775F">
        <w:rPr>
          <w:rFonts w:hint="cs"/>
          <w:b/>
          <w:bCs/>
          <w:rtl/>
        </w:rPr>
        <w:t xml:space="preserve">  </w:t>
      </w:r>
      <w:r>
        <w:rPr>
          <w:rFonts w:hint="cs"/>
          <w:b/>
          <w:bCs/>
          <w:rtl/>
        </w:rPr>
        <w:t>ל</w:t>
      </w:r>
      <w:r w:rsidRPr="00C0775F">
        <w:rPr>
          <w:rFonts w:hint="cs"/>
          <w:b/>
          <w:bCs/>
          <w:rtl/>
        </w:rPr>
        <w:t xml:space="preserve">    ע    </w:t>
      </w:r>
      <w:r w:rsidR="005D50C8">
        <w:rPr>
          <w:rFonts w:hint="cs"/>
          <w:b/>
          <w:bCs/>
          <w:rtl/>
        </w:rPr>
        <w:t xml:space="preserve"> </w:t>
      </w:r>
      <w:r w:rsidRPr="00C0775F">
        <w:rPr>
          <w:rFonts w:hint="cs"/>
          <w:b/>
          <w:bCs/>
          <w:rtl/>
        </w:rPr>
        <w:t xml:space="preserve"> ר      ע  </w:t>
      </w:r>
      <w:r w:rsidR="005D50C8">
        <w:rPr>
          <w:rFonts w:hint="cs"/>
          <w:b/>
          <w:bCs/>
          <w:rtl/>
        </w:rPr>
        <w:t xml:space="preserve"> </w:t>
      </w:r>
      <w:r w:rsidRPr="00C0775F">
        <w:rPr>
          <w:rFonts w:hint="cs"/>
          <w:b/>
          <w:bCs/>
          <w:rtl/>
        </w:rPr>
        <w:t xml:space="preserve">    ו      ר    י     ם</w:t>
      </w:r>
    </w:p>
    <w:p w14:paraId="0B1D8616" w14:textId="06ADB111" w:rsidR="00333358" w:rsidRDefault="00333358" w:rsidP="00316260">
      <w:pPr>
        <w:jc w:val="right"/>
        <w:outlineLvl w:val="0"/>
        <w:rPr>
          <w:b/>
          <w:bCs/>
          <w:rtl/>
        </w:rPr>
      </w:pPr>
    </w:p>
    <w:p w14:paraId="506EA00F" w14:textId="77777777" w:rsidR="00333358" w:rsidRPr="00676BDD" w:rsidRDefault="00333358" w:rsidP="00316260">
      <w:pPr>
        <w:jc w:val="right"/>
        <w:outlineLvl w:val="0"/>
        <w:rPr>
          <w:b/>
          <w:bCs/>
        </w:rPr>
      </w:pPr>
    </w:p>
    <w:p w14:paraId="46F54A72" w14:textId="40A73F90" w:rsidR="00316260" w:rsidRPr="000B7E52" w:rsidRDefault="00316260" w:rsidP="00316260">
      <w:pPr>
        <w:ind w:left="-58" w:right="-567"/>
        <w:rPr>
          <w:rFonts w:ascii="David" w:hAnsi="David"/>
          <w:b/>
          <w:bCs/>
          <w:rtl/>
        </w:rPr>
      </w:pPr>
      <w:bookmarkStart w:id="0" w:name="_Hlk122599666"/>
      <w:r w:rsidRPr="000B7E52">
        <w:rPr>
          <w:rFonts w:ascii="David" w:hAnsi="David"/>
          <w:b/>
          <w:bCs/>
          <w:rtl/>
        </w:rPr>
        <w:t xml:space="preserve">חתימת המגיה: _______________________________      העתק         נאמן       למקור             </w:t>
      </w:r>
    </w:p>
    <w:p w14:paraId="4B35CD5B" w14:textId="77777777" w:rsidR="00316260" w:rsidRPr="000B7E52" w:rsidRDefault="00316260" w:rsidP="00316260">
      <w:pPr>
        <w:ind w:left="-58" w:right="-567"/>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סרן           </w:t>
      </w:r>
      <w:r w:rsidRPr="000B7E52">
        <w:rPr>
          <w:rFonts w:ascii="David" w:hAnsi="David" w:hint="cs"/>
          <w:b/>
          <w:bCs/>
          <w:rtl/>
        </w:rPr>
        <w:t xml:space="preserve"> </w:t>
      </w:r>
      <w:r w:rsidRPr="000B7E52">
        <w:rPr>
          <w:rFonts w:ascii="David" w:hAnsi="David"/>
          <w:b/>
          <w:bCs/>
          <w:rtl/>
        </w:rPr>
        <w:t xml:space="preserve"> כפיר             לב  </w:t>
      </w:r>
    </w:p>
    <w:p w14:paraId="6A140302" w14:textId="77777777" w:rsidR="00316260" w:rsidRPr="000B7E52" w:rsidRDefault="00316260" w:rsidP="00316260">
      <w:pPr>
        <w:ind w:left="-58" w:right="-567"/>
        <w:rPr>
          <w:rFonts w:ascii="David" w:hAnsi="David"/>
          <w:b/>
          <w:bCs/>
          <w:rtl/>
        </w:rPr>
      </w:pPr>
      <w:r w:rsidRPr="000B7E52">
        <w:rPr>
          <w:rFonts w:ascii="David" w:hAnsi="David"/>
          <w:b/>
          <w:bCs/>
          <w:rtl/>
        </w:rPr>
        <w:t xml:space="preserve">  תאריך: ____________________________________      קצין            בית           הדין</w:t>
      </w:r>
      <w:bookmarkEnd w:id="0"/>
    </w:p>
    <w:p w14:paraId="0F002C13" w14:textId="77777777" w:rsidR="00B161FE" w:rsidRPr="00316260" w:rsidRDefault="00B161FE"/>
    <w:sectPr w:rsidR="00B161FE" w:rsidRPr="00316260" w:rsidSect="005D50C8">
      <w:headerReference w:type="default" r:id="rId10"/>
      <w:footerReference w:type="default" r:id="rId11"/>
      <w:pgSz w:w="11906" w:h="16838"/>
      <w:pgMar w:top="1418" w:right="1418" w:bottom="1418" w:left="1418" w:header="708" w:footer="708"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50AA" w14:textId="77777777" w:rsidR="00316260" w:rsidRDefault="00316260" w:rsidP="00316260">
      <w:pPr>
        <w:spacing w:line="240" w:lineRule="auto"/>
      </w:pPr>
      <w:r>
        <w:separator/>
      </w:r>
    </w:p>
  </w:endnote>
  <w:endnote w:type="continuationSeparator" w:id="0">
    <w:p w14:paraId="4031883F" w14:textId="77777777" w:rsidR="00316260" w:rsidRDefault="00316260" w:rsidP="00316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17033167"/>
      <w:docPartObj>
        <w:docPartGallery w:val="Page Numbers (Bottom of Page)"/>
        <w:docPartUnique/>
      </w:docPartObj>
    </w:sdtPr>
    <w:sdtEndPr/>
    <w:sdtContent>
      <w:p w14:paraId="178ADE9F" w14:textId="0A612BA9" w:rsidR="00316260" w:rsidRDefault="00316260">
        <w:pPr>
          <w:pStyle w:val="Footer"/>
          <w:jc w:val="center"/>
          <w:rPr>
            <w:rtl/>
          </w:rPr>
        </w:pPr>
        <w:r>
          <w:fldChar w:fldCharType="begin"/>
        </w:r>
        <w:r>
          <w:instrText>PAGE   \* MERGEFORMAT</w:instrText>
        </w:r>
        <w:r>
          <w:fldChar w:fldCharType="separate"/>
        </w:r>
        <w:r>
          <w:rPr>
            <w:rtl/>
            <w:lang w:val="he-IL"/>
          </w:rPr>
          <w:t>2</w:t>
        </w:r>
        <w:r>
          <w:fldChar w:fldCharType="end"/>
        </w:r>
      </w:p>
    </w:sdtContent>
  </w:sdt>
  <w:p w14:paraId="712986C0" w14:textId="77777777" w:rsidR="00316260" w:rsidRDefault="00316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7517" w14:textId="77777777" w:rsidR="00316260" w:rsidRDefault="00316260" w:rsidP="00316260">
      <w:pPr>
        <w:spacing w:line="240" w:lineRule="auto"/>
      </w:pPr>
      <w:r>
        <w:separator/>
      </w:r>
    </w:p>
  </w:footnote>
  <w:footnote w:type="continuationSeparator" w:id="0">
    <w:p w14:paraId="40F8D2B4" w14:textId="77777777" w:rsidR="00316260" w:rsidRDefault="00316260" w:rsidP="003162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00F5" w14:textId="650CEAFA" w:rsidR="00316260" w:rsidRDefault="00316260" w:rsidP="00377B18">
    <w:pPr>
      <w:pStyle w:val="Header"/>
      <w:tabs>
        <w:tab w:val="clear" w:pos="8306"/>
        <w:tab w:val="right" w:pos="9070"/>
      </w:tabs>
      <w:rPr>
        <w:rtl/>
      </w:rPr>
    </w:pPr>
    <w:r w:rsidRPr="00316260">
      <w:rPr>
        <w:rtl/>
      </w:rPr>
      <w:ptab w:relativeTo="margin" w:alignment="center" w:leader="none"/>
    </w:r>
    <w:r w:rsidR="005D50C8">
      <w:rPr>
        <w:rFonts w:hint="cs"/>
        <w:rtl/>
      </w:rPr>
      <w:t xml:space="preserve">   </w:t>
    </w:r>
    <w:r w:rsidR="00D4169E">
      <w:rPr>
        <w:rFonts w:hint="cs"/>
        <w:rtl/>
      </w:rPr>
      <w:t>ב ל מ " ס</w:t>
    </w:r>
    <w:r>
      <w:rPr>
        <w:rFonts w:hint="cs"/>
        <w:rtl/>
      </w:rPr>
      <w:t xml:space="preserve"> </w:t>
    </w:r>
    <w:r>
      <w:tab/>
    </w:r>
    <w:r w:rsidR="005D50C8">
      <w:t xml:space="preserve">       </w:t>
    </w:r>
    <w:r>
      <w:rPr>
        <w:rFonts w:hint="cs"/>
        <w:rtl/>
      </w:rPr>
      <w:t>ע"מ/45,47,48,49/23</w:t>
    </w:r>
    <w:r w:rsidR="005D50C8">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105E"/>
    <w:multiLevelType w:val="hybridMultilevel"/>
    <w:tmpl w:val="5718A594"/>
    <w:lvl w:ilvl="0" w:tplc="C3F62AD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60"/>
    <w:rsid w:val="001A2BD5"/>
    <w:rsid w:val="00210B55"/>
    <w:rsid w:val="00282F62"/>
    <w:rsid w:val="00316260"/>
    <w:rsid w:val="00333358"/>
    <w:rsid w:val="00377B18"/>
    <w:rsid w:val="0038393E"/>
    <w:rsid w:val="003E3A04"/>
    <w:rsid w:val="005649B5"/>
    <w:rsid w:val="005D50C8"/>
    <w:rsid w:val="006F1369"/>
    <w:rsid w:val="008433CE"/>
    <w:rsid w:val="009709C5"/>
    <w:rsid w:val="00A2503E"/>
    <w:rsid w:val="00AB18A9"/>
    <w:rsid w:val="00B161FE"/>
    <w:rsid w:val="00CF18A2"/>
    <w:rsid w:val="00D4169E"/>
    <w:rsid w:val="00DE4929"/>
    <w:rsid w:val="00E50EF2"/>
    <w:rsid w:val="00F01C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023914"/>
  <w15:chartTrackingRefBased/>
  <w15:docId w15:val="{C9A4A661-5EE8-4848-B1F8-EFCB18AA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260"/>
    <w:pPr>
      <w:bidi/>
      <w:spacing w:after="0" w:line="360" w:lineRule="auto"/>
      <w:jc w:val="both"/>
    </w:pPr>
    <w:rPr>
      <w:rFonts w:ascii="Times New Roman" w:eastAsia="Times New Roman" w:hAnsi="Times New Roman"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16260"/>
    <w:rPr>
      <w:rFonts w:ascii="Times New Roman" w:eastAsia="Times New Roman" w:hAnsi="Times New Roman" w:cs="David"/>
      <w:sz w:val="28"/>
      <w:szCs w:val="28"/>
    </w:rPr>
  </w:style>
  <w:style w:type="paragraph" w:styleId="ListParagraph">
    <w:name w:val="List Paragraph"/>
    <w:basedOn w:val="Normal"/>
    <w:link w:val="ListParagraphChar"/>
    <w:uiPriority w:val="34"/>
    <w:qFormat/>
    <w:rsid w:val="00316260"/>
    <w:pPr>
      <w:ind w:left="720"/>
      <w:contextualSpacing/>
    </w:pPr>
  </w:style>
  <w:style w:type="paragraph" w:styleId="Header">
    <w:name w:val="header"/>
    <w:basedOn w:val="Normal"/>
    <w:link w:val="HeaderChar"/>
    <w:unhideWhenUsed/>
    <w:rsid w:val="00316260"/>
    <w:pPr>
      <w:tabs>
        <w:tab w:val="center" w:pos="4153"/>
        <w:tab w:val="right" w:pos="8306"/>
      </w:tabs>
      <w:spacing w:line="240" w:lineRule="auto"/>
    </w:pPr>
  </w:style>
  <w:style w:type="character" w:customStyle="1" w:styleId="HeaderChar">
    <w:name w:val="Header Char"/>
    <w:basedOn w:val="DefaultParagraphFont"/>
    <w:link w:val="Header"/>
    <w:rsid w:val="00316260"/>
    <w:rPr>
      <w:rFonts w:ascii="Times New Roman" w:eastAsia="Times New Roman" w:hAnsi="Times New Roman" w:cs="David"/>
      <w:sz w:val="28"/>
      <w:szCs w:val="28"/>
    </w:rPr>
  </w:style>
  <w:style w:type="paragraph" w:styleId="Footer">
    <w:name w:val="footer"/>
    <w:basedOn w:val="Normal"/>
    <w:link w:val="FooterChar"/>
    <w:uiPriority w:val="99"/>
    <w:unhideWhenUsed/>
    <w:rsid w:val="00316260"/>
    <w:pPr>
      <w:tabs>
        <w:tab w:val="center" w:pos="4153"/>
        <w:tab w:val="right" w:pos="8306"/>
      </w:tabs>
      <w:spacing w:line="240" w:lineRule="auto"/>
    </w:pPr>
  </w:style>
  <w:style w:type="character" w:customStyle="1" w:styleId="FooterChar">
    <w:name w:val="Footer Char"/>
    <w:basedOn w:val="DefaultParagraphFont"/>
    <w:link w:val="Footer"/>
    <w:uiPriority w:val="99"/>
    <w:rsid w:val="00316260"/>
    <w:rPr>
      <w:rFonts w:ascii="Times New Roman" w:eastAsia="Times New Roman" w:hAnsi="Times New Roman"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A038-4259-4AA7-971D-01D942D0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4</Pages>
  <Words>1078</Words>
  <Characters>5391</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 משש - יבד"ץ 205/בית הדין לערעורים/משקי"ת משפט/</dc:creator>
  <cp:keywords/>
  <dc:description/>
  <cp:lastModifiedBy>יבד"ץ 205/בית הדין לערעורים/עוזרת משפטית/דניאל אוזן</cp:lastModifiedBy>
  <cp:revision>18</cp:revision>
  <cp:lastPrinted>2023-06-18T12:19:00Z</cp:lastPrinted>
  <dcterms:created xsi:type="dcterms:W3CDTF">2023-06-18T12:01:00Z</dcterms:created>
  <dcterms:modified xsi:type="dcterms:W3CDTF">2023-06-27T09:23:00Z</dcterms:modified>
</cp:coreProperties>
</file>