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C33358" w14:textId="0FD886F0" w:rsidR="00C338A5" w:rsidRPr="00C338A5" w:rsidRDefault="00C338A5" w:rsidP="00C338A5">
      <w:pPr>
        <w:tabs>
          <w:tab w:val="right" w:pos="6710"/>
        </w:tabs>
        <w:spacing w:line="480" w:lineRule="auto"/>
        <w:ind w:left="2458" w:right="1985"/>
        <w:rPr>
          <w:rtl/>
        </w:rPr>
      </w:pPr>
      <w:bookmarkStart w:id="0" w:name="_Hlk149821736"/>
      <w:bookmarkStart w:id="1" w:name="_Hlk149824479"/>
      <w:r w:rsidRPr="00164FD0">
        <w:rPr>
          <w:noProof/>
        </w:rPr>
        <w:drawing>
          <wp:inline distT="0" distB="0" distL="0" distR="0" wp14:anchorId="3F59337A" wp14:editId="5C1892C1">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35C2E23C" wp14:editId="106DF5C3">
            <wp:extent cx="581025" cy="790575"/>
            <wp:effectExtent l="0" t="0" r="9525" b="9525"/>
            <wp:docPr id="2" name="Picture 2"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781F3E3F" w14:textId="1F392EC0" w:rsidR="00C338A5" w:rsidRPr="00FD2DDA" w:rsidRDefault="004B6271" w:rsidP="00C338A5">
      <w:pPr>
        <w:bidi w:val="0"/>
        <w:spacing w:line="480" w:lineRule="auto"/>
        <w:jc w:val="center"/>
        <w:rPr>
          <w:rFonts w:ascii="David" w:hAnsi="David"/>
          <w:b/>
          <w:bCs/>
          <w:u w:val="single"/>
        </w:rPr>
      </w:pPr>
      <w:r w:rsidRPr="00FD2DDA">
        <w:rPr>
          <w:rFonts w:ascii="David" w:hAnsi="David" w:hint="cs"/>
          <w:b/>
          <w:bCs/>
          <w:u w:val="single"/>
          <w:rtl/>
        </w:rPr>
        <w:t>בבית הדין הצבאי לערעורים</w:t>
      </w:r>
    </w:p>
    <w:p w14:paraId="14BA588F" w14:textId="77777777" w:rsidR="004B6271" w:rsidRPr="00FD2DDA" w:rsidRDefault="004B6271" w:rsidP="004B6271">
      <w:pPr>
        <w:spacing w:before="120" w:after="0" w:line="480" w:lineRule="auto"/>
        <w:rPr>
          <w:rFonts w:ascii="David" w:hAnsi="David"/>
          <w:rtl/>
        </w:rPr>
      </w:pPr>
      <w:r w:rsidRPr="00FD2DDA">
        <w:rPr>
          <w:rFonts w:ascii="David" w:hAnsi="David" w:hint="cs"/>
          <w:rtl/>
        </w:rPr>
        <w:t>בפני:</w:t>
      </w:r>
    </w:p>
    <w:p w14:paraId="4BE418C0" w14:textId="3E9D2144" w:rsidR="004B6271" w:rsidRPr="00BB5867" w:rsidRDefault="004B6271" w:rsidP="00EE3DFE">
      <w:pPr>
        <w:spacing w:line="240" w:lineRule="auto"/>
        <w:jc w:val="center"/>
        <w:rPr>
          <w:rtl/>
        </w:rPr>
      </w:pPr>
      <w:r w:rsidRPr="00ED4EF3">
        <w:rPr>
          <w:rFonts w:hint="cs"/>
          <w:b/>
          <w:bCs/>
          <w:rtl/>
        </w:rPr>
        <w:t>אל"ם מאיה גולדשמידט</w:t>
      </w:r>
      <w:r>
        <w:rPr>
          <w:rFonts w:hint="cs"/>
          <w:rtl/>
        </w:rPr>
        <w:t xml:space="preserve">    </w:t>
      </w:r>
      <w:r w:rsidR="00EE3DFE" w:rsidRPr="00EE3DFE">
        <w:rPr>
          <w:rFonts w:hint="cs"/>
          <w:b/>
          <w:bCs/>
          <w:rtl/>
        </w:rPr>
        <w:t>–</w:t>
      </w:r>
      <w:r>
        <w:rPr>
          <w:rFonts w:hint="cs"/>
          <w:rtl/>
        </w:rPr>
        <w:t xml:space="preserve">   שופטת</w:t>
      </w:r>
    </w:p>
    <w:p w14:paraId="08965D70" w14:textId="77777777" w:rsidR="004B6271" w:rsidRPr="00FD2DDA" w:rsidRDefault="004B6271" w:rsidP="004B6271">
      <w:pPr>
        <w:rPr>
          <w:rFonts w:ascii="David" w:hAnsi="David"/>
          <w:rtl/>
        </w:rPr>
      </w:pPr>
      <w:r w:rsidRPr="00FD2DDA">
        <w:rPr>
          <w:rFonts w:ascii="David" w:hAnsi="David" w:hint="cs"/>
          <w:rtl/>
        </w:rPr>
        <w:t>בעניין:</w:t>
      </w:r>
    </w:p>
    <w:p w14:paraId="0B8B4372" w14:textId="5F2A1800" w:rsidR="004B6271" w:rsidRPr="00FD2DDA" w:rsidRDefault="004B6271" w:rsidP="0096627C">
      <w:pPr>
        <w:jc w:val="center"/>
        <w:rPr>
          <w:rFonts w:ascii="David" w:hAnsi="David"/>
          <w:rtl/>
        </w:rPr>
      </w:pPr>
      <w:r>
        <w:rPr>
          <w:rFonts w:ascii="David" w:hAnsi="David" w:hint="cs"/>
          <w:b/>
          <w:bCs/>
          <w:rtl/>
        </w:rPr>
        <w:t>ח/</w:t>
      </w:r>
      <w:r w:rsidR="0096627C">
        <w:rPr>
          <w:rFonts w:ascii="David" w:hAnsi="David" w:hint="cs"/>
          <w:b/>
          <w:bCs/>
        </w:rPr>
        <w:t>XXXXXXX</w:t>
      </w:r>
      <w:r>
        <w:rPr>
          <w:rFonts w:ascii="David" w:hAnsi="David" w:hint="cs"/>
          <w:b/>
          <w:bCs/>
          <w:rtl/>
        </w:rPr>
        <w:t xml:space="preserve"> טור' </w:t>
      </w:r>
      <w:r w:rsidR="0096627C">
        <w:rPr>
          <w:rFonts w:ascii="David" w:hAnsi="David" w:hint="cs"/>
          <w:b/>
          <w:bCs/>
          <w:rtl/>
        </w:rPr>
        <w:t>ל' ג'</w:t>
      </w:r>
      <w:r w:rsidRPr="00FD2DDA">
        <w:rPr>
          <w:rFonts w:ascii="David" w:hAnsi="David" w:hint="cs"/>
          <w:b/>
          <w:bCs/>
          <w:rtl/>
        </w:rPr>
        <w:t xml:space="preserve"> </w:t>
      </w:r>
      <w:bookmarkStart w:id="2" w:name="_Hlk193095257"/>
      <w:r w:rsidRPr="00FD2DDA">
        <w:rPr>
          <w:rFonts w:ascii="David" w:hAnsi="David" w:hint="cs"/>
          <w:b/>
          <w:bCs/>
          <w:rtl/>
        </w:rPr>
        <w:t>–</w:t>
      </w:r>
      <w:bookmarkEnd w:id="2"/>
      <w:r w:rsidRPr="00FD2DDA">
        <w:rPr>
          <w:rFonts w:ascii="David" w:hAnsi="David" w:hint="cs"/>
          <w:rtl/>
        </w:rPr>
        <w:t xml:space="preserve"> המערער (ע"י ב"כ,</w:t>
      </w:r>
      <w:r>
        <w:rPr>
          <w:rFonts w:ascii="David" w:hAnsi="David" w:hint="cs"/>
          <w:rtl/>
        </w:rPr>
        <w:t xml:space="preserve"> עו"ד עידן </w:t>
      </w:r>
      <w:r w:rsidR="008E598F">
        <w:rPr>
          <w:rFonts w:ascii="David" w:hAnsi="David" w:hint="cs"/>
          <w:rtl/>
        </w:rPr>
        <w:t>ד</w:t>
      </w:r>
      <w:r>
        <w:rPr>
          <w:rFonts w:ascii="David" w:hAnsi="David" w:hint="cs"/>
          <w:rtl/>
        </w:rPr>
        <w:t>ביר</w:t>
      </w:r>
      <w:r w:rsidRPr="00FD2DDA">
        <w:rPr>
          <w:rFonts w:ascii="David" w:hAnsi="David" w:hint="cs"/>
          <w:rtl/>
        </w:rPr>
        <w:t>)</w:t>
      </w:r>
    </w:p>
    <w:p w14:paraId="78A710E7" w14:textId="77777777" w:rsidR="004B6271" w:rsidRPr="00FD2DDA" w:rsidRDefault="004B6271" w:rsidP="004B6271">
      <w:pPr>
        <w:jc w:val="center"/>
        <w:rPr>
          <w:rFonts w:ascii="David" w:hAnsi="David"/>
          <w:rtl/>
        </w:rPr>
      </w:pPr>
    </w:p>
    <w:p w14:paraId="3C40595E" w14:textId="77777777" w:rsidR="004B6271" w:rsidRPr="00FD2DDA" w:rsidRDefault="004B6271" w:rsidP="004B6271">
      <w:pPr>
        <w:spacing w:after="360"/>
        <w:jc w:val="center"/>
        <w:rPr>
          <w:rFonts w:ascii="David" w:hAnsi="David"/>
          <w:b/>
          <w:bCs/>
          <w:rtl/>
        </w:rPr>
      </w:pPr>
      <w:r w:rsidRPr="00FD2DDA">
        <w:rPr>
          <w:rFonts w:ascii="David" w:hAnsi="David" w:hint="cs"/>
          <w:b/>
          <w:bCs/>
          <w:rtl/>
        </w:rPr>
        <w:t xml:space="preserve">נ ג ד </w:t>
      </w:r>
    </w:p>
    <w:p w14:paraId="0BB130E9" w14:textId="522D3F62" w:rsidR="004B6271" w:rsidRPr="00FD2DDA" w:rsidRDefault="004B6271" w:rsidP="004B6271">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סגן הגר לבנטר</w:t>
      </w:r>
      <w:r w:rsidRPr="00FD2DDA">
        <w:rPr>
          <w:rFonts w:ascii="David" w:hAnsi="David" w:hint="cs"/>
          <w:rtl/>
        </w:rPr>
        <w:t>)</w:t>
      </w:r>
    </w:p>
    <w:p w14:paraId="27AE123E" w14:textId="77777777" w:rsidR="004B6271" w:rsidRPr="00FD2DDA" w:rsidRDefault="004B6271" w:rsidP="004B6271">
      <w:pPr>
        <w:spacing w:after="360" w:line="360" w:lineRule="auto"/>
        <w:rPr>
          <w:rFonts w:ascii="David" w:hAnsi="David"/>
          <w:b/>
          <w:bCs/>
          <w:u w:val="single"/>
          <w:rtl/>
        </w:rPr>
      </w:pPr>
    </w:p>
    <w:p w14:paraId="5BFEA5D2" w14:textId="66193531" w:rsidR="004B6271" w:rsidRDefault="004B6271" w:rsidP="004B6271">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המטכ"ל</w:t>
      </w:r>
      <w:r w:rsidRPr="00FD2DDA">
        <w:rPr>
          <w:rFonts w:ascii="David" w:hAnsi="David" w:hint="cs"/>
          <w:rtl/>
        </w:rPr>
        <w:t xml:space="preserve"> שניתן בתיק </w:t>
      </w:r>
      <w:r>
        <w:rPr>
          <w:rFonts w:ascii="David" w:hAnsi="David" w:hint="cs"/>
          <w:rtl/>
        </w:rPr>
        <w:t>מטכ"ל</w:t>
      </w:r>
      <w:r w:rsidRPr="00FD2DDA">
        <w:rPr>
          <w:rFonts w:ascii="David" w:hAnsi="David" w:hint="cs"/>
          <w:rtl/>
        </w:rPr>
        <w:t xml:space="preserve"> </w:t>
      </w:r>
      <w:r w:rsidR="008E598F">
        <w:rPr>
          <w:rFonts w:ascii="David" w:hAnsi="David" w:hint="cs"/>
          <w:rtl/>
        </w:rPr>
        <w:t>(מ"ת)</w:t>
      </w:r>
      <w:r>
        <w:rPr>
          <w:rFonts w:ascii="David" w:hAnsi="David" w:hint="cs"/>
          <w:rtl/>
        </w:rPr>
        <w:t xml:space="preserve"> 6716-02-25</w:t>
      </w:r>
      <w:r w:rsidRPr="00FE7B6F">
        <w:rPr>
          <w:rFonts w:ascii="David" w:hAnsi="David" w:hint="cs"/>
          <w:rtl/>
        </w:rPr>
        <w:t xml:space="preserve"> (</w:t>
      </w:r>
      <w:r>
        <w:rPr>
          <w:rFonts w:ascii="David" w:hAnsi="David" w:hint="cs"/>
          <w:rtl/>
        </w:rPr>
        <w:t>סא"ל רינת לוי-מוסקוביץ' - שופטת</w:t>
      </w:r>
      <w:r w:rsidRPr="00FE7B6F">
        <w:rPr>
          <w:rFonts w:ascii="David" w:hAnsi="David" w:hint="cs"/>
          <w:rtl/>
        </w:rPr>
        <w:t xml:space="preserve">) ביום </w:t>
      </w:r>
      <w:r>
        <w:rPr>
          <w:rFonts w:ascii="David" w:hAnsi="David" w:hint="cs"/>
          <w:rtl/>
        </w:rPr>
        <w:t>1</w:t>
      </w:r>
      <w:r w:rsidR="00CE6577">
        <w:rPr>
          <w:rFonts w:ascii="David" w:hAnsi="David" w:hint="cs"/>
          <w:rtl/>
        </w:rPr>
        <w:t>0</w:t>
      </w:r>
      <w:r>
        <w:rPr>
          <w:rFonts w:ascii="David" w:hAnsi="David" w:hint="cs"/>
          <w:rtl/>
        </w:rPr>
        <w:t>.3.2025</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Pr>
          <w:rFonts w:ascii="David" w:hAnsi="David" w:hint="cs"/>
          <w:rtl/>
        </w:rPr>
        <w:t>נדחה.</w:t>
      </w:r>
    </w:p>
    <w:bookmarkEnd w:id="1"/>
    <w:p w14:paraId="0AEA3A9C" w14:textId="77777777" w:rsidR="004B6271" w:rsidRDefault="004B6271" w:rsidP="00843BD6">
      <w:pPr>
        <w:spacing w:after="0" w:line="360" w:lineRule="auto"/>
        <w:ind w:left="276"/>
        <w:contextualSpacing/>
        <w:jc w:val="center"/>
        <w:outlineLvl w:val="0"/>
        <w:rPr>
          <w:b/>
          <w:bCs/>
          <w:u w:val="single"/>
          <w:rtl/>
        </w:rPr>
      </w:pPr>
    </w:p>
    <w:p w14:paraId="7897FE5B" w14:textId="1BF5080F" w:rsidR="00CC4E78" w:rsidRDefault="00CC4E78" w:rsidP="00843BD6">
      <w:pPr>
        <w:spacing w:after="0" w:line="360" w:lineRule="auto"/>
        <w:ind w:left="276"/>
        <w:contextualSpacing/>
        <w:jc w:val="center"/>
        <w:outlineLvl w:val="0"/>
        <w:rPr>
          <w:b/>
          <w:bCs/>
          <w:u w:val="single"/>
          <w:rtl/>
        </w:rPr>
      </w:pPr>
      <w:r>
        <w:rPr>
          <w:rFonts w:hint="cs"/>
          <w:b/>
          <w:bCs/>
          <w:u w:val="single"/>
          <w:rtl/>
        </w:rPr>
        <w:t>ה ח ל ט ה</w:t>
      </w:r>
    </w:p>
    <w:p w14:paraId="4D6E3CB5" w14:textId="5BECD092" w:rsidR="00CC4E78" w:rsidRDefault="00CC4E78" w:rsidP="00CC4E78">
      <w:pPr>
        <w:pStyle w:val="ListParagraph"/>
        <w:numPr>
          <w:ilvl w:val="0"/>
          <w:numId w:val="3"/>
        </w:numPr>
        <w:spacing w:after="0" w:line="360" w:lineRule="auto"/>
        <w:jc w:val="both"/>
        <w:outlineLvl w:val="0"/>
      </w:pPr>
      <w:r>
        <w:rPr>
          <w:rFonts w:hint="cs"/>
          <w:rtl/>
        </w:rPr>
        <w:t>לאחר שמיעת טיעוני הצדדים מצאתי לדחות את ערעור ההגנה.</w:t>
      </w:r>
    </w:p>
    <w:p w14:paraId="270A5512" w14:textId="74042C46" w:rsidR="00CC4E78" w:rsidRDefault="00CC4E78" w:rsidP="00CC4E78">
      <w:pPr>
        <w:pStyle w:val="ListParagraph"/>
        <w:numPr>
          <w:ilvl w:val="0"/>
          <w:numId w:val="3"/>
        </w:numPr>
        <w:spacing w:after="0" w:line="360" w:lineRule="auto"/>
        <w:jc w:val="both"/>
        <w:outlineLvl w:val="0"/>
      </w:pPr>
      <w:r>
        <w:rPr>
          <w:rFonts w:hint="cs"/>
          <w:rtl/>
        </w:rPr>
        <w:t>נימוקי ההחלטה יימסרו בהקדם לצדדים.</w:t>
      </w:r>
    </w:p>
    <w:p w14:paraId="5F2375CF" w14:textId="13BDE1AC" w:rsidR="00CC4E78" w:rsidRDefault="00CC4E78" w:rsidP="00CC4E78">
      <w:pPr>
        <w:spacing w:after="0" w:line="360" w:lineRule="auto"/>
        <w:jc w:val="both"/>
        <w:outlineLvl w:val="0"/>
        <w:rPr>
          <w:rtl/>
        </w:rPr>
      </w:pPr>
    </w:p>
    <w:p w14:paraId="350370E1" w14:textId="49F6BCF4" w:rsidR="00CE6577" w:rsidRDefault="00A7630C" w:rsidP="00CC4E78">
      <w:pPr>
        <w:spacing w:after="0" w:line="360" w:lineRule="auto"/>
        <w:jc w:val="both"/>
        <w:outlineLvl w:val="0"/>
        <w:rPr>
          <w:rtl/>
        </w:rPr>
      </w:pPr>
      <w:r>
        <w:rPr>
          <w:rFonts w:hint="cs"/>
          <w:rtl/>
        </w:rPr>
        <w:t>ההחלטה ניתנה היום</w:t>
      </w:r>
      <w:r w:rsidR="00CE6577" w:rsidRPr="00A7630C">
        <w:rPr>
          <w:rFonts w:hint="cs"/>
          <w:rtl/>
        </w:rPr>
        <w:t xml:space="preserve">, י"א באדר תשפ"ה, 11 במרץ  2025, במעמד </w:t>
      </w:r>
      <w:r>
        <w:rPr>
          <w:rFonts w:hint="cs"/>
          <w:rtl/>
        </w:rPr>
        <w:t>הצדדים</w:t>
      </w:r>
    </w:p>
    <w:p w14:paraId="33D8D241" w14:textId="2006C44F" w:rsidR="00C46AEF" w:rsidRDefault="00C46AEF" w:rsidP="00CC4E78">
      <w:pPr>
        <w:spacing w:after="0" w:line="360" w:lineRule="auto"/>
        <w:jc w:val="both"/>
        <w:outlineLvl w:val="0"/>
        <w:rPr>
          <w:rtl/>
        </w:rPr>
      </w:pPr>
    </w:p>
    <w:p w14:paraId="056DCC54" w14:textId="77777777" w:rsidR="0075069B" w:rsidRPr="00F80CBF" w:rsidRDefault="0075069B" w:rsidP="0075069B">
      <w:pPr>
        <w:tabs>
          <w:tab w:val="center" w:pos="1599"/>
          <w:tab w:val="center" w:pos="4150"/>
          <w:tab w:val="center" w:pos="6702"/>
        </w:tabs>
        <w:spacing w:after="0" w:line="360" w:lineRule="auto"/>
        <w:contextualSpacing/>
        <w:jc w:val="right"/>
        <w:rPr>
          <w:b/>
          <w:bCs/>
          <w:rtl/>
        </w:rPr>
      </w:pPr>
      <w:r>
        <w:rPr>
          <w:rFonts w:hint="cs"/>
          <w:b/>
          <w:bCs/>
          <w:rtl/>
        </w:rPr>
        <w:t>____</w:t>
      </w:r>
      <w:r w:rsidRPr="00F80CBF">
        <w:rPr>
          <w:b/>
          <w:bCs/>
          <w:rtl/>
        </w:rPr>
        <w:t>______________</w:t>
      </w:r>
    </w:p>
    <w:p w14:paraId="60445581" w14:textId="77777777" w:rsidR="0075069B" w:rsidRDefault="0075069B" w:rsidP="0075069B">
      <w:pPr>
        <w:tabs>
          <w:tab w:val="center" w:pos="1599"/>
          <w:tab w:val="center" w:pos="4150"/>
          <w:tab w:val="center" w:pos="6702"/>
        </w:tabs>
        <w:spacing w:after="0" w:line="360" w:lineRule="auto"/>
        <w:contextualSpacing/>
        <w:jc w:val="right"/>
        <w:rPr>
          <w:b/>
          <w:bCs/>
          <w:rtl/>
        </w:rPr>
      </w:pPr>
      <w:r>
        <w:rPr>
          <w:rFonts w:hint="cs"/>
          <w:b/>
          <w:bCs/>
          <w:rtl/>
        </w:rPr>
        <w:t>אל"ם  מאיה גולדשמידט</w:t>
      </w:r>
    </w:p>
    <w:p w14:paraId="38912F66" w14:textId="77777777" w:rsidR="0075069B" w:rsidRDefault="0075069B" w:rsidP="0075069B">
      <w:pPr>
        <w:tabs>
          <w:tab w:val="center" w:pos="1599"/>
          <w:tab w:val="center" w:pos="4150"/>
          <w:tab w:val="center" w:pos="6702"/>
        </w:tabs>
        <w:spacing w:after="0" w:line="360" w:lineRule="auto"/>
        <w:contextualSpacing/>
        <w:jc w:val="right"/>
        <w:rPr>
          <w:b/>
          <w:bCs/>
          <w:rtl/>
        </w:rPr>
      </w:pPr>
      <w:r>
        <w:rPr>
          <w:rFonts w:hint="cs"/>
          <w:b/>
          <w:bCs/>
          <w:rtl/>
        </w:rPr>
        <w:t>שופטת  בית  הדין הצבאי</w:t>
      </w:r>
    </w:p>
    <w:p w14:paraId="05DE3846" w14:textId="1A43986F" w:rsidR="00C541FE" w:rsidRPr="00CE6577" w:rsidRDefault="0075069B" w:rsidP="006369B9">
      <w:pPr>
        <w:tabs>
          <w:tab w:val="center" w:pos="1599"/>
          <w:tab w:val="center" w:pos="4150"/>
          <w:tab w:val="center" w:pos="6702"/>
        </w:tabs>
        <w:spacing w:after="0" w:line="360" w:lineRule="auto"/>
        <w:contextualSpacing/>
        <w:jc w:val="right"/>
        <w:rPr>
          <w:b/>
          <w:bCs/>
          <w:rtl/>
        </w:rPr>
      </w:pPr>
      <w:r>
        <w:rPr>
          <w:rFonts w:hint="cs"/>
          <w:b/>
          <w:bCs/>
          <w:rtl/>
        </w:rPr>
        <w:t>ל     ע    ר    ע   ו   ר   י   ם</w:t>
      </w:r>
    </w:p>
    <w:p w14:paraId="6E3E0DCA" w14:textId="7A05D94C" w:rsidR="00843BD6" w:rsidRPr="00F80CBF" w:rsidRDefault="00CC4E78" w:rsidP="00843BD6">
      <w:pPr>
        <w:spacing w:after="0" w:line="360" w:lineRule="auto"/>
        <w:ind w:left="276"/>
        <w:contextualSpacing/>
        <w:jc w:val="center"/>
        <w:outlineLvl w:val="0"/>
        <w:rPr>
          <w:b/>
          <w:bCs/>
          <w:u w:val="single"/>
          <w:rtl/>
        </w:rPr>
      </w:pPr>
      <w:r>
        <w:rPr>
          <w:rFonts w:hint="cs"/>
          <w:b/>
          <w:bCs/>
          <w:u w:val="single"/>
          <w:rtl/>
        </w:rPr>
        <w:lastRenderedPageBreak/>
        <w:t xml:space="preserve">נ י מ ו ק י - </w:t>
      </w:r>
      <w:r w:rsidR="00843BD6">
        <w:rPr>
          <w:rFonts w:hint="cs"/>
          <w:b/>
          <w:bCs/>
          <w:u w:val="single"/>
          <w:rtl/>
        </w:rPr>
        <w:t>ה</w:t>
      </w:r>
      <w:r w:rsidR="004B6271">
        <w:rPr>
          <w:rFonts w:hint="cs"/>
          <w:b/>
          <w:bCs/>
          <w:u w:val="single"/>
          <w:rtl/>
        </w:rPr>
        <w:t xml:space="preserve"> </w:t>
      </w:r>
      <w:r w:rsidR="00843BD6">
        <w:rPr>
          <w:rFonts w:hint="cs"/>
          <w:b/>
          <w:bCs/>
          <w:u w:val="single"/>
          <w:rtl/>
        </w:rPr>
        <w:t>ח</w:t>
      </w:r>
      <w:r w:rsidR="004B6271">
        <w:rPr>
          <w:rFonts w:hint="cs"/>
          <w:b/>
          <w:bCs/>
          <w:u w:val="single"/>
          <w:rtl/>
        </w:rPr>
        <w:t xml:space="preserve"> </w:t>
      </w:r>
      <w:r w:rsidR="00843BD6">
        <w:rPr>
          <w:rFonts w:hint="cs"/>
          <w:b/>
          <w:bCs/>
          <w:u w:val="single"/>
          <w:rtl/>
        </w:rPr>
        <w:t>ל</w:t>
      </w:r>
      <w:r w:rsidR="004B6271">
        <w:rPr>
          <w:rFonts w:hint="cs"/>
          <w:b/>
          <w:bCs/>
          <w:u w:val="single"/>
          <w:rtl/>
        </w:rPr>
        <w:t xml:space="preserve"> </w:t>
      </w:r>
      <w:r w:rsidR="00843BD6">
        <w:rPr>
          <w:rFonts w:hint="cs"/>
          <w:b/>
          <w:bCs/>
          <w:u w:val="single"/>
          <w:rtl/>
        </w:rPr>
        <w:t>ט</w:t>
      </w:r>
      <w:r w:rsidR="004B6271">
        <w:rPr>
          <w:rFonts w:hint="cs"/>
          <w:b/>
          <w:bCs/>
          <w:u w:val="single"/>
          <w:rtl/>
        </w:rPr>
        <w:t xml:space="preserve"> </w:t>
      </w:r>
      <w:r w:rsidR="00843BD6">
        <w:rPr>
          <w:rFonts w:hint="cs"/>
          <w:b/>
          <w:bCs/>
          <w:u w:val="single"/>
          <w:rtl/>
        </w:rPr>
        <w:t xml:space="preserve">ה </w:t>
      </w:r>
    </w:p>
    <w:p w14:paraId="5DA3E08A" w14:textId="77777777" w:rsidR="00843BD6" w:rsidRDefault="00843BD6" w:rsidP="00843BD6">
      <w:pPr>
        <w:pStyle w:val="1"/>
        <w:tabs>
          <w:tab w:val="left" w:pos="283"/>
        </w:tabs>
        <w:spacing w:line="360" w:lineRule="auto"/>
        <w:ind w:left="0"/>
        <w:jc w:val="both"/>
        <w:outlineLvl w:val="0"/>
        <w:rPr>
          <w:rFonts w:cs="David"/>
          <w:b/>
          <w:bCs/>
          <w:sz w:val="28"/>
          <w:szCs w:val="28"/>
          <w:u w:val="single"/>
          <w:rtl/>
        </w:rPr>
      </w:pPr>
    </w:p>
    <w:p w14:paraId="72E9E62C" w14:textId="794A373B" w:rsidR="00843BD6" w:rsidRDefault="00843BD6" w:rsidP="004B6271">
      <w:pPr>
        <w:pStyle w:val="1"/>
        <w:numPr>
          <w:ilvl w:val="0"/>
          <w:numId w:val="2"/>
        </w:numPr>
        <w:tabs>
          <w:tab w:val="left" w:pos="283"/>
        </w:tabs>
        <w:spacing w:line="360" w:lineRule="auto"/>
        <w:ind w:firstLine="23"/>
        <w:jc w:val="both"/>
        <w:outlineLvl w:val="0"/>
        <w:rPr>
          <w:rFonts w:cs="David"/>
          <w:sz w:val="28"/>
          <w:szCs w:val="28"/>
        </w:rPr>
      </w:pPr>
      <w:r>
        <w:rPr>
          <w:rFonts w:cs="David" w:hint="cs"/>
          <w:sz w:val="28"/>
          <w:szCs w:val="28"/>
          <w:rtl/>
        </w:rPr>
        <w:t xml:space="preserve">ביום  11 במארס 2025 החלטתי לדחות את ערעורה של ההגנה על החלטת בית הדין קמא להורות על מעצרה של המערערת, טור' </w:t>
      </w:r>
      <w:r w:rsidR="0096627C">
        <w:rPr>
          <w:rFonts w:cs="David" w:hint="cs"/>
          <w:sz w:val="28"/>
          <w:szCs w:val="28"/>
          <w:rtl/>
        </w:rPr>
        <w:t>ל' ג'</w:t>
      </w:r>
      <w:r>
        <w:rPr>
          <w:rFonts w:cs="David" w:hint="cs"/>
          <w:sz w:val="28"/>
          <w:szCs w:val="28"/>
          <w:rtl/>
        </w:rPr>
        <w:t xml:space="preserve">, עד תום ההליכים המשפטיים בעניינה. להלן יפורטו נימוקי ההחלטה. </w:t>
      </w:r>
    </w:p>
    <w:p w14:paraId="1230103C" w14:textId="77777777" w:rsidR="00843BD6" w:rsidRDefault="00843BD6" w:rsidP="004B6271">
      <w:pPr>
        <w:pStyle w:val="1"/>
        <w:numPr>
          <w:ilvl w:val="0"/>
          <w:numId w:val="2"/>
        </w:numPr>
        <w:tabs>
          <w:tab w:val="left" w:pos="283"/>
        </w:tabs>
        <w:spacing w:line="360" w:lineRule="auto"/>
        <w:ind w:firstLine="23"/>
        <w:jc w:val="both"/>
        <w:outlineLvl w:val="0"/>
        <w:rPr>
          <w:rFonts w:cs="David"/>
          <w:sz w:val="28"/>
          <w:szCs w:val="28"/>
        </w:rPr>
      </w:pPr>
      <w:r>
        <w:rPr>
          <w:rFonts w:cs="David" w:hint="cs"/>
          <w:sz w:val="28"/>
          <w:szCs w:val="28"/>
          <w:rtl/>
        </w:rPr>
        <w:t xml:space="preserve">בכתב האישום שהוגש כנגד המערערת ביום 5 בפברואר 2025 נטען כי נעדרה משירותה הצבאי, לפי סעיף 94 לחוק השיפוט הצבאי, תשט"ו-1955, למשך 1,446 ימים, במועדים שבין 18 בפברואר 2021 ועד ליום 2 בפברואר 2025, בכך שהשתמטה מהתייצבות לשירות צבאי. המערערת התייצבה בסיום היעדרותה. </w:t>
      </w:r>
    </w:p>
    <w:p w14:paraId="58EB9727" w14:textId="77777777" w:rsidR="00843BD6" w:rsidRDefault="00843BD6" w:rsidP="004B6271">
      <w:pPr>
        <w:pStyle w:val="1"/>
        <w:numPr>
          <w:ilvl w:val="0"/>
          <w:numId w:val="2"/>
        </w:numPr>
        <w:tabs>
          <w:tab w:val="left" w:pos="283"/>
        </w:tabs>
        <w:spacing w:line="360" w:lineRule="auto"/>
        <w:ind w:firstLine="23"/>
        <w:jc w:val="both"/>
        <w:outlineLvl w:val="0"/>
        <w:rPr>
          <w:rFonts w:cs="David"/>
          <w:sz w:val="28"/>
          <w:szCs w:val="28"/>
        </w:rPr>
      </w:pPr>
      <w:r>
        <w:rPr>
          <w:rFonts w:cs="David" w:hint="cs"/>
          <w:sz w:val="28"/>
          <w:szCs w:val="28"/>
          <w:rtl/>
        </w:rPr>
        <w:t>לאחר הגשת כתב האישום בעניינה הוארך מעצרה של המערערת מעת לעת בהסכמת הצדדים, תוך שההגנה העלתה טענות שונות במהלך הדיונים, הנוגעות למצבה הנפשי של המערערת ולצורך בבחינתה על ידי גורמי בריאות הנפש. בדיון שנערך ביום 9 במארס 2025 בפני בית הדין קמא (כב' השופטת סא"ל רינת לוי מוסקוביץ')</w:t>
      </w:r>
      <w:r>
        <w:rPr>
          <w:rFonts w:cs="David"/>
          <w:sz w:val="28"/>
          <w:szCs w:val="28"/>
        </w:rPr>
        <w:t xml:space="preserve"> </w:t>
      </w:r>
      <w:r>
        <w:rPr>
          <w:rFonts w:cs="David" w:hint="cs"/>
          <w:sz w:val="28"/>
          <w:szCs w:val="28"/>
          <w:rtl/>
        </w:rPr>
        <w:t xml:space="preserve">התנגדה ההגנה להמשך מעצרה של המערערת. ביום 10 במארס 2025 הוחלט כאמור על מעצרה של המערערת עד לתום ההליכים המשפטיים. ההגנה לא השלימה עם ההחלטה, ומכאן הערעור. </w:t>
      </w:r>
    </w:p>
    <w:p w14:paraId="61128656" w14:textId="77777777" w:rsidR="00843BD6" w:rsidRDefault="00843BD6" w:rsidP="004B6271">
      <w:pPr>
        <w:pStyle w:val="1"/>
        <w:tabs>
          <w:tab w:val="left" w:pos="283"/>
        </w:tabs>
        <w:spacing w:line="360" w:lineRule="auto"/>
        <w:ind w:left="0" w:firstLine="23"/>
        <w:jc w:val="both"/>
        <w:outlineLvl w:val="0"/>
        <w:rPr>
          <w:rFonts w:cs="David"/>
          <w:sz w:val="28"/>
          <w:szCs w:val="28"/>
        </w:rPr>
      </w:pPr>
    </w:p>
    <w:p w14:paraId="1EB882E9" w14:textId="77777777" w:rsidR="00843BD6" w:rsidRPr="003270AA" w:rsidRDefault="00843BD6" w:rsidP="004B6271">
      <w:pPr>
        <w:pStyle w:val="1"/>
        <w:tabs>
          <w:tab w:val="left" w:pos="283"/>
        </w:tabs>
        <w:spacing w:line="360" w:lineRule="auto"/>
        <w:ind w:left="0" w:firstLine="23"/>
        <w:jc w:val="both"/>
        <w:outlineLvl w:val="0"/>
        <w:rPr>
          <w:rFonts w:cs="David"/>
          <w:b/>
          <w:bCs/>
          <w:sz w:val="28"/>
          <w:szCs w:val="28"/>
          <w:u w:val="single"/>
          <w:rtl/>
        </w:rPr>
      </w:pPr>
      <w:r>
        <w:rPr>
          <w:rFonts w:cs="David" w:hint="cs"/>
          <w:b/>
          <w:bCs/>
          <w:sz w:val="28"/>
          <w:szCs w:val="28"/>
          <w:u w:val="single"/>
          <w:rtl/>
        </w:rPr>
        <w:t>המסד הראייתי והחלטת בית הדין קמא</w:t>
      </w:r>
    </w:p>
    <w:p w14:paraId="2782ED2D" w14:textId="77777777" w:rsidR="00843BD6" w:rsidRPr="00C46AEF" w:rsidRDefault="00843BD6" w:rsidP="004B6271">
      <w:pPr>
        <w:pStyle w:val="1"/>
        <w:tabs>
          <w:tab w:val="left" w:pos="283"/>
        </w:tabs>
        <w:spacing w:line="360" w:lineRule="auto"/>
        <w:ind w:left="0" w:firstLine="23"/>
        <w:jc w:val="both"/>
        <w:outlineLvl w:val="0"/>
        <w:rPr>
          <w:rFonts w:cs="David"/>
          <w:sz w:val="4"/>
          <w:szCs w:val="4"/>
        </w:rPr>
      </w:pPr>
    </w:p>
    <w:p w14:paraId="64D1AA97" w14:textId="77777777" w:rsidR="00843BD6" w:rsidRDefault="00843BD6" w:rsidP="004B6271">
      <w:pPr>
        <w:pStyle w:val="1"/>
        <w:numPr>
          <w:ilvl w:val="0"/>
          <w:numId w:val="2"/>
        </w:numPr>
        <w:tabs>
          <w:tab w:val="left" w:pos="283"/>
        </w:tabs>
        <w:spacing w:line="360" w:lineRule="auto"/>
        <w:ind w:firstLine="23"/>
        <w:jc w:val="both"/>
        <w:outlineLvl w:val="0"/>
        <w:rPr>
          <w:rFonts w:ascii="David" w:hAnsi="David" w:cs="David"/>
          <w:color w:val="000000"/>
          <w:sz w:val="28"/>
          <w:szCs w:val="28"/>
        </w:rPr>
      </w:pPr>
      <w:r>
        <w:rPr>
          <w:rFonts w:ascii="David" w:hAnsi="David" w:cs="David" w:hint="cs"/>
          <w:color w:val="000000"/>
          <w:sz w:val="28"/>
          <w:szCs w:val="28"/>
          <w:rtl/>
        </w:rPr>
        <w:t xml:space="preserve">ההגנה ביקשה הן בדיון בבית הדין קמא והן בפניי, שלא לטעון באשר למסד הראייתי, תוך שציינה, כי על אף שיש לה טענות בעניין היא נכונה להסכים, לצורך הדיון, כי מתקיים מסד ראייתי מספק לשלב דיוני זה. </w:t>
      </w:r>
    </w:p>
    <w:p w14:paraId="5A8A5B7D" w14:textId="77777777" w:rsidR="00843BD6" w:rsidRDefault="00843BD6" w:rsidP="004B6271">
      <w:pPr>
        <w:pStyle w:val="1"/>
        <w:numPr>
          <w:ilvl w:val="0"/>
          <w:numId w:val="2"/>
        </w:numPr>
        <w:tabs>
          <w:tab w:val="left" w:pos="283"/>
        </w:tabs>
        <w:spacing w:line="360" w:lineRule="auto"/>
        <w:ind w:firstLine="23"/>
        <w:jc w:val="both"/>
        <w:outlineLvl w:val="0"/>
        <w:rPr>
          <w:rFonts w:ascii="David" w:hAnsi="David" w:cs="David"/>
          <w:color w:val="000000"/>
          <w:sz w:val="28"/>
          <w:szCs w:val="28"/>
        </w:rPr>
      </w:pPr>
      <w:r>
        <w:rPr>
          <w:rFonts w:ascii="David" w:hAnsi="David" w:cs="David" w:hint="cs"/>
          <w:color w:val="000000"/>
          <w:sz w:val="28"/>
          <w:szCs w:val="28"/>
          <w:rtl/>
        </w:rPr>
        <w:t>בקצרה יבואר (שכן הדברים משליכים גם על טענות ההגנה בערעור)</w:t>
      </w:r>
      <w:r>
        <w:rPr>
          <w:rFonts w:ascii="David" w:hAnsi="David" w:cs="David"/>
          <w:color w:val="000000"/>
          <w:sz w:val="28"/>
          <w:szCs w:val="28"/>
        </w:rPr>
        <w:t xml:space="preserve"> </w:t>
      </w:r>
      <w:r>
        <w:rPr>
          <w:rFonts w:ascii="David" w:hAnsi="David" w:cs="David" w:hint="cs"/>
          <w:color w:val="000000"/>
          <w:sz w:val="28"/>
          <w:szCs w:val="28"/>
          <w:rtl/>
        </w:rPr>
        <w:t xml:space="preserve">כי המערערת התייצבה בשנת 2019 בלשכת הגיוס ל"צו ראשון" ועברה בדיקות רפואיות, שבעקבותיהן התבקשה להשלים נתונים ולערוך מספר בדיקות בנוגע למצבה הרפואי הפיזי. לאור האמור נדחתה קביעת הפרופיל הרפואי שלה. המערערת לא השלימה את הליך הבירור הרפואי ולא שיתפה פעולה עם לשכת הגיוס. לאחר שניסיונות לזמן את המערערת להשלים את הליך הבדיקה הרפואית לא צלחו, החליטה הפוקדת לקרוא לה לשירות, בהתאם לסמכותה לפי סעיף 12 לחוק שירות ביטחון [נוסח משולב], התשמ"ו - 1986. עובר למועד הגיוס (שנקבע ליום 18 בפברואר 2021), ואחריו נערכו שיחות של גורמים בלשכת הגיוס עם המערערת ועם אמה. המערערת טענה כי לא התייצבה לגיוסה לאור ניתוח קיצור קיבה שהיא עתידה לעבור בקרוב, אולם לא נשלחו מסמכים מתאימים. לאחר התייצבותה בסיום ההיעדרות, טענה באמרתה כי הניתוח שעברה השפיע לרעה על מצבה הבריאותי והנפשי, וכן ציינה מספר פרטים אישיים נוספים. </w:t>
      </w:r>
    </w:p>
    <w:p w14:paraId="08E4B530" w14:textId="77777777" w:rsidR="00843BD6" w:rsidRDefault="00843BD6" w:rsidP="004B6271">
      <w:pPr>
        <w:pStyle w:val="1"/>
        <w:numPr>
          <w:ilvl w:val="0"/>
          <w:numId w:val="2"/>
        </w:numPr>
        <w:tabs>
          <w:tab w:val="left" w:pos="283"/>
        </w:tabs>
        <w:spacing w:line="360" w:lineRule="auto"/>
        <w:ind w:firstLine="23"/>
        <w:jc w:val="both"/>
        <w:outlineLvl w:val="0"/>
        <w:rPr>
          <w:rFonts w:ascii="David" w:hAnsi="David" w:cs="David"/>
          <w:color w:val="000000"/>
          <w:sz w:val="28"/>
          <w:szCs w:val="28"/>
        </w:rPr>
      </w:pPr>
      <w:r>
        <w:rPr>
          <w:rFonts w:ascii="David" w:hAnsi="David" w:cs="David" w:hint="cs"/>
          <w:color w:val="000000"/>
          <w:sz w:val="28"/>
          <w:szCs w:val="28"/>
          <w:rtl/>
        </w:rPr>
        <w:lastRenderedPageBreak/>
        <w:t>בית הדין קמא נדרש לטענת ההגנה, שלפיה, רשויות הצבא לא עמדו בחובתן בהתאם לסעיף 12(א)</w:t>
      </w:r>
      <w:r>
        <w:rPr>
          <w:rFonts w:ascii="David" w:hAnsi="David" w:cs="David"/>
          <w:color w:val="000000"/>
          <w:sz w:val="28"/>
          <w:szCs w:val="28"/>
        </w:rPr>
        <w:t xml:space="preserve"> </w:t>
      </w:r>
      <w:r>
        <w:rPr>
          <w:rFonts w:ascii="David" w:hAnsi="David" w:cs="David" w:hint="cs"/>
          <w:color w:val="000000"/>
          <w:sz w:val="28"/>
          <w:szCs w:val="28"/>
          <w:rtl/>
        </w:rPr>
        <w:t xml:space="preserve">לחוק שירות ביטחון, לקבוע את כושרה הרפואי של המערערת בתוך 30 ימים מיום מעצרה; משום שההמלצה לפרופיל רפואי, שניתנה ביום 20 בפברואר 2025, לא התחשבה, כנטען, בקשיים נפשיים שהעלתה המערערת בפני גורמי בריאות הנפש במתקן הכליאה, שהובילו להמלצה לבדיקה פסיכיאטרית (אשר נקבעה, לפי העדכון שנמסר מבסיס הכליאה, ליום 18 במארס 2025). לפיכך סברה ההגנה, לאור ההלכה שנקבעה בע/111/07 </w:t>
      </w:r>
      <w:r>
        <w:rPr>
          <w:rFonts w:ascii="David" w:hAnsi="David" w:cs="David" w:hint="cs"/>
          <w:b/>
          <w:bCs/>
          <w:color w:val="000000"/>
          <w:sz w:val="28"/>
          <w:szCs w:val="28"/>
          <w:rtl/>
        </w:rPr>
        <w:t xml:space="preserve">טור' סמורגונסקי נ' התובע הצבאי הראשי </w:t>
      </w:r>
      <w:r>
        <w:rPr>
          <w:rFonts w:ascii="David" w:hAnsi="David" w:cs="David" w:hint="cs"/>
          <w:color w:val="000000"/>
          <w:sz w:val="28"/>
          <w:szCs w:val="28"/>
          <w:rtl/>
        </w:rPr>
        <w:t xml:space="preserve">(2007) ורע"פ 3080/10 </w:t>
      </w:r>
      <w:r>
        <w:rPr>
          <w:rFonts w:ascii="David" w:hAnsi="David" w:cs="David" w:hint="cs"/>
          <w:b/>
          <w:bCs/>
          <w:color w:val="000000"/>
          <w:sz w:val="28"/>
          <w:szCs w:val="28"/>
          <w:rtl/>
        </w:rPr>
        <w:t xml:space="preserve">טור' סמורגונסקי נ' התובע הצבאי הראשי </w:t>
      </w:r>
      <w:r>
        <w:rPr>
          <w:rFonts w:ascii="David" w:hAnsi="David" w:cs="David" w:hint="cs"/>
          <w:color w:val="000000"/>
          <w:sz w:val="28"/>
          <w:szCs w:val="28"/>
          <w:rtl/>
        </w:rPr>
        <w:t xml:space="preserve">(25.12.2012), כי יש להורות על שחרורה של המערערת לחלופת מעצר. </w:t>
      </w:r>
    </w:p>
    <w:p w14:paraId="49079FB2" w14:textId="77777777" w:rsidR="00843BD6" w:rsidRPr="005E6DEB" w:rsidRDefault="00843BD6" w:rsidP="004B6271">
      <w:pPr>
        <w:pStyle w:val="1"/>
        <w:numPr>
          <w:ilvl w:val="0"/>
          <w:numId w:val="2"/>
        </w:numPr>
        <w:tabs>
          <w:tab w:val="left" w:pos="283"/>
        </w:tabs>
        <w:spacing w:line="360" w:lineRule="auto"/>
        <w:ind w:firstLine="23"/>
        <w:jc w:val="both"/>
        <w:outlineLvl w:val="0"/>
        <w:rPr>
          <w:rFonts w:ascii="David" w:hAnsi="David" w:cs="David"/>
          <w:color w:val="000000"/>
          <w:sz w:val="28"/>
          <w:szCs w:val="28"/>
        </w:rPr>
      </w:pPr>
      <w:r w:rsidRPr="005E6DEB">
        <w:rPr>
          <w:rFonts w:ascii="David" w:hAnsi="David" w:cs="David" w:hint="cs"/>
          <w:color w:val="000000"/>
          <w:sz w:val="28"/>
          <w:szCs w:val="28"/>
          <w:rtl/>
        </w:rPr>
        <w:t xml:space="preserve">בית הדין קמא סבר, כי משעה שהובא בפניו שכושרה הרפואי של המערערת נקבע בלשכת הגיוס בתוך מגבלת חודש הימים מאז סיום היעדרותה, הרי שיש להניח כי נבדק מכלול הנתונים לגביה, לרבות מצבה הנפשי, ומכאן שאין מדובר במי שכושרה הרפואי לא נבדק במועד. בואר עוד כי המערערת לא העלתה בעבר טענות בנוגע למצבה הנפשי בפני גורמי צה"ל וכי גם </w:t>
      </w:r>
      <w:r>
        <w:rPr>
          <w:rFonts w:ascii="David" w:hAnsi="David" w:cs="David" w:hint="cs"/>
          <w:color w:val="000000"/>
          <w:sz w:val="28"/>
          <w:szCs w:val="28"/>
          <w:rtl/>
        </w:rPr>
        <w:t>מ</w:t>
      </w:r>
      <w:r w:rsidRPr="005E6DEB">
        <w:rPr>
          <w:rFonts w:ascii="David" w:hAnsi="David" w:cs="David" w:hint="cs"/>
          <w:color w:val="000000"/>
          <w:sz w:val="28"/>
          <w:szCs w:val="28"/>
          <w:rtl/>
        </w:rPr>
        <w:t xml:space="preserve">חוות הדעת של גורמי בריאות הנפש שפגשו במערערת במתקן הכליאה לא עלה כי יש דחיפות בהבאתה לפני פסיכיאטר. </w:t>
      </w:r>
      <w:r>
        <w:rPr>
          <w:rFonts w:ascii="David" w:hAnsi="David" w:cs="David" w:hint="cs"/>
          <w:color w:val="000000"/>
          <w:sz w:val="28"/>
          <w:szCs w:val="28"/>
          <w:rtl/>
        </w:rPr>
        <w:t>כן הוטעם</w:t>
      </w:r>
      <w:r w:rsidRPr="005E6DEB">
        <w:rPr>
          <w:rFonts w:ascii="David" w:hAnsi="David" w:cs="David" w:hint="cs"/>
          <w:color w:val="000000"/>
          <w:sz w:val="28"/>
          <w:szCs w:val="28"/>
          <w:rtl/>
        </w:rPr>
        <w:t xml:space="preserve">, כי אף </w:t>
      </w:r>
      <w:r>
        <w:rPr>
          <w:rFonts w:ascii="David" w:hAnsi="David" w:cs="David" w:hint="cs"/>
          <w:color w:val="000000"/>
          <w:sz w:val="28"/>
          <w:szCs w:val="28"/>
          <w:rtl/>
        </w:rPr>
        <w:t>ל</w:t>
      </w:r>
      <w:r w:rsidRPr="005E6DEB">
        <w:rPr>
          <w:rFonts w:ascii="David" w:hAnsi="David" w:cs="David" w:hint="cs"/>
          <w:color w:val="000000"/>
          <w:sz w:val="28"/>
          <w:szCs w:val="28"/>
          <w:rtl/>
        </w:rPr>
        <w:t xml:space="preserve">פי הלכת </w:t>
      </w:r>
      <w:r w:rsidRPr="005E6DEB">
        <w:rPr>
          <w:rFonts w:ascii="David" w:hAnsi="David" w:cs="David" w:hint="cs"/>
          <w:b/>
          <w:bCs/>
          <w:color w:val="000000"/>
          <w:sz w:val="28"/>
          <w:szCs w:val="28"/>
          <w:rtl/>
        </w:rPr>
        <w:t>סמורגונסקי</w:t>
      </w:r>
      <w:r>
        <w:rPr>
          <w:rFonts w:ascii="David" w:hAnsi="David" w:cs="David" w:hint="cs"/>
          <w:color w:val="000000"/>
          <w:sz w:val="28"/>
          <w:szCs w:val="28"/>
          <w:rtl/>
        </w:rPr>
        <w:t>,</w:t>
      </w:r>
      <w:r w:rsidRPr="005E6DEB">
        <w:rPr>
          <w:rFonts w:ascii="David" w:hAnsi="David" w:cs="David" w:hint="cs"/>
          <w:b/>
          <w:bCs/>
          <w:color w:val="000000"/>
          <w:sz w:val="28"/>
          <w:szCs w:val="28"/>
          <w:rtl/>
        </w:rPr>
        <w:t xml:space="preserve"> </w:t>
      </w:r>
      <w:r w:rsidRPr="005E6DEB">
        <w:rPr>
          <w:rFonts w:ascii="David" w:hAnsi="David" w:cs="David" w:hint="cs"/>
          <w:color w:val="000000"/>
          <w:sz w:val="28"/>
          <w:szCs w:val="28"/>
          <w:rtl/>
        </w:rPr>
        <w:t xml:space="preserve">מקום שבו לא הושלמה הבדיקה, יש לבחון את נפקות הפגם ביחס לנסיבות העניין, לאור דוקטרינת הבטלות היחסית. </w:t>
      </w:r>
      <w:r>
        <w:rPr>
          <w:rFonts w:ascii="David" w:hAnsi="David" w:cs="David" w:hint="cs"/>
          <w:color w:val="000000"/>
          <w:sz w:val="28"/>
          <w:szCs w:val="28"/>
          <w:rtl/>
        </w:rPr>
        <w:t>לא</w:t>
      </w:r>
      <w:r w:rsidRPr="005E6DEB">
        <w:rPr>
          <w:rFonts w:ascii="David" w:hAnsi="David" w:cs="David" w:hint="cs"/>
          <w:color w:val="000000"/>
          <w:sz w:val="28"/>
          <w:szCs w:val="28"/>
          <w:rtl/>
        </w:rPr>
        <w:t>ור האמור, ובשים לב לעילות המעצר המתקיימות בעניינה</w:t>
      </w:r>
      <w:r>
        <w:rPr>
          <w:rFonts w:ascii="David" w:hAnsi="David" w:cs="David" w:hint="cs"/>
          <w:color w:val="000000"/>
          <w:sz w:val="28"/>
          <w:szCs w:val="28"/>
          <w:rtl/>
        </w:rPr>
        <w:t xml:space="preserve"> של המערערת</w:t>
      </w:r>
      <w:r w:rsidRPr="005E6DEB">
        <w:rPr>
          <w:rFonts w:ascii="David" w:hAnsi="David" w:cs="David" w:hint="cs"/>
          <w:color w:val="000000"/>
          <w:sz w:val="28"/>
          <w:szCs w:val="28"/>
          <w:rtl/>
        </w:rPr>
        <w:t xml:space="preserve">, נדחו טענות ההגנה. לצד זאת נקבע, כי </w:t>
      </w:r>
      <w:r>
        <w:rPr>
          <w:rFonts w:ascii="David" w:hAnsi="David" w:cs="David" w:hint="cs"/>
          <w:color w:val="000000"/>
          <w:sz w:val="28"/>
          <w:szCs w:val="28"/>
          <w:rtl/>
        </w:rPr>
        <w:t>ככל ש</w:t>
      </w:r>
      <w:r w:rsidRPr="005E6DEB">
        <w:rPr>
          <w:rFonts w:ascii="David" w:hAnsi="David" w:cs="David" w:hint="cs"/>
          <w:color w:val="000000"/>
          <w:sz w:val="28"/>
          <w:szCs w:val="28"/>
          <w:rtl/>
        </w:rPr>
        <w:t>יותאם למערערת בבדיקה הפסיכיאטרית פרופיל פוסל שירות, תוכל ההגנה לפנות בבקשה לעיון חוזר בהחלט</w:t>
      </w:r>
      <w:r>
        <w:rPr>
          <w:rFonts w:ascii="David" w:hAnsi="David" w:cs="David" w:hint="cs"/>
          <w:color w:val="000000"/>
          <w:sz w:val="28"/>
          <w:szCs w:val="28"/>
          <w:rtl/>
        </w:rPr>
        <w:t>ת המעצר</w:t>
      </w:r>
      <w:r w:rsidRPr="005E6DEB">
        <w:rPr>
          <w:rFonts w:ascii="David" w:hAnsi="David" w:cs="David" w:hint="cs"/>
          <w:color w:val="000000"/>
          <w:sz w:val="28"/>
          <w:szCs w:val="28"/>
          <w:rtl/>
        </w:rPr>
        <w:t xml:space="preserve">. </w:t>
      </w:r>
    </w:p>
    <w:p w14:paraId="44863E6A" w14:textId="77777777" w:rsidR="00843BD6" w:rsidRPr="005E6DEB" w:rsidRDefault="00843BD6" w:rsidP="004B6271">
      <w:pPr>
        <w:pStyle w:val="1"/>
        <w:tabs>
          <w:tab w:val="left" w:pos="283"/>
        </w:tabs>
        <w:spacing w:line="360" w:lineRule="auto"/>
        <w:ind w:left="0" w:firstLine="23"/>
        <w:jc w:val="both"/>
        <w:outlineLvl w:val="0"/>
        <w:rPr>
          <w:rFonts w:ascii="David" w:hAnsi="David" w:cs="David"/>
          <w:color w:val="000000"/>
          <w:sz w:val="28"/>
          <w:szCs w:val="28"/>
          <w:rtl/>
        </w:rPr>
      </w:pPr>
    </w:p>
    <w:p w14:paraId="6D153EAC" w14:textId="77777777" w:rsidR="00843BD6" w:rsidRDefault="00843BD6" w:rsidP="004B6271">
      <w:pPr>
        <w:pStyle w:val="1"/>
        <w:tabs>
          <w:tab w:val="left" w:pos="283"/>
        </w:tabs>
        <w:spacing w:line="360" w:lineRule="auto"/>
        <w:ind w:left="0" w:firstLine="23"/>
        <w:jc w:val="both"/>
        <w:outlineLvl w:val="0"/>
        <w:rPr>
          <w:rFonts w:cs="David"/>
          <w:b/>
          <w:bCs/>
          <w:sz w:val="28"/>
          <w:szCs w:val="28"/>
          <w:u w:val="single"/>
          <w:rtl/>
        </w:rPr>
      </w:pPr>
      <w:r>
        <w:rPr>
          <w:rFonts w:cs="David" w:hint="cs"/>
          <w:b/>
          <w:bCs/>
          <w:sz w:val="28"/>
          <w:szCs w:val="28"/>
          <w:u w:val="single"/>
          <w:rtl/>
        </w:rPr>
        <w:t>טיעוני הצדדים</w:t>
      </w:r>
    </w:p>
    <w:p w14:paraId="63124857" w14:textId="77777777" w:rsidR="00843BD6" w:rsidRPr="00C46AEF" w:rsidRDefault="00843BD6" w:rsidP="004B6271">
      <w:pPr>
        <w:pStyle w:val="1"/>
        <w:tabs>
          <w:tab w:val="left" w:pos="283"/>
        </w:tabs>
        <w:spacing w:line="360" w:lineRule="auto"/>
        <w:ind w:left="0" w:firstLine="23"/>
        <w:jc w:val="both"/>
        <w:outlineLvl w:val="0"/>
        <w:rPr>
          <w:rFonts w:cs="David"/>
          <w:b/>
          <w:bCs/>
          <w:sz w:val="4"/>
          <w:szCs w:val="4"/>
          <w:u w:val="single"/>
          <w:rtl/>
        </w:rPr>
      </w:pPr>
    </w:p>
    <w:p w14:paraId="4F6E152F" w14:textId="77777777" w:rsidR="00843BD6" w:rsidRDefault="00843BD6" w:rsidP="004B6271">
      <w:pPr>
        <w:pStyle w:val="1"/>
        <w:numPr>
          <w:ilvl w:val="0"/>
          <w:numId w:val="2"/>
        </w:numPr>
        <w:tabs>
          <w:tab w:val="left" w:pos="283"/>
        </w:tabs>
        <w:spacing w:line="360" w:lineRule="auto"/>
        <w:ind w:firstLine="23"/>
        <w:jc w:val="both"/>
        <w:outlineLvl w:val="0"/>
        <w:rPr>
          <w:rFonts w:ascii="David" w:hAnsi="David" w:cs="David"/>
          <w:color w:val="000000"/>
          <w:sz w:val="28"/>
          <w:szCs w:val="28"/>
        </w:rPr>
      </w:pPr>
      <w:r>
        <w:rPr>
          <w:rFonts w:ascii="David" w:hAnsi="David" w:cs="David" w:hint="cs"/>
          <w:color w:val="000000"/>
          <w:sz w:val="28"/>
          <w:szCs w:val="28"/>
          <w:rtl/>
        </w:rPr>
        <w:t xml:space="preserve">ההגנה שבה בפניי על עתירתה להורות על שחרורה של המערערת לחלופת מעצר. לשיטתה, שגה בית הדין קמא כאשר הניח כי הפרופיל הרפואי שנקבע למערערת בלשכת הגיוס התחשב גם במצבה הנפשי. נטען, כי על אף שההגנה העלתה טענות בנושא מצבה הנפשי של המערערת בדיוני המעצר שנערכו לה, ואף שניתנה בעניינה חוות דעת של גורמי בריאות הנפש להפנותה לבדיקה פסיכיאטרית, הרי שחוות הדעת האמורה לא הייתה בידיה בעת פגישתה עם גורמי הרפואה במיטב שקבעו את הפרופיל הרפואי שלה, וטענותיה בפניהם על העדר כשירותה הנפשית נדחו בהעדר מסמכים מתאימים. לפיכך, נטען, כי נקבע פרופיל חסר, המתעלם מכלל הנתונים הרלוונטיים, ועל כן יש לקבוע כי גורמי צה"ל לא עמדו בחובתם לקביעת כושרה הרפואי של המערערת בתוך חודש ימים. </w:t>
      </w:r>
    </w:p>
    <w:p w14:paraId="4D2F9546" w14:textId="77777777" w:rsidR="00843BD6" w:rsidRDefault="00843BD6" w:rsidP="004B6271">
      <w:pPr>
        <w:pStyle w:val="1"/>
        <w:numPr>
          <w:ilvl w:val="0"/>
          <w:numId w:val="2"/>
        </w:numPr>
        <w:tabs>
          <w:tab w:val="left" w:pos="283"/>
        </w:tabs>
        <w:spacing w:line="360" w:lineRule="auto"/>
        <w:ind w:firstLine="23"/>
        <w:jc w:val="both"/>
        <w:outlineLvl w:val="0"/>
        <w:rPr>
          <w:rFonts w:ascii="David" w:hAnsi="David" w:cs="David"/>
          <w:color w:val="000000"/>
          <w:sz w:val="28"/>
          <w:szCs w:val="28"/>
        </w:rPr>
      </w:pPr>
      <w:r>
        <w:rPr>
          <w:rFonts w:ascii="David" w:hAnsi="David" w:cs="David" w:hint="cs"/>
          <w:color w:val="000000"/>
          <w:sz w:val="28"/>
          <w:szCs w:val="28"/>
          <w:rtl/>
        </w:rPr>
        <w:t xml:space="preserve">עוד טוענת ההגנה, כי גם בראי דוקטרינת הבטלות היחסית, יש לקבוע כי יש בפגם האמור כדי להצדיק את שחרורה של המערערת לחלופת מעצר; וזאת בשים לב לנסיבות היעדרותה הנעוצות, </w:t>
      </w:r>
      <w:r>
        <w:rPr>
          <w:rFonts w:ascii="David" w:hAnsi="David" w:cs="David" w:hint="cs"/>
          <w:color w:val="000000"/>
          <w:sz w:val="28"/>
          <w:szCs w:val="28"/>
          <w:rtl/>
        </w:rPr>
        <w:lastRenderedPageBreak/>
        <w:t xml:space="preserve">כך נטען, הן בניתוח שעברה, הן במצבה הבריאותי והנפשי לאחר מכן והן בנסיבותיה האישיות המורכבות שהובילו לכך שהיא נדרשה להיות עמוד תווך בביתה ולסייע למשפחתה ולאחיה הקטנים (לעניין זה הוצגו לי מסמכים מטעם רשויות הרווחה וכן מכתב ממשפחתה של המערערת). כן טענה ההגנה, כי המערערת סובלת מהפרעות אכילה, איבדה ממשקלה ואינה מצליחה לאכול במתקן הכליאה, מבלי שניתנה לכך התייחסות מתאימה, ואף בשל כך נוטה הכף לשחרורה לחלופת מעצר. </w:t>
      </w:r>
    </w:p>
    <w:p w14:paraId="357E792B" w14:textId="77777777" w:rsidR="00843BD6" w:rsidRPr="005322F2" w:rsidRDefault="00843BD6" w:rsidP="004B6271">
      <w:pPr>
        <w:pStyle w:val="1"/>
        <w:numPr>
          <w:ilvl w:val="0"/>
          <w:numId w:val="2"/>
        </w:numPr>
        <w:tabs>
          <w:tab w:val="left" w:pos="283"/>
        </w:tabs>
        <w:spacing w:line="360" w:lineRule="auto"/>
        <w:ind w:firstLine="23"/>
        <w:jc w:val="both"/>
        <w:outlineLvl w:val="0"/>
        <w:rPr>
          <w:rFonts w:ascii="David" w:hAnsi="David" w:cs="David"/>
          <w:color w:val="000000"/>
          <w:sz w:val="28"/>
          <w:szCs w:val="28"/>
        </w:rPr>
      </w:pPr>
      <w:r>
        <w:rPr>
          <w:rFonts w:ascii="David" w:hAnsi="David" w:cs="David" w:hint="cs"/>
          <w:color w:val="000000"/>
          <w:sz w:val="28"/>
          <w:szCs w:val="28"/>
          <w:rtl/>
        </w:rPr>
        <w:t xml:space="preserve">לחלופין, לאחר שמיעת הערותיי בדיון, ביקשה ההגנה כי מעצרה של המערערת ייקצב ליום 19 במארס 2025, לאחר הבדיקה הפסיכיאטרית הצפויה, על מנת לקיים פיקוח שיפוטי על המעצר.  </w:t>
      </w:r>
    </w:p>
    <w:p w14:paraId="4FFB3F30" w14:textId="77777777" w:rsidR="00843BD6" w:rsidRPr="005322F2" w:rsidRDefault="00843BD6" w:rsidP="004B6271">
      <w:pPr>
        <w:pStyle w:val="1"/>
        <w:numPr>
          <w:ilvl w:val="0"/>
          <w:numId w:val="2"/>
        </w:numPr>
        <w:tabs>
          <w:tab w:val="left" w:pos="283"/>
        </w:tabs>
        <w:spacing w:line="360" w:lineRule="auto"/>
        <w:ind w:firstLine="23"/>
        <w:jc w:val="both"/>
        <w:outlineLvl w:val="0"/>
        <w:rPr>
          <w:rFonts w:ascii="David" w:hAnsi="David" w:cs="David"/>
          <w:color w:val="000000"/>
          <w:sz w:val="28"/>
          <w:szCs w:val="28"/>
        </w:rPr>
      </w:pPr>
      <w:r>
        <w:rPr>
          <w:rFonts w:ascii="David" w:hAnsi="David" w:cs="David" w:hint="cs"/>
          <w:color w:val="000000"/>
          <w:sz w:val="28"/>
          <w:szCs w:val="28"/>
          <w:rtl/>
        </w:rPr>
        <w:t xml:space="preserve">התביעה, מנגד, ביקשה לסמוך ידיה על החלטת בית הדין קמא. נטען, כי לא הובאה כל ראיה לכך שהפרופיל הרפואי של המערערת נקבע ללא התחשבות במצבה הנפשי, ומכאן שיש לקבוע כי נקבע לה פרופיל רפואי כנדרש ובמועד. התביעה התנגדה אף לבקשתה החלופית של ההגנה לקציבת המעצר, בטענה, כי ניתן לפקח אחר התנהלות ההליכים בעניינה של המערערת גם במסגרת דיוני ההקראה. </w:t>
      </w:r>
    </w:p>
    <w:p w14:paraId="74B3E2BC" w14:textId="77777777" w:rsidR="00843BD6" w:rsidRDefault="00843BD6" w:rsidP="004B6271">
      <w:pPr>
        <w:pStyle w:val="1"/>
        <w:tabs>
          <w:tab w:val="left" w:pos="283"/>
        </w:tabs>
        <w:spacing w:line="360" w:lineRule="auto"/>
        <w:ind w:left="0" w:firstLine="23"/>
        <w:jc w:val="both"/>
        <w:outlineLvl w:val="0"/>
        <w:rPr>
          <w:rFonts w:cs="David"/>
          <w:sz w:val="28"/>
          <w:szCs w:val="28"/>
          <w:rtl/>
        </w:rPr>
      </w:pPr>
    </w:p>
    <w:p w14:paraId="340E3F62" w14:textId="5E27A19F" w:rsidR="00843BD6" w:rsidRDefault="00843BD6" w:rsidP="004B6271">
      <w:pPr>
        <w:pStyle w:val="1"/>
        <w:tabs>
          <w:tab w:val="left" w:pos="283"/>
        </w:tabs>
        <w:spacing w:line="360" w:lineRule="auto"/>
        <w:ind w:left="0" w:firstLine="23"/>
        <w:jc w:val="both"/>
        <w:outlineLvl w:val="0"/>
        <w:rPr>
          <w:rFonts w:cs="David"/>
          <w:b/>
          <w:bCs/>
          <w:sz w:val="28"/>
          <w:szCs w:val="28"/>
          <w:u w:val="single"/>
          <w:rtl/>
        </w:rPr>
      </w:pPr>
      <w:r>
        <w:rPr>
          <w:rFonts w:cs="David" w:hint="cs"/>
          <w:b/>
          <w:bCs/>
          <w:sz w:val="28"/>
          <w:szCs w:val="28"/>
          <w:u w:val="single"/>
          <w:rtl/>
        </w:rPr>
        <w:t>דיון והכרעה</w:t>
      </w:r>
    </w:p>
    <w:p w14:paraId="31703398" w14:textId="77777777" w:rsidR="00C46AEF" w:rsidRPr="00C46AEF" w:rsidRDefault="00C46AEF" w:rsidP="004B6271">
      <w:pPr>
        <w:pStyle w:val="1"/>
        <w:tabs>
          <w:tab w:val="left" w:pos="283"/>
        </w:tabs>
        <w:spacing w:line="360" w:lineRule="auto"/>
        <w:ind w:left="0" w:firstLine="23"/>
        <w:jc w:val="both"/>
        <w:outlineLvl w:val="0"/>
        <w:rPr>
          <w:rFonts w:cs="David"/>
          <w:b/>
          <w:bCs/>
          <w:sz w:val="4"/>
          <w:szCs w:val="4"/>
          <w:u w:val="single"/>
          <w:rtl/>
        </w:rPr>
      </w:pPr>
    </w:p>
    <w:p w14:paraId="6C751BC2" w14:textId="77777777" w:rsidR="00843BD6" w:rsidRDefault="00843BD6" w:rsidP="004B6271">
      <w:pPr>
        <w:pStyle w:val="1"/>
        <w:numPr>
          <w:ilvl w:val="0"/>
          <w:numId w:val="2"/>
        </w:numPr>
        <w:tabs>
          <w:tab w:val="left" w:pos="283"/>
        </w:tabs>
        <w:spacing w:line="360" w:lineRule="auto"/>
        <w:ind w:firstLine="23"/>
        <w:jc w:val="both"/>
        <w:outlineLvl w:val="0"/>
        <w:rPr>
          <w:rFonts w:cs="David"/>
          <w:sz w:val="28"/>
          <w:szCs w:val="28"/>
        </w:rPr>
      </w:pPr>
      <w:r>
        <w:rPr>
          <w:rFonts w:cs="David" w:hint="cs"/>
          <w:sz w:val="28"/>
          <w:szCs w:val="28"/>
          <w:rtl/>
        </w:rPr>
        <w:t xml:space="preserve">כאמור, ההגנה הסכימה לצורך הדיון כי מתקיימת תשתית ראייתית לכאורית בבסיס כתב האישום, ואף אני סברתי לאחר עיון בחומר החקירה שהונח בפניי באשר לנסיבות קריאתה של המערערת לשירות, כי יש בו כדי להקים סיכוי סביר להרשעה. יש לבחון אפוא את טענת ההגנה, כי לא נבדק כושרה של המערערת לשירות בתוך פרק הזמן שנקבע בהלכת </w:t>
      </w:r>
      <w:r>
        <w:rPr>
          <w:rFonts w:cs="David" w:hint="cs"/>
          <w:b/>
          <w:bCs/>
          <w:sz w:val="28"/>
          <w:szCs w:val="28"/>
          <w:rtl/>
        </w:rPr>
        <w:t xml:space="preserve">סמורגונסקי </w:t>
      </w:r>
      <w:r>
        <w:rPr>
          <w:rFonts w:cs="David" w:hint="cs"/>
          <w:sz w:val="28"/>
          <w:szCs w:val="28"/>
          <w:rtl/>
        </w:rPr>
        <w:t xml:space="preserve">לעיל, באופן שיש בו כדי להשליך על סוגיית המעצר. </w:t>
      </w:r>
    </w:p>
    <w:p w14:paraId="63B6D8D6" w14:textId="77777777" w:rsidR="00843BD6" w:rsidRPr="00816E0D" w:rsidRDefault="00843BD6" w:rsidP="004B6271">
      <w:pPr>
        <w:pStyle w:val="1"/>
        <w:numPr>
          <w:ilvl w:val="0"/>
          <w:numId w:val="2"/>
        </w:numPr>
        <w:tabs>
          <w:tab w:val="left" w:pos="283"/>
        </w:tabs>
        <w:spacing w:line="360" w:lineRule="auto"/>
        <w:ind w:firstLine="23"/>
        <w:jc w:val="both"/>
        <w:outlineLvl w:val="0"/>
        <w:rPr>
          <w:rFonts w:cs="David"/>
          <w:sz w:val="28"/>
          <w:szCs w:val="28"/>
        </w:rPr>
      </w:pPr>
      <w:r w:rsidRPr="00816E0D">
        <w:rPr>
          <w:rFonts w:cs="David" w:hint="cs"/>
          <w:sz w:val="28"/>
          <w:szCs w:val="28"/>
          <w:rtl/>
        </w:rPr>
        <w:t>הן בפסיקת בית משפט העליון והן בפסיקת בית דין זה, נקבע כי נוכח הקושי שבקריאה לשירות, לפי סעיף 12 לחוק שירות ביטחון, למי שכשירותו הרפואית לגיוס לא נבדקה, הרי שעסקינן בסמכות שיש להפעיל</w:t>
      </w:r>
      <w:r>
        <w:rPr>
          <w:rFonts w:cs="David" w:hint="cs"/>
          <w:sz w:val="28"/>
          <w:szCs w:val="28"/>
          <w:rtl/>
        </w:rPr>
        <w:t>ה במשורה</w:t>
      </w:r>
      <w:r w:rsidRPr="00816E0D">
        <w:rPr>
          <w:rFonts w:cs="David" w:hint="cs"/>
          <w:sz w:val="28"/>
          <w:szCs w:val="28"/>
          <w:rtl/>
        </w:rPr>
        <w:t xml:space="preserve">, במקרים החריגים המצדיקים זאת (ראו רע"פ 1057/99 </w:t>
      </w:r>
      <w:r w:rsidRPr="00816E0D">
        <w:rPr>
          <w:rFonts w:cs="David" w:hint="cs"/>
          <w:b/>
          <w:bCs/>
          <w:sz w:val="28"/>
          <w:szCs w:val="28"/>
          <w:rtl/>
        </w:rPr>
        <w:t>יוחייב נ' התובע הצבאי הראשי</w:t>
      </w:r>
      <w:r w:rsidRPr="00816E0D">
        <w:rPr>
          <w:rFonts w:cs="David" w:hint="cs"/>
          <w:sz w:val="28"/>
          <w:szCs w:val="28"/>
          <w:rtl/>
        </w:rPr>
        <w:t xml:space="preserve">, פ"ד נג (3) 365, 378 (1999); ע"מ 75/17 </w:t>
      </w:r>
      <w:r w:rsidRPr="00816E0D">
        <w:rPr>
          <w:rFonts w:cs="David" w:hint="cs"/>
          <w:b/>
          <w:bCs/>
          <w:sz w:val="28"/>
          <w:szCs w:val="28"/>
          <w:rtl/>
        </w:rPr>
        <w:t>טור' נחמני נ' התובע הצבאי הראשי</w:t>
      </w:r>
      <w:r w:rsidRPr="00816E0D">
        <w:rPr>
          <w:rFonts w:cs="David" w:hint="cs"/>
          <w:sz w:val="28"/>
          <w:szCs w:val="28"/>
          <w:rtl/>
        </w:rPr>
        <w:t>, פסקה 20 (2017))</w:t>
      </w:r>
      <w:r>
        <w:rPr>
          <w:rFonts w:cs="David" w:hint="cs"/>
          <w:sz w:val="28"/>
          <w:szCs w:val="28"/>
          <w:rtl/>
        </w:rPr>
        <w:t xml:space="preserve">. עוד נקבע בסעיף 12 הנ"ל, </w:t>
      </w:r>
      <w:r w:rsidRPr="00816E0D">
        <w:rPr>
          <w:rFonts w:cs="David" w:hint="cs"/>
          <w:sz w:val="28"/>
          <w:szCs w:val="28"/>
          <w:rtl/>
        </w:rPr>
        <w:t xml:space="preserve">כי לשם שמירה על זכויותיו המהותיות של המתגייס, </w:t>
      </w:r>
      <w:r>
        <w:rPr>
          <w:rFonts w:cs="David" w:hint="cs"/>
          <w:sz w:val="28"/>
          <w:szCs w:val="28"/>
          <w:rtl/>
        </w:rPr>
        <w:t xml:space="preserve">ועל מנת </w:t>
      </w:r>
      <w:r w:rsidRPr="00816E0D">
        <w:rPr>
          <w:rFonts w:cs="David" w:hint="cs"/>
          <w:sz w:val="28"/>
          <w:szCs w:val="28"/>
          <w:rtl/>
        </w:rPr>
        <w:t xml:space="preserve">שלא יידרש לשרת בטרם </w:t>
      </w:r>
      <w:r>
        <w:rPr>
          <w:rFonts w:cs="David" w:hint="cs"/>
          <w:sz w:val="28"/>
          <w:szCs w:val="28"/>
          <w:rtl/>
        </w:rPr>
        <w:t>נקבע</w:t>
      </w:r>
      <w:r w:rsidRPr="00816E0D">
        <w:rPr>
          <w:rFonts w:cs="David" w:hint="cs"/>
          <w:sz w:val="28"/>
          <w:szCs w:val="28"/>
          <w:rtl/>
        </w:rPr>
        <w:t xml:space="preserve"> כושרו הרפואי, </w:t>
      </w:r>
      <w:r>
        <w:rPr>
          <w:rFonts w:cs="David" w:hint="cs"/>
          <w:sz w:val="28"/>
          <w:szCs w:val="28"/>
          <w:rtl/>
        </w:rPr>
        <w:t xml:space="preserve">הרי שיש </w:t>
      </w:r>
      <w:r w:rsidRPr="00816E0D">
        <w:rPr>
          <w:rFonts w:cs="David" w:hint="cs"/>
          <w:sz w:val="28"/>
          <w:szCs w:val="28"/>
          <w:rtl/>
        </w:rPr>
        <w:t>ל</w:t>
      </w:r>
      <w:r>
        <w:rPr>
          <w:rFonts w:cs="David" w:hint="cs"/>
          <w:sz w:val="28"/>
          <w:szCs w:val="28"/>
          <w:rtl/>
        </w:rPr>
        <w:t>קבוע לו פרופיל רפואי</w:t>
      </w:r>
      <w:r w:rsidRPr="00816E0D">
        <w:rPr>
          <w:rFonts w:cs="David" w:hint="cs"/>
          <w:sz w:val="28"/>
          <w:szCs w:val="28"/>
          <w:rtl/>
        </w:rPr>
        <w:t xml:space="preserve"> (</w:t>
      </w:r>
      <w:r>
        <w:rPr>
          <w:rFonts w:cs="David" w:hint="cs"/>
          <w:sz w:val="28"/>
          <w:szCs w:val="28"/>
          <w:rtl/>
        </w:rPr>
        <w:t xml:space="preserve">שבמסגרתו נבחן הכושר הפיזי והן הנפשי </w:t>
      </w:r>
      <w:r w:rsidRPr="00816E0D">
        <w:rPr>
          <w:rFonts w:cs="David" w:hint="cs"/>
          <w:sz w:val="28"/>
          <w:szCs w:val="28"/>
          <w:rtl/>
        </w:rPr>
        <w:t xml:space="preserve">- ראו ע/111/07 </w:t>
      </w:r>
      <w:r w:rsidRPr="00816E0D">
        <w:rPr>
          <w:rFonts w:cs="David" w:hint="cs"/>
          <w:b/>
          <w:bCs/>
          <w:sz w:val="28"/>
          <w:szCs w:val="28"/>
          <w:rtl/>
        </w:rPr>
        <w:t xml:space="preserve">טור' סמורגונסקי </w:t>
      </w:r>
      <w:r w:rsidRPr="00816E0D">
        <w:rPr>
          <w:rFonts w:cs="David" w:hint="cs"/>
          <w:sz w:val="28"/>
          <w:szCs w:val="28"/>
          <w:rtl/>
        </w:rPr>
        <w:t>הנ"ל</w:t>
      </w:r>
      <w:r>
        <w:rPr>
          <w:rFonts w:cs="David" w:hint="cs"/>
          <w:sz w:val="28"/>
          <w:szCs w:val="28"/>
          <w:rtl/>
        </w:rPr>
        <w:t>, פסקה 36</w:t>
      </w:r>
      <w:r w:rsidRPr="00816E0D">
        <w:rPr>
          <w:rFonts w:cs="David" w:hint="cs"/>
          <w:sz w:val="28"/>
          <w:szCs w:val="28"/>
          <w:rtl/>
        </w:rPr>
        <w:t>)</w:t>
      </w:r>
      <w:r w:rsidRPr="00816E0D">
        <w:rPr>
          <w:rFonts w:cs="David"/>
          <w:sz w:val="28"/>
          <w:szCs w:val="28"/>
        </w:rPr>
        <w:t xml:space="preserve"> </w:t>
      </w:r>
      <w:r w:rsidRPr="00816E0D">
        <w:rPr>
          <w:rFonts w:cs="David" w:hint="cs"/>
          <w:sz w:val="28"/>
          <w:szCs w:val="28"/>
          <w:rtl/>
        </w:rPr>
        <w:t xml:space="preserve">בתוך חודש ימים מעת גיוסו (אלא אם כן אישר פוקד בדרגת אלוף משנה </w:t>
      </w:r>
      <w:r>
        <w:rPr>
          <w:rFonts w:cs="David" w:hint="cs"/>
          <w:sz w:val="28"/>
          <w:szCs w:val="28"/>
          <w:rtl/>
        </w:rPr>
        <w:t xml:space="preserve">כי </w:t>
      </w:r>
      <w:r w:rsidRPr="00816E0D">
        <w:rPr>
          <w:rFonts w:cs="David" w:hint="cs"/>
          <w:sz w:val="28"/>
          <w:szCs w:val="28"/>
          <w:rtl/>
        </w:rPr>
        <w:t xml:space="preserve">קיימים טעמים מיוחדים המצדיקים את הארכת התקופה). תקופת השהייה במעצר או במאסר </w:t>
      </w:r>
      <w:r>
        <w:rPr>
          <w:rFonts w:cs="David" w:hint="cs"/>
          <w:sz w:val="28"/>
          <w:szCs w:val="28"/>
          <w:rtl/>
        </w:rPr>
        <w:t xml:space="preserve">בבית סוהר צבאי </w:t>
      </w:r>
      <w:r w:rsidRPr="00816E0D">
        <w:rPr>
          <w:rFonts w:cs="David" w:hint="cs"/>
          <w:sz w:val="28"/>
          <w:szCs w:val="28"/>
          <w:rtl/>
        </w:rPr>
        <w:t>נמנית אף היא ע</w:t>
      </w:r>
      <w:r>
        <w:rPr>
          <w:rFonts w:cs="David" w:hint="cs"/>
          <w:sz w:val="28"/>
          <w:szCs w:val="28"/>
          <w:rtl/>
        </w:rPr>
        <w:t>ם</w:t>
      </w:r>
      <w:r w:rsidRPr="00816E0D">
        <w:rPr>
          <w:rFonts w:cs="David" w:hint="cs"/>
          <w:sz w:val="28"/>
          <w:szCs w:val="28"/>
          <w:rtl/>
        </w:rPr>
        <w:t xml:space="preserve"> התקופה האמורה</w:t>
      </w:r>
      <w:r>
        <w:rPr>
          <w:rFonts w:cs="David" w:hint="cs"/>
          <w:sz w:val="28"/>
          <w:szCs w:val="28"/>
          <w:rtl/>
        </w:rPr>
        <w:t xml:space="preserve">, אלא אם העצור סירב להיבדק או להשלים </w:t>
      </w:r>
      <w:r>
        <w:rPr>
          <w:rFonts w:cs="David" w:hint="cs"/>
          <w:sz w:val="28"/>
          <w:szCs w:val="28"/>
          <w:rtl/>
        </w:rPr>
        <w:lastRenderedPageBreak/>
        <w:t>את הבדיקה</w:t>
      </w:r>
      <w:r w:rsidRPr="00816E0D">
        <w:rPr>
          <w:rFonts w:cs="David" w:hint="cs"/>
          <w:sz w:val="28"/>
          <w:szCs w:val="28"/>
          <w:rtl/>
        </w:rPr>
        <w:t xml:space="preserve"> (ראו סעיף 12(א1) לחוק שירות ביטחון, שתוקן בשנת 2014, בהמשך להלכה שנקבעה בעניין </w:t>
      </w:r>
      <w:r w:rsidRPr="00816E0D">
        <w:rPr>
          <w:rFonts w:cs="David" w:hint="cs"/>
          <w:b/>
          <w:bCs/>
          <w:sz w:val="28"/>
          <w:szCs w:val="28"/>
          <w:rtl/>
        </w:rPr>
        <w:t>סמורגונסקי</w:t>
      </w:r>
      <w:r w:rsidRPr="00816E0D">
        <w:rPr>
          <w:rFonts w:cs="David" w:hint="cs"/>
          <w:sz w:val="28"/>
          <w:szCs w:val="28"/>
          <w:rtl/>
        </w:rPr>
        <w:t xml:space="preserve">).  </w:t>
      </w:r>
    </w:p>
    <w:p w14:paraId="78A97137" w14:textId="77777777" w:rsidR="00843BD6" w:rsidRDefault="00843BD6" w:rsidP="004B6271">
      <w:pPr>
        <w:pStyle w:val="1"/>
        <w:numPr>
          <w:ilvl w:val="0"/>
          <w:numId w:val="2"/>
        </w:numPr>
        <w:tabs>
          <w:tab w:val="left" w:pos="283"/>
        </w:tabs>
        <w:spacing w:line="360" w:lineRule="auto"/>
        <w:ind w:firstLine="23"/>
        <w:jc w:val="both"/>
        <w:outlineLvl w:val="0"/>
        <w:rPr>
          <w:rFonts w:cs="David"/>
          <w:sz w:val="28"/>
          <w:szCs w:val="28"/>
        </w:rPr>
      </w:pPr>
      <w:r w:rsidRPr="0028072F">
        <w:rPr>
          <w:rFonts w:cs="David" w:hint="cs"/>
          <w:sz w:val="28"/>
          <w:szCs w:val="28"/>
          <w:rtl/>
        </w:rPr>
        <w:t xml:space="preserve">בראי האמור בחנתי את טענות ההגנה, אולם לא מצאתי כי יש </w:t>
      </w:r>
      <w:r>
        <w:rPr>
          <w:rFonts w:cs="David" w:hint="cs"/>
          <w:sz w:val="28"/>
          <w:szCs w:val="28"/>
          <w:rtl/>
        </w:rPr>
        <w:t xml:space="preserve">בהן ממש. </w:t>
      </w:r>
      <w:r w:rsidRPr="0028072F">
        <w:rPr>
          <w:rFonts w:cs="David" w:hint="cs"/>
          <w:sz w:val="28"/>
          <w:szCs w:val="28"/>
          <w:rtl/>
        </w:rPr>
        <w:t xml:space="preserve">מהמידע שנמסר על ידי הצדדים עולה </w:t>
      </w:r>
      <w:r>
        <w:rPr>
          <w:rFonts w:cs="David" w:hint="cs"/>
          <w:sz w:val="28"/>
          <w:szCs w:val="28"/>
          <w:rtl/>
        </w:rPr>
        <w:t xml:space="preserve">כאמור </w:t>
      </w:r>
      <w:r w:rsidRPr="0028072F">
        <w:rPr>
          <w:rFonts w:cs="David" w:hint="cs"/>
          <w:sz w:val="28"/>
          <w:szCs w:val="28"/>
          <w:rtl/>
        </w:rPr>
        <w:t xml:space="preserve">כי המערערת נבדקה והומלץ לה על פרופיל רפואי ביום 20 בפברואר </w:t>
      </w:r>
      <w:r>
        <w:rPr>
          <w:rFonts w:cs="David" w:hint="cs"/>
          <w:sz w:val="28"/>
          <w:szCs w:val="28"/>
          <w:rtl/>
        </w:rPr>
        <w:t>2</w:t>
      </w:r>
      <w:r w:rsidRPr="0028072F">
        <w:rPr>
          <w:rFonts w:cs="David" w:hint="cs"/>
          <w:sz w:val="28"/>
          <w:szCs w:val="28"/>
          <w:rtl/>
        </w:rPr>
        <w:t>025</w:t>
      </w:r>
      <w:r>
        <w:rPr>
          <w:rFonts w:cs="David" w:hint="cs"/>
          <w:sz w:val="28"/>
          <w:szCs w:val="28"/>
          <w:rtl/>
        </w:rPr>
        <w:t xml:space="preserve">. דהיינו, הבדיקה הושלמה בתוך </w:t>
      </w:r>
      <w:r w:rsidRPr="0028072F">
        <w:rPr>
          <w:rFonts w:cs="David" w:hint="cs"/>
          <w:sz w:val="28"/>
          <w:szCs w:val="28"/>
          <w:rtl/>
        </w:rPr>
        <w:t>מסגרת הזמנים שנקבעה בדין. גורמי הרפואה במיטב</w:t>
      </w:r>
      <w:r>
        <w:rPr>
          <w:rFonts w:cs="David" w:hint="cs"/>
          <w:sz w:val="28"/>
          <w:szCs w:val="28"/>
          <w:rtl/>
        </w:rPr>
        <w:t>, שבדקו את המערערת ו</w:t>
      </w:r>
      <w:r w:rsidRPr="0028072F">
        <w:rPr>
          <w:rFonts w:cs="David" w:hint="cs"/>
          <w:sz w:val="28"/>
          <w:szCs w:val="28"/>
          <w:rtl/>
        </w:rPr>
        <w:t>אמונים על קביעת הפרופיל הרפואי על כל רכיביו, מבצעים את תפקידם בהתאם לחוק שירות ביטחון ו</w:t>
      </w:r>
      <w:r>
        <w:rPr>
          <w:rFonts w:cs="David" w:hint="cs"/>
          <w:sz w:val="28"/>
          <w:szCs w:val="28"/>
          <w:rtl/>
        </w:rPr>
        <w:t xml:space="preserve">בהתאם לכך </w:t>
      </w:r>
      <w:r w:rsidRPr="0028072F">
        <w:rPr>
          <w:rFonts w:cs="David" w:hint="cs"/>
          <w:sz w:val="28"/>
          <w:szCs w:val="28"/>
          <w:rtl/>
        </w:rPr>
        <w:t>עומדת להם חזקת תקינות המנהל</w:t>
      </w:r>
      <w:r>
        <w:rPr>
          <w:rFonts w:cs="David" w:hint="cs"/>
          <w:sz w:val="28"/>
          <w:szCs w:val="28"/>
          <w:rtl/>
        </w:rPr>
        <w:t>.</w:t>
      </w:r>
      <w:r w:rsidRPr="0028072F">
        <w:rPr>
          <w:rFonts w:cs="David" w:hint="cs"/>
          <w:sz w:val="28"/>
          <w:szCs w:val="28"/>
          <w:rtl/>
        </w:rPr>
        <w:t xml:space="preserve"> </w:t>
      </w:r>
      <w:r>
        <w:rPr>
          <w:rFonts w:cs="David" w:hint="cs"/>
          <w:sz w:val="28"/>
          <w:szCs w:val="28"/>
          <w:rtl/>
        </w:rPr>
        <w:t xml:space="preserve">ההגנה לא הציגה כל תשתית עובדתית שיש בה כדי להפריך את החזקה האמורה, שכן בעצם העלאת טענות בפני גורמי </w:t>
      </w:r>
      <w:r w:rsidRPr="0028072F">
        <w:rPr>
          <w:rFonts w:cs="David" w:hint="cs"/>
          <w:sz w:val="28"/>
          <w:szCs w:val="28"/>
          <w:rtl/>
        </w:rPr>
        <w:t xml:space="preserve">בריאות הנפש במתקן הכליאה (אשר כפי שבואר לעיל, לא מצאו דחיפות בהפנייתה </w:t>
      </w:r>
      <w:r>
        <w:rPr>
          <w:rFonts w:cs="David" w:hint="cs"/>
          <w:sz w:val="28"/>
          <w:szCs w:val="28"/>
          <w:rtl/>
        </w:rPr>
        <w:t xml:space="preserve">של המערערת </w:t>
      </w:r>
      <w:r w:rsidRPr="0028072F">
        <w:rPr>
          <w:rFonts w:cs="David" w:hint="cs"/>
          <w:sz w:val="28"/>
          <w:szCs w:val="28"/>
          <w:rtl/>
        </w:rPr>
        <w:t>לפסיכיאטר)</w:t>
      </w:r>
      <w:r w:rsidRPr="0028072F">
        <w:rPr>
          <w:rFonts w:cs="David"/>
          <w:sz w:val="28"/>
          <w:szCs w:val="28"/>
        </w:rPr>
        <w:t xml:space="preserve"> </w:t>
      </w:r>
      <w:r>
        <w:rPr>
          <w:rFonts w:cs="David" w:hint="cs"/>
          <w:sz w:val="28"/>
          <w:szCs w:val="28"/>
          <w:rtl/>
        </w:rPr>
        <w:t xml:space="preserve">אין כדי להוביל מניה וביה להנחה מרחיקת הלכת, כי המערערת אינה מתאימה לשירות או כי הפרופיל שנקבע </w:t>
      </w:r>
      <w:r w:rsidRPr="0028072F">
        <w:rPr>
          <w:rFonts w:cs="David" w:hint="cs"/>
          <w:sz w:val="28"/>
          <w:szCs w:val="28"/>
          <w:rtl/>
        </w:rPr>
        <w:t>אינו מתחשב במצבה הנפשי</w:t>
      </w:r>
      <w:r>
        <w:rPr>
          <w:rFonts w:cs="David" w:hint="cs"/>
          <w:sz w:val="28"/>
          <w:szCs w:val="28"/>
          <w:rtl/>
        </w:rPr>
        <w:t xml:space="preserve">. </w:t>
      </w:r>
      <w:r w:rsidRPr="0028072F">
        <w:rPr>
          <w:rFonts w:cs="David" w:hint="cs"/>
          <w:sz w:val="28"/>
          <w:szCs w:val="28"/>
          <w:rtl/>
        </w:rPr>
        <w:t xml:space="preserve"> </w:t>
      </w:r>
    </w:p>
    <w:p w14:paraId="17694544" w14:textId="77777777" w:rsidR="00843BD6" w:rsidRPr="0028072F" w:rsidRDefault="00843BD6" w:rsidP="004B6271">
      <w:pPr>
        <w:pStyle w:val="1"/>
        <w:numPr>
          <w:ilvl w:val="0"/>
          <w:numId w:val="2"/>
        </w:numPr>
        <w:tabs>
          <w:tab w:val="left" w:pos="283"/>
        </w:tabs>
        <w:spacing w:line="360" w:lineRule="auto"/>
        <w:ind w:firstLine="23"/>
        <w:jc w:val="both"/>
        <w:outlineLvl w:val="0"/>
        <w:rPr>
          <w:rFonts w:cs="David"/>
          <w:sz w:val="28"/>
          <w:szCs w:val="28"/>
        </w:rPr>
      </w:pPr>
      <w:r>
        <w:rPr>
          <w:rFonts w:cs="David" w:hint="cs"/>
          <w:sz w:val="28"/>
          <w:szCs w:val="28"/>
          <w:rtl/>
        </w:rPr>
        <w:t xml:space="preserve">יוטעם, כי כל שניתן ללמוד ממסמכי בריאות הנפש שהציגה ההגנה לעיוני הוא שהמערערת נבדקה, העלתה טענות שונות (אשר רובן מצויות במישור המשפחתי והאישי, שכן נראה כי המערערת מתמודדת עם מצב משפחתי מורכב) והוחלט כי לאור האמור תימשך בדיקתה על ידי פסיכיאטר. בכך אין שוני בין המערערת לבין כל חייל השוהה במעצר ומעלה טענות במישור הבריאותי והנפשי, הנדרשות לבחינה ולבדיקה. חזקה על גורמי הרפואה במתקן הכליאה, כי אם יסברו, לאחר השלמת בדיקתה של המערערת, שיש להמליץ על אי כשירות לשירות או על שינוי בפרופיל שנקבע למערערת במיטב, יעשו כן; אולם כאמור אין בכך כדי לתמוך בטענת ההגנה, כי נפל פגם באופן קביעת הפרופיל הרפואי. </w:t>
      </w:r>
    </w:p>
    <w:p w14:paraId="3C9305F7" w14:textId="77777777" w:rsidR="00843BD6" w:rsidRDefault="00843BD6" w:rsidP="004B6271">
      <w:pPr>
        <w:pStyle w:val="1"/>
        <w:numPr>
          <w:ilvl w:val="0"/>
          <w:numId w:val="2"/>
        </w:numPr>
        <w:tabs>
          <w:tab w:val="left" w:pos="283"/>
        </w:tabs>
        <w:spacing w:line="360" w:lineRule="auto"/>
        <w:ind w:firstLine="23"/>
        <w:jc w:val="both"/>
        <w:outlineLvl w:val="0"/>
        <w:rPr>
          <w:rFonts w:cs="David"/>
          <w:sz w:val="28"/>
          <w:szCs w:val="28"/>
        </w:rPr>
      </w:pPr>
      <w:r w:rsidRPr="000A5EE0">
        <w:rPr>
          <w:rFonts w:cs="David" w:hint="cs"/>
          <w:b/>
          <w:bCs/>
          <w:sz w:val="28"/>
          <w:szCs w:val="28"/>
          <w:rtl/>
        </w:rPr>
        <w:t xml:space="preserve">למעלה מן הצורך </w:t>
      </w:r>
      <w:r>
        <w:rPr>
          <w:rFonts w:cs="David" w:hint="cs"/>
          <w:sz w:val="28"/>
          <w:szCs w:val="28"/>
          <w:rtl/>
        </w:rPr>
        <w:t xml:space="preserve">יבואר, כי אף אם היה ממש בטענת ההגנה לפיה המערערת לא נבדקה בתוך סד הזמנים שנקבע בחוק (וכאמור - לא כך הם פני הדברים), הרי שלא ניתן גם לקבל את טענת ההגנה, כי אין מקום למעצרה של המערערת. בעניין </w:t>
      </w:r>
      <w:r>
        <w:rPr>
          <w:rFonts w:cs="David" w:hint="cs"/>
          <w:b/>
          <w:bCs/>
          <w:sz w:val="28"/>
          <w:szCs w:val="28"/>
          <w:rtl/>
        </w:rPr>
        <w:t xml:space="preserve">סמורגונסקי </w:t>
      </w:r>
      <w:r>
        <w:rPr>
          <w:rFonts w:cs="David" w:hint="cs"/>
          <w:sz w:val="28"/>
          <w:szCs w:val="28"/>
          <w:rtl/>
        </w:rPr>
        <w:t xml:space="preserve">נדונה שאלת נפקות הפגם, כאשר לא נבדק הכושר הרפואי בתוך חודש ימים מההתייצבות, </w:t>
      </w:r>
      <w:r>
        <w:rPr>
          <w:rFonts w:cs="David" w:hint="cs"/>
          <w:b/>
          <w:bCs/>
          <w:sz w:val="28"/>
          <w:szCs w:val="28"/>
          <w:rtl/>
        </w:rPr>
        <w:t>באשר למעמד כחייל</w:t>
      </w:r>
      <w:r>
        <w:rPr>
          <w:rFonts w:cs="David" w:hint="cs"/>
          <w:sz w:val="28"/>
          <w:szCs w:val="28"/>
          <w:rtl/>
        </w:rPr>
        <w:t xml:space="preserve"> (ולא ביחס לשאלת המעצר). נקבע כי בהתאם לדוקטרינת הבטלות היחסית, ועל מנת שלא לפגוע בתכלית העומדת ביסוד סעיף 12 לחוק שירות ביטחון, שעניינה התמודדות עם תופעת ההשתמטות מהתייצבות לשירות, יש לבחון את הנסיבות והמאפיינים הפרטניים של העניין; תוך שבואר כי רק במקרים מתאימים, כאשר הפגם שנפל בהתנהלות רשויות הגיוס הוא </w:t>
      </w:r>
      <w:r w:rsidRPr="000A5EE0">
        <w:rPr>
          <w:rFonts w:cs="David" w:hint="cs"/>
          <w:b/>
          <w:bCs/>
          <w:sz w:val="28"/>
          <w:szCs w:val="28"/>
          <w:rtl/>
        </w:rPr>
        <w:t>בעוצמה גבוהה</w:t>
      </w:r>
      <w:r>
        <w:rPr>
          <w:rFonts w:cs="David" w:hint="cs"/>
          <w:sz w:val="28"/>
          <w:szCs w:val="28"/>
          <w:rtl/>
        </w:rPr>
        <w:t xml:space="preserve"> ניתן יהיה לשקול לחייב את הרשות לשחרר את החייל משירות צבאי (רע"פ 3080/10 </w:t>
      </w:r>
      <w:r>
        <w:rPr>
          <w:rFonts w:cs="David" w:hint="cs"/>
          <w:b/>
          <w:bCs/>
          <w:sz w:val="28"/>
          <w:szCs w:val="28"/>
          <w:rtl/>
        </w:rPr>
        <w:t xml:space="preserve">סמורגונסקי </w:t>
      </w:r>
      <w:r>
        <w:rPr>
          <w:rFonts w:cs="David" w:hint="cs"/>
          <w:sz w:val="28"/>
          <w:szCs w:val="28"/>
          <w:rtl/>
        </w:rPr>
        <w:t xml:space="preserve">הנ"ל, פסקה 19). בין השאר, נבחנת השאלה האם הועלתה טענת החייל במסגרת תקיפה ישירה או עקיפה; מה היתה  התנהלות המועמד לגיוס שהובילה לקריאתו לפי סעיף 12 לחוק שירות ביטחון; האם בוצעו הבדיקות בסופו של יום ומתי, ומהי הסיבה לכך שלא ערכו אותן במועד. </w:t>
      </w:r>
    </w:p>
    <w:p w14:paraId="6F589A69" w14:textId="77777777" w:rsidR="00843BD6" w:rsidRDefault="00843BD6" w:rsidP="004B6271">
      <w:pPr>
        <w:pStyle w:val="1"/>
        <w:numPr>
          <w:ilvl w:val="0"/>
          <w:numId w:val="2"/>
        </w:numPr>
        <w:tabs>
          <w:tab w:val="left" w:pos="283"/>
        </w:tabs>
        <w:spacing w:line="360" w:lineRule="auto"/>
        <w:ind w:firstLine="23"/>
        <w:jc w:val="both"/>
        <w:outlineLvl w:val="0"/>
        <w:rPr>
          <w:rFonts w:cs="David"/>
          <w:sz w:val="28"/>
          <w:szCs w:val="28"/>
        </w:rPr>
      </w:pPr>
      <w:r w:rsidRPr="000A5EE0">
        <w:rPr>
          <w:rFonts w:cs="David" w:hint="cs"/>
          <w:sz w:val="28"/>
          <w:szCs w:val="28"/>
          <w:rtl/>
        </w:rPr>
        <w:lastRenderedPageBreak/>
        <w:t xml:space="preserve">נראה אפוא כי בנסיבות העניין, לאור כלל המבואר לעיל, הרי שגם </w:t>
      </w:r>
      <w:r>
        <w:rPr>
          <w:rFonts w:cs="David" w:hint="cs"/>
          <w:sz w:val="28"/>
          <w:szCs w:val="28"/>
          <w:rtl/>
        </w:rPr>
        <w:t xml:space="preserve">בראי הבטלות </w:t>
      </w:r>
      <w:r w:rsidRPr="000A5EE0">
        <w:rPr>
          <w:rFonts w:cs="David" w:hint="cs"/>
          <w:sz w:val="28"/>
          <w:szCs w:val="28"/>
          <w:rtl/>
        </w:rPr>
        <w:t>היחסית, ככל שהיה מקום להידרש ל</w:t>
      </w:r>
      <w:r>
        <w:rPr>
          <w:rFonts w:cs="David" w:hint="cs"/>
          <w:sz w:val="28"/>
          <w:szCs w:val="28"/>
          <w:rtl/>
        </w:rPr>
        <w:t>טענה</w:t>
      </w:r>
      <w:r w:rsidRPr="000A5EE0">
        <w:rPr>
          <w:rFonts w:cs="David" w:hint="cs"/>
          <w:sz w:val="28"/>
          <w:szCs w:val="28"/>
          <w:rtl/>
        </w:rPr>
        <w:t xml:space="preserve">, אין </w:t>
      </w:r>
      <w:r>
        <w:rPr>
          <w:rFonts w:cs="David" w:hint="cs"/>
          <w:sz w:val="28"/>
          <w:szCs w:val="28"/>
          <w:rtl/>
        </w:rPr>
        <w:t xml:space="preserve">בה </w:t>
      </w:r>
      <w:r w:rsidRPr="000A5EE0">
        <w:rPr>
          <w:rFonts w:cs="David" w:hint="cs"/>
          <w:sz w:val="28"/>
          <w:szCs w:val="28"/>
          <w:rtl/>
        </w:rPr>
        <w:t xml:space="preserve">כדי להועיל </w:t>
      </w:r>
      <w:r>
        <w:rPr>
          <w:rFonts w:cs="David" w:hint="cs"/>
          <w:sz w:val="28"/>
          <w:szCs w:val="28"/>
          <w:rtl/>
        </w:rPr>
        <w:t xml:space="preserve">למערערת </w:t>
      </w:r>
      <w:r w:rsidRPr="000A5EE0">
        <w:rPr>
          <w:rFonts w:cs="David" w:hint="cs"/>
          <w:sz w:val="28"/>
          <w:szCs w:val="28"/>
          <w:rtl/>
        </w:rPr>
        <w:t xml:space="preserve">בכל הנוגע למעמדה כחיילת (לעניין הבטלות היחסית ביחס לעבירות העדר מן השירות ראו עוד ע"מ 71/24 </w:t>
      </w:r>
      <w:r w:rsidRPr="000A5EE0">
        <w:rPr>
          <w:rFonts w:cs="David" w:hint="cs"/>
          <w:b/>
          <w:bCs/>
          <w:sz w:val="28"/>
          <w:szCs w:val="28"/>
          <w:rtl/>
        </w:rPr>
        <w:t xml:space="preserve">טור' בלטה נ' התובע הצבאי הראשי </w:t>
      </w:r>
      <w:r w:rsidRPr="000A5EE0">
        <w:rPr>
          <w:rFonts w:cs="David" w:hint="cs"/>
          <w:sz w:val="28"/>
          <w:szCs w:val="28"/>
          <w:rtl/>
        </w:rPr>
        <w:t>(2024)); ו</w:t>
      </w:r>
      <w:r>
        <w:rPr>
          <w:rFonts w:cs="David" w:hint="cs"/>
          <w:sz w:val="28"/>
          <w:szCs w:val="28"/>
          <w:rtl/>
        </w:rPr>
        <w:t xml:space="preserve">כבר נקבע בעבר, כי </w:t>
      </w:r>
      <w:r w:rsidRPr="000A5EE0">
        <w:rPr>
          <w:rFonts w:cs="David" w:hint="cs"/>
          <w:sz w:val="28"/>
          <w:szCs w:val="28"/>
          <w:rtl/>
        </w:rPr>
        <w:t xml:space="preserve">בעצם ההידרשות לעיקרון הבטלות היחסית, </w:t>
      </w:r>
      <w:r>
        <w:rPr>
          <w:rFonts w:cs="David" w:hint="cs"/>
          <w:sz w:val="28"/>
          <w:szCs w:val="28"/>
          <w:rtl/>
        </w:rPr>
        <w:t>אף</w:t>
      </w:r>
      <w:r w:rsidRPr="000A5EE0">
        <w:rPr>
          <w:rFonts w:cs="David" w:hint="cs"/>
          <w:sz w:val="28"/>
          <w:szCs w:val="28"/>
          <w:rtl/>
        </w:rPr>
        <w:t xml:space="preserve"> כאשר מדובר בשאל</w:t>
      </w:r>
      <w:r>
        <w:rPr>
          <w:rFonts w:cs="David" w:hint="cs"/>
          <w:sz w:val="28"/>
          <w:szCs w:val="28"/>
          <w:rtl/>
        </w:rPr>
        <w:t>ה</w:t>
      </w:r>
      <w:r w:rsidRPr="000A5EE0">
        <w:rPr>
          <w:rFonts w:cs="David" w:hint="cs"/>
          <w:sz w:val="28"/>
          <w:szCs w:val="28"/>
          <w:rtl/>
        </w:rPr>
        <w:t xml:space="preserve"> היורדת לשורשה של הסמכות לקרוא לשירות, אין כדי להביא למניה וביה לנקיטת חלופת מעצר (ע"מ 43/21 </w:t>
      </w:r>
      <w:r w:rsidRPr="000A5EE0">
        <w:rPr>
          <w:rFonts w:cs="David" w:hint="cs"/>
          <w:b/>
          <w:bCs/>
          <w:sz w:val="28"/>
          <w:szCs w:val="28"/>
          <w:rtl/>
        </w:rPr>
        <w:t>טור' שסטופול נ' התובע הצבאי הראשי</w:t>
      </w:r>
      <w:r w:rsidRPr="000A5EE0">
        <w:rPr>
          <w:rFonts w:cs="David" w:hint="cs"/>
          <w:sz w:val="28"/>
          <w:szCs w:val="28"/>
          <w:rtl/>
        </w:rPr>
        <w:t xml:space="preserve">, פסקה 27 (2021)). </w:t>
      </w:r>
    </w:p>
    <w:p w14:paraId="3528AB80" w14:textId="77777777" w:rsidR="00843BD6" w:rsidRPr="000A5EE0" w:rsidRDefault="00843BD6" w:rsidP="004B6271">
      <w:pPr>
        <w:pStyle w:val="1"/>
        <w:numPr>
          <w:ilvl w:val="0"/>
          <w:numId w:val="2"/>
        </w:numPr>
        <w:tabs>
          <w:tab w:val="left" w:pos="283"/>
        </w:tabs>
        <w:spacing w:line="360" w:lineRule="auto"/>
        <w:ind w:firstLine="23"/>
        <w:jc w:val="both"/>
        <w:outlineLvl w:val="0"/>
        <w:rPr>
          <w:rFonts w:cs="David"/>
          <w:sz w:val="28"/>
          <w:szCs w:val="28"/>
        </w:rPr>
      </w:pPr>
      <w:r w:rsidRPr="000A5EE0">
        <w:rPr>
          <w:rFonts w:cs="David" w:hint="cs"/>
          <w:sz w:val="28"/>
          <w:szCs w:val="28"/>
          <w:rtl/>
        </w:rPr>
        <w:t>הדברים אמורים בוודאי בעניינה של המערערת</w:t>
      </w:r>
      <w:r>
        <w:rPr>
          <w:rFonts w:cs="David" w:hint="cs"/>
          <w:sz w:val="28"/>
          <w:szCs w:val="28"/>
          <w:rtl/>
        </w:rPr>
        <w:t>, אזרחית ישראלית מלידה,</w:t>
      </w:r>
      <w:r w:rsidRPr="000A5EE0">
        <w:rPr>
          <w:rFonts w:cs="David" w:hint="cs"/>
          <w:sz w:val="28"/>
          <w:szCs w:val="28"/>
          <w:rtl/>
        </w:rPr>
        <w:t xml:space="preserve"> אשר התייצבה לראשית הבדיקות בעניינה והייתה מודעת לכך שהיא נדרשת להשלימן</w:t>
      </w:r>
      <w:r>
        <w:rPr>
          <w:rFonts w:cs="David" w:hint="cs"/>
          <w:sz w:val="28"/>
          <w:szCs w:val="28"/>
          <w:rtl/>
        </w:rPr>
        <w:t xml:space="preserve"> - </w:t>
      </w:r>
      <w:r w:rsidRPr="000A5EE0">
        <w:rPr>
          <w:rFonts w:cs="David" w:hint="cs"/>
          <w:sz w:val="28"/>
          <w:szCs w:val="28"/>
          <w:rtl/>
        </w:rPr>
        <w:t xml:space="preserve">ובמשך תקופה ממושכת נמנעה משיתוף פעולה עם גורמי צה"ל באופן שהוביל לכך שלא היה מנוס מהוצאת צו הקורא לה לשירות לפי סעיף 12 לחוק שירות ביטחון. לא למותר עוד לציין, כי </w:t>
      </w:r>
      <w:r>
        <w:rPr>
          <w:rFonts w:cs="David" w:hint="cs"/>
          <w:sz w:val="28"/>
          <w:szCs w:val="28"/>
          <w:rtl/>
        </w:rPr>
        <w:t>ה</w:t>
      </w:r>
      <w:r w:rsidRPr="000A5EE0">
        <w:rPr>
          <w:rFonts w:cs="David" w:hint="cs"/>
          <w:sz w:val="28"/>
          <w:szCs w:val="28"/>
          <w:rtl/>
        </w:rPr>
        <w:t>ניתוח שעברה המערערת ובו תלתה את אי התייצבותה לגיוס התקיים בפועל, בהתאם למסמכי ההגנה, כחצי שנה לאחר המועד שאליו נקראה לשירות, ו</w:t>
      </w:r>
      <w:r>
        <w:rPr>
          <w:rFonts w:cs="David" w:hint="cs"/>
          <w:sz w:val="28"/>
          <w:szCs w:val="28"/>
          <w:rtl/>
        </w:rPr>
        <w:t>קרוב ל</w:t>
      </w:r>
      <w:r w:rsidRPr="000A5EE0">
        <w:rPr>
          <w:rFonts w:cs="David" w:hint="cs"/>
          <w:sz w:val="28"/>
          <w:szCs w:val="28"/>
          <w:rtl/>
        </w:rPr>
        <w:t>שנתיים לאחר המועד שבו החלה את בדיקותיה הרפואיות. אף במצבה האישי והמשפחתי</w:t>
      </w:r>
      <w:r>
        <w:rPr>
          <w:rFonts w:cs="David" w:hint="cs"/>
          <w:sz w:val="28"/>
          <w:szCs w:val="28"/>
          <w:rtl/>
        </w:rPr>
        <w:t xml:space="preserve"> של המערערת</w:t>
      </w:r>
      <w:r w:rsidRPr="000A5EE0">
        <w:rPr>
          <w:rFonts w:cs="David" w:hint="cs"/>
          <w:sz w:val="28"/>
          <w:szCs w:val="28"/>
          <w:rtl/>
        </w:rPr>
        <w:t xml:space="preserve">, </w:t>
      </w:r>
      <w:r>
        <w:rPr>
          <w:rFonts w:cs="David" w:hint="cs"/>
          <w:sz w:val="28"/>
          <w:szCs w:val="28"/>
          <w:rtl/>
        </w:rPr>
        <w:t>חרף מורכבותו</w:t>
      </w:r>
      <w:r w:rsidRPr="000A5EE0">
        <w:rPr>
          <w:rFonts w:cs="David" w:hint="cs"/>
          <w:sz w:val="28"/>
          <w:szCs w:val="28"/>
          <w:rtl/>
        </w:rPr>
        <w:t>, אין כדי להצדיק את אי התייצבותה</w:t>
      </w:r>
      <w:r>
        <w:rPr>
          <w:rFonts w:cs="David" w:hint="cs"/>
          <w:sz w:val="28"/>
          <w:szCs w:val="28"/>
          <w:rtl/>
        </w:rPr>
        <w:t xml:space="preserve"> - </w:t>
      </w:r>
      <w:r w:rsidRPr="000A5EE0">
        <w:rPr>
          <w:rFonts w:cs="David" w:hint="cs"/>
          <w:sz w:val="28"/>
          <w:szCs w:val="28"/>
          <w:rtl/>
        </w:rPr>
        <w:t>ודאי שעה שהמערערת לא ניסתה ל</w:t>
      </w:r>
      <w:r>
        <w:rPr>
          <w:rFonts w:cs="David" w:hint="cs"/>
          <w:sz w:val="28"/>
          <w:szCs w:val="28"/>
          <w:rtl/>
        </w:rPr>
        <w:t xml:space="preserve">העלות את הקשיים אל מול רשויות הצבא, אלא </w:t>
      </w:r>
      <w:r w:rsidRPr="000A5EE0">
        <w:rPr>
          <w:rFonts w:cs="David" w:hint="cs"/>
          <w:sz w:val="28"/>
          <w:szCs w:val="28"/>
          <w:rtl/>
        </w:rPr>
        <w:t xml:space="preserve">החליטה לעשות דין לעצמה, עת השתמטה משירותה לתקופה ממושכת עד מאוד. </w:t>
      </w:r>
    </w:p>
    <w:p w14:paraId="744822FE" w14:textId="77777777" w:rsidR="00843BD6" w:rsidRPr="005322F2" w:rsidRDefault="00843BD6" w:rsidP="004B6271">
      <w:pPr>
        <w:pStyle w:val="1"/>
        <w:numPr>
          <w:ilvl w:val="0"/>
          <w:numId w:val="2"/>
        </w:numPr>
        <w:tabs>
          <w:tab w:val="left" w:pos="283"/>
        </w:tabs>
        <w:spacing w:line="360" w:lineRule="auto"/>
        <w:ind w:firstLine="23"/>
        <w:jc w:val="both"/>
        <w:outlineLvl w:val="0"/>
        <w:rPr>
          <w:rFonts w:cs="David"/>
          <w:sz w:val="28"/>
          <w:szCs w:val="28"/>
        </w:rPr>
      </w:pPr>
      <w:r>
        <w:rPr>
          <w:rFonts w:cs="David" w:hint="cs"/>
          <w:sz w:val="28"/>
          <w:szCs w:val="28"/>
          <w:rtl/>
        </w:rPr>
        <w:t xml:space="preserve">עניין אחרון זה משליך אף על בחינת עוצמתן של עילות המעצר. </w:t>
      </w:r>
      <w:r w:rsidRPr="005322F2">
        <w:rPr>
          <w:rFonts w:cs="David" w:hint="cs"/>
          <w:sz w:val="28"/>
          <w:szCs w:val="28"/>
          <w:rtl/>
        </w:rPr>
        <w:t>כפי שנקבע בהחלטות רבות של בית דין זה, בעניינם של הנעדרים משירות מתקיימות שלוש עילות מעצר מרכזיות: עילת המסוכנות הצבאית, החשש לפגיעה חריפה במשמעת הצבאית וכן החשש להימלטות מאימת הדין (ראו הפירוט הנרחב ביחס לעילות המעצר האמורות ב</w:t>
      </w:r>
      <w:r w:rsidRPr="005322F2">
        <w:rPr>
          <w:rFonts w:ascii="David" w:hAnsi="David" w:cs="David" w:hint="cs"/>
          <w:color w:val="000000"/>
          <w:sz w:val="28"/>
          <w:szCs w:val="28"/>
          <w:rtl/>
        </w:rPr>
        <w:t>ע"מ 24/21</w:t>
      </w:r>
      <w:r w:rsidRPr="005322F2">
        <w:rPr>
          <w:rFonts w:ascii="David" w:hAnsi="David" w:cs="David" w:hint="cs"/>
          <w:b/>
          <w:bCs/>
          <w:color w:val="000000"/>
          <w:sz w:val="28"/>
          <w:szCs w:val="28"/>
          <w:rtl/>
        </w:rPr>
        <w:t xml:space="preserve"> התרסי ואח' נ' התובע הצבאי הראשי </w:t>
      </w:r>
      <w:r w:rsidRPr="005322F2">
        <w:rPr>
          <w:rFonts w:ascii="David" w:hAnsi="David" w:cs="David" w:hint="cs"/>
          <w:color w:val="000000"/>
          <w:sz w:val="28"/>
          <w:szCs w:val="28"/>
          <w:rtl/>
        </w:rPr>
        <w:t xml:space="preserve">(2021)). </w:t>
      </w:r>
      <w:r>
        <w:rPr>
          <w:rFonts w:ascii="David" w:hAnsi="David" w:cs="David" w:hint="cs"/>
          <w:color w:val="000000"/>
          <w:sz w:val="28"/>
          <w:szCs w:val="28"/>
          <w:rtl/>
        </w:rPr>
        <w:t>כלל העילות האמורות מתקיימות בעניינה של המערערת, ו</w:t>
      </w:r>
      <w:r w:rsidRPr="005322F2">
        <w:rPr>
          <w:rFonts w:cs="David" w:hint="cs"/>
          <w:sz w:val="28"/>
          <w:szCs w:val="28"/>
          <w:rtl/>
        </w:rPr>
        <w:t xml:space="preserve">נפסק לא אחת, </w:t>
      </w:r>
      <w:r>
        <w:rPr>
          <w:rFonts w:cs="David" w:hint="cs"/>
          <w:sz w:val="28"/>
          <w:szCs w:val="28"/>
          <w:rtl/>
        </w:rPr>
        <w:t xml:space="preserve">בעת האחרונה, </w:t>
      </w:r>
      <w:r w:rsidRPr="005322F2">
        <w:rPr>
          <w:rFonts w:cs="David" w:hint="cs"/>
          <w:sz w:val="28"/>
          <w:szCs w:val="28"/>
          <w:rtl/>
        </w:rPr>
        <w:t>כי נוכח תקופת המלחמה שבה אנו מצויים כעת, גוברת פגיעתה הקשה של עבירת ההיעדרות מן השירות בערך השוויון בנטל ובב</w:t>
      </w:r>
      <w:r>
        <w:rPr>
          <w:rFonts w:cs="David" w:hint="cs"/>
          <w:sz w:val="28"/>
          <w:szCs w:val="28"/>
          <w:rtl/>
        </w:rPr>
        <w:t>י</w:t>
      </w:r>
      <w:r w:rsidRPr="005322F2">
        <w:rPr>
          <w:rFonts w:cs="David" w:hint="cs"/>
          <w:sz w:val="28"/>
          <w:szCs w:val="28"/>
          <w:rtl/>
        </w:rPr>
        <w:t xml:space="preserve">טחונה של מדינת ישראל, באופן שיש בו כדי להעצים את עילת המעצר שעניינה חשש לפגיעה חריפה במשמעת הצבאית (ע"מ 113/23 </w:t>
      </w:r>
      <w:r w:rsidRPr="005322F2">
        <w:rPr>
          <w:rFonts w:cs="David" w:hint="cs"/>
          <w:b/>
          <w:bCs/>
          <w:sz w:val="28"/>
          <w:szCs w:val="28"/>
          <w:rtl/>
        </w:rPr>
        <w:t xml:space="preserve">טור' עמירה נ' התובע הצבאי הראשי, </w:t>
      </w:r>
      <w:r w:rsidRPr="005322F2">
        <w:rPr>
          <w:rFonts w:cs="David" w:hint="cs"/>
          <w:sz w:val="28"/>
          <w:szCs w:val="28"/>
          <w:rtl/>
        </w:rPr>
        <w:t xml:space="preserve">פסקה 20 (2023); וכי </w:t>
      </w:r>
      <w:r w:rsidRPr="005322F2">
        <w:rPr>
          <w:rFonts w:ascii="David" w:hAnsi="David" w:cs="David"/>
          <w:color w:val="000000"/>
          <w:sz w:val="28"/>
          <w:szCs w:val="28"/>
          <w:rtl/>
        </w:rPr>
        <w:t xml:space="preserve">היעדרות משירות בעת לחימה, על השלכותיה החריפות, מקימה עילות מעצר מובהקות שאינן מאפשרות, לרוב, הסתפקות בחלופת מעצר (ע"מ 7/24 </w:t>
      </w:r>
      <w:r w:rsidRPr="005322F2">
        <w:rPr>
          <w:rFonts w:ascii="David" w:hAnsi="David" w:cs="David"/>
          <w:b/>
          <w:bCs/>
          <w:color w:val="000000"/>
          <w:sz w:val="28"/>
          <w:szCs w:val="28"/>
          <w:rtl/>
        </w:rPr>
        <w:t xml:space="preserve">סמל דנן נ' התובע הצבאי הראשי </w:t>
      </w:r>
      <w:r w:rsidRPr="005322F2">
        <w:rPr>
          <w:rFonts w:ascii="David" w:hAnsi="David" w:cs="David"/>
          <w:color w:val="000000"/>
          <w:sz w:val="28"/>
          <w:szCs w:val="28"/>
          <w:rtl/>
        </w:rPr>
        <w:t xml:space="preserve">(2024); ע"מ 10/24 </w:t>
      </w:r>
      <w:r w:rsidRPr="005322F2">
        <w:rPr>
          <w:rFonts w:ascii="David" w:hAnsi="David" w:cs="David"/>
          <w:b/>
          <w:bCs/>
          <w:color w:val="000000"/>
          <w:sz w:val="28"/>
          <w:szCs w:val="28"/>
          <w:rtl/>
        </w:rPr>
        <w:t xml:space="preserve">טור' איאסו נ' התובע הצבאי הראשי </w:t>
      </w:r>
      <w:r w:rsidRPr="005322F2">
        <w:rPr>
          <w:rFonts w:ascii="David" w:hAnsi="David" w:cs="David"/>
          <w:color w:val="000000"/>
          <w:sz w:val="28"/>
          <w:szCs w:val="28"/>
          <w:rtl/>
        </w:rPr>
        <w:t>(2024)</w:t>
      </w:r>
      <w:r w:rsidRPr="005322F2">
        <w:rPr>
          <w:rFonts w:ascii="David" w:hAnsi="David" w:cs="David" w:hint="cs"/>
          <w:color w:val="000000"/>
          <w:sz w:val="28"/>
          <w:szCs w:val="28"/>
          <w:rtl/>
        </w:rPr>
        <w:t xml:space="preserve">). </w:t>
      </w:r>
      <w:r>
        <w:rPr>
          <w:rFonts w:ascii="David" w:hAnsi="David" w:cs="David" w:hint="cs"/>
          <w:color w:val="000000"/>
          <w:sz w:val="28"/>
          <w:szCs w:val="28"/>
          <w:rtl/>
        </w:rPr>
        <w:t xml:space="preserve">הדברים יפים גם בעניינה של המערערת, אשר החלה אמנם את היעדרותה משירות טרם המלחמה, אולם בחרה לסיים אותה בהתייצבותה למעלה משנה ושלושה חודשים לאחר תחילתה. </w:t>
      </w:r>
    </w:p>
    <w:p w14:paraId="0E734DC8" w14:textId="77777777" w:rsidR="00843BD6" w:rsidRPr="00A8280A" w:rsidRDefault="00843BD6" w:rsidP="004B6271">
      <w:pPr>
        <w:pStyle w:val="1"/>
        <w:numPr>
          <w:ilvl w:val="0"/>
          <w:numId w:val="2"/>
        </w:numPr>
        <w:tabs>
          <w:tab w:val="left" w:pos="283"/>
        </w:tabs>
        <w:spacing w:line="360" w:lineRule="auto"/>
        <w:ind w:firstLine="23"/>
        <w:jc w:val="both"/>
        <w:outlineLvl w:val="0"/>
        <w:rPr>
          <w:rFonts w:cs="David"/>
          <w:b/>
          <w:bCs/>
          <w:sz w:val="28"/>
          <w:szCs w:val="28"/>
          <w:u w:val="single"/>
        </w:rPr>
      </w:pPr>
      <w:r w:rsidRPr="00A8280A">
        <w:rPr>
          <w:rFonts w:cs="David" w:hint="cs"/>
          <w:sz w:val="28"/>
          <w:szCs w:val="28"/>
          <w:rtl/>
        </w:rPr>
        <w:lastRenderedPageBreak/>
        <w:t xml:space="preserve">לכך יש להוסיף, כי הנתונים המלמדים על יחסה לכאורה של המערערת לחובת השירות ולמעמדה כחיילת, כפי שפורטו לעיל, אף הם בעלי משקל ומצביעים על עוצמת החשש להימלטות מאימת הדין (ראו ע"מ 39/22 </w:t>
      </w:r>
      <w:r w:rsidRPr="00A8280A">
        <w:rPr>
          <w:rFonts w:cs="David" w:hint="cs"/>
          <w:b/>
          <w:bCs/>
          <w:sz w:val="28"/>
          <w:szCs w:val="28"/>
          <w:rtl/>
        </w:rPr>
        <w:t>טור' בבלי נ' התובע הצבאי הראשי</w:t>
      </w:r>
      <w:r w:rsidRPr="00A8280A">
        <w:rPr>
          <w:rFonts w:cs="David" w:hint="cs"/>
          <w:sz w:val="28"/>
          <w:szCs w:val="28"/>
          <w:rtl/>
        </w:rPr>
        <w:t xml:space="preserve">, פסקה 17 (2022); ע"מ 24/21 </w:t>
      </w:r>
      <w:r w:rsidRPr="00A8280A">
        <w:rPr>
          <w:rFonts w:cs="David" w:hint="cs"/>
          <w:b/>
          <w:bCs/>
          <w:sz w:val="28"/>
          <w:szCs w:val="28"/>
          <w:rtl/>
        </w:rPr>
        <w:t>טור' התרסי</w:t>
      </w:r>
      <w:r w:rsidRPr="00A8280A">
        <w:rPr>
          <w:rFonts w:cs="David" w:hint="cs"/>
          <w:sz w:val="28"/>
          <w:szCs w:val="28"/>
          <w:rtl/>
        </w:rPr>
        <w:t xml:space="preserve"> הנ"ל פסקה 64)) והנטל לסתירת החזקה בעניין זה </w:t>
      </w:r>
      <w:r w:rsidRPr="00A8280A">
        <w:rPr>
          <w:rFonts w:ascii="David" w:hAnsi="David" w:cs="David" w:hint="cs"/>
          <w:color w:val="000000"/>
          <w:sz w:val="28"/>
          <w:szCs w:val="28"/>
          <w:rtl/>
        </w:rPr>
        <w:t xml:space="preserve">מוטל על כתפי המערערת </w:t>
      </w:r>
      <w:r w:rsidRPr="00A8280A">
        <w:rPr>
          <w:rFonts w:cs="David" w:hint="cs"/>
          <w:sz w:val="28"/>
          <w:szCs w:val="28"/>
          <w:rtl/>
        </w:rPr>
        <w:t>(</w:t>
      </w:r>
      <w:r>
        <w:rPr>
          <w:rFonts w:cs="David" w:hint="cs"/>
          <w:sz w:val="28"/>
          <w:szCs w:val="28"/>
          <w:rtl/>
        </w:rPr>
        <w:t xml:space="preserve">ע"מ 69/24 </w:t>
      </w:r>
      <w:r>
        <w:rPr>
          <w:rFonts w:cs="David" w:hint="cs"/>
          <w:b/>
          <w:bCs/>
          <w:sz w:val="28"/>
          <w:szCs w:val="28"/>
          <w:rtl/>
        </w:rPr>
        <w:t>טור' ימר נ' התובע הצבאי הראשי</w:t>
      </w:r>
      <w:r>
        <w:rPr>
          <w:rFonts w:cs="David" w:hint="cs"/>
          <w:sz w:val="28"/>
          <w:szCs w:val="28"/>
          <w:rtl/>
        </w:rPr>
        <w:t>, פסקה 21</w:t>
      </w:r>
      <w:r>
        <w:rPr>
          <w:rFonts w:cs="David" w:hint="cs"/>
          <w:b/>
          <w:bCs/>
          <w:sz w:val="28"/>
          <w:szCs w:val="28"/>
          <w:rtl/>
        </w:rPr>
        <w:t xml:space="preserve"> </w:t>
      </w:r>
      <w:r>
        <w:rPr>
          <w:rFonts w:cs="David" w:hint="cs"/>
          <w:sz w:val="28"/>
          <w:szCs w:val="28"/>
          <w:rtl/>
        </w:rPr>
        <w:t xml:space="preserve">(2024); </w:t>
      </w:r>
      <w:r w:rsidRPr="00A8280A">
        <w:rPr>
          <w:rFonts w:cs="David" w:hint="cs"/>
          <w:sz w:val="28"/>
          <w:szCs w:val="28"/>
          <w:rtl/>
        </w:rPr>
        <w:t xml:space="preserve">ע"מ 50/22  </w:t>
      </w:r>
      <w:r w:rsidRPr="00A8280A">
        <w:rPr>
          <w:rFonts w:cs="David" w:hint="cs"/>
          <w:b/>
          <w:bCs/>
          <w:sz w:val="28"/>
          <w:szCs w:val="28"/>
          <w:rtl/>
        </w:rPr>
        <w:t xml:space="preserve">טור' ליברטי נ' התובע הצבאי הראשי </w:t>
      </w:r>
      <w:r w:rsidRPr="00A8280A">
        <w:rPr>
          <w:rFonts w:cs="David" w:hint="cs"/>
          <w:sz w:val="28"/>
          <w:szCs w:val="28"/>
          <w:rtl/>
        </w:rPr>
        <w:t xml:space="preserve">(2022); ע"מ 39/22 </w:t>
      </w:r>
      <w:r w:rsidRPr="00A8280A">
        <w:rPr>
          <w:rFonts w:cs="David" w:hint="cs"/>
          <w:b/>
          <w:bCs/>
          <w:sz w:val="28"/>
          <w:szCs w:val="28"/>
          <w:rtl/>
        </w:rPr>
        <w:t xml:space="preserve">טור' בבלי הנ"ל, </w:t>
      </w:r>
      <w:r w:rsidRPr="00A8280A">
        <w:rPr>
          <w:rFonts w:cs="David" w:hint="cs"/>
          <w:sz w:val="28"/>
          <w:szCs w:val="28"/>
          <w:rtl/>
        </w:rPr>
        <w:t xml:space="preserve">בפסקה 16). מכאן שאף בהתייצבותה בסיומה של ההיעדרות, שאינה קצרה, אין כדי להפיג את החשש הטבוע בעבירה להימלטות מאימת הדין (ראו ע"מ 25/17 </w:t>
      </w:r>
      <w:r w:rsidRPr="00A8280A">
        <w:rPr>
          <w:rFonts w:cs="David" w:hint="cs"/>
          <w:b/>
          <w:bCs/>
          <w:sz w:val="28"/>
          <w:szCs w:val="28"/>
          <w:rtl/>
        </w:rPr>
        <w:t>טור' בצלאל נ' התובע הצבאי הראשי,</w:t>
      </w:r>
      <w:r w:rsidRPr="00A8280A">
        <w:rPr>
          <w:rFonts w:cs="David" w:hint="cs"/>
          <w:sz w:val="28"/>
          <w:szCs w:val="28"/>
          <w:rtl/>
        </w:rPr>
        <w:t xml:space="preserve"> פסקה 43 (2017)</w:t>
      </w:r>
      <w:r>
        <w:rPr>
          <w:rFonts w:cs="David" w:hint="cs"/>
          <w:sz w:val="28"/>
          <w:szCs w:val="28"/>
          <w:rtl/>
        </w:rPr>
        <w:t xml:space="preserve">, </w:t>
      </w:r>
      <w:r w:rsidRPr="00A8280A">
        <w:rPr>
          <w:rFonts w:cs="David" w:hint="cs"/>
          <w:sz w:val="28"/>
          <w:szCs w:val="28"/>
          <w:rtl/>
        </w:rPr>
        <w:t>והאסמכתאות שם)</w:t>
      </w:r>
      <w:r>
        <w:rPr>
          <w:rFonts w:cs="David" w:hint="cs"/>
          <w:sz w:val="28"/>
          <w:szCs w:val="28"/>
          <w:rtl/>
        </w:rPr>
        <w:t xml:space="preserve">. </w:t>
      </w:r>
    </w:p>
    <w:p w14:paraId="787BAD85" w14:textId="77777777" w:rsidR="00843BD6" w:rsidRPr="00A8280A" w:rsidRDefault="00843BD6" w:rsidP="004B6271">
      <w:pPr>
        <w:pStyle w:val="1"/>
        <w:numPr>
          <w:ilvl w:val="0"/>
          <w:numId w:val="2"/>
        </w:numPr>
        <w:tabs>
          <w:tab w:val="left" w:pos="283"/>
        </w:tabs>
        <w:spacing w:line="360" w:lineRule="auto"/>
        <w:ind w:firstLine="23"/>
        <w:jc w:val="both"/>
        <w:outlineLvl w:val="0"/>
        <w:rPr>
          <w:rFonts w:cs="David"/>
          <w:b/>
          <w:bCs/>
          <w:sz w:val="28"/>
          <w:szCs w:val="28"/>
          <w:u w:val="single"/>
        </w:rPr>
      </w:pPr>
      <w:r w:rsidRPr="00A8280A">
        <w:rPr>
          <w:rFonts w:cs="David" w:hint="cs"/>
          <w:sz w:val="28"/>
          <w:szCs w:val="28"/>
          <w:rtl/>
        </w:rPr>
        <w:t xml:space="preserve">בנסיבות העניין, לא סברתי גם כי יש להתערב בהחלטת בית הדין קמא להורות על מעצרה של המערערת עד לתום ההליכים המשפטיים בעניינה. כידוע, </w:t>
      </w:r>
      <w:r w:rsidRPr="00A8280A">
        <w:rPr>
          <w:rFonts w:ascii="David" w:hAnsi="David" w:cs="David" w:hint="cs"/>
          <w:color w:val="000000"/>
          <w:sz w:val="28"/>
          <w:szCs w:val="28"/>
          <w:rtl/>
        </w:rPr>
        <w:t xml:space="preserve">ההליכים בבית הדין הצבאי מתאפיינים בניהול מהיר ויעיל (ראו ע"מ 27/08 </w:t>
      </w:r>
      <w:r w:rsidRPr="00A8280A">
        <w:rPr>
          <w:rFonts w:ascii="David" w:hAnsi="David" w:cs="David" w:hint="cs"/>
          <w:b/>
          <w:bCs/>
          <w:color w:val="000000"/>
          <w:sz w:val="28"/>
          <w:szCs w:val="28"/>
          <w:rtl/>
        </w:rPr>
        <w:t>התובע הצבאי הראשי נ' טור' פרג'ון</w:t>
      </w:r>
      <w:r w:rsidRPr="00A8280A">
        <w:rPr>
          <w:rFonts w:ascii="David" w:hAnsi="David" w:cs="David" w:hint="cs"/>
          <w:color w:val="000000"/>
          <w:sz w:val="28"/>
          <w:szCs w:val="28"/>
          <w:rtl/>
        </w:rPr>
        <w:t xml:space="preserve"> (2008); ע"מ 11/19 </w:t>
      </w:r>
      <w:r w:rsidRPr="00A8280A">
        <w:rPr>
          <w:rFonts w:ascii="David" w:hAnsi="David" w:cs="David" w:hint="cs"/>
          <w:b/>
          <w:bCs/>
          <w:color w:val="000000"/>
          <w:sz w:val="28"/>
          <w:szCs w:val="28"/>
          <w:rtl/>
        </w:rPr>
        <w:t>טור' עזרן נ' התובע הצבאי הראשי</w:t>
      </w:r>
      <w:r w:rsidRPr="00A8280A">
        <w:rPr>
          <w:rFonts w:ascii="David" w:hAnsi="David" w:cs="David" w:hint="cs"/>
          <w:color w:val="000000"/>
          <w:sz w:val="28"/>
          <w:szCs w:val="28"/>
          <w:rtl/>
        </w:rPr>
        <w:t>, פסקה 64 (2019))</w:t>
      </w:r>
      <w:r>
        <w:rPr>
          <w:rFonts w:ascii="David" w:hAnsi="David" w:cs="David" w:hint="cs"/>
          <w:color w:val="000000"/>
          <w:sz w:val="28"/>
          <w:szCs w:val="28"/>
          <w:rtl/>
        </w:rPr>
        <w:t>.</w:t>
      </w:r>
      <w:r w:rsidRPr="00A8280A">
        <w:rPr>
          <w:rFonts w:ascii="David" w:hAnsi="David" w:cs="David" w:hint="cs"/>
          <w:color w:val="000000"/>
          <w:sz w:val="28"/>
          <w:szCs w:val="28"/>
          <w:rtl/>
        </w:rPr>
        <w:t xml:space="preserve"> מכאן שגם אין סיבה להניח כי הדיון בעניינה של המערערת יתמשך יתר על המידה. </w:t>
      </w:r>
      <w:r>
        <w:rPr>
          <w:rFonts w:ascii="David" w:hAnsi="David" w:cs="David" w:hint="cs"/>
          <w:color w:val="000000"/>
          <w:sz w:val="28"/>
          <w:szCs w:val="28"/>
          <w:rtl/>
        </w:rPr>
        <w:t xml:space="preserve">הבדיקה הפסיכיאטרית קבועה ליום 18 במארס 2025 ובית הדין קמא קבע, כאמור, כי ככל שיחול שינוי בהמלצות לגבי כושרה הרפואי של המערערת תינתן להגנה האפשרות לבקש עיון מחודש במעצר. התיק אף נקבע להקראה ביום 25 במארס 2025, ובאופן זה ניתן לשמר את הפיקוח הנדרש על התנהלות ההליכים בעניינה של המערערת. </w:t>
      </w:r>
    </w:p>
    <w:p w14:paraId="3BBCCC8A" w14:textId="77777777" w:rsidR="00843BD6" w:rsidRPr="00A8280A" w:rsidRDefault="00843BD6" w:rsidP="004B6271">
      <w:pPr>
        <w:pStyle w:val="1"/>
        <w:numPr>
          <w:ilvl w:val="0"/>
          <w:numId w:val="2"/>
        </w:numPr>
        <w:tabs>
          <w:tab w:val="left" w:pos="283"/>
        </w:tabs>
        <w:spacing w:line="360" w:lineRule="auto"/>
        <w:ind w:firstLine="23"/>
        <w:jc w:val="both"/>
        <w:outlineLvl w:val="0"/>
        <w:rPr>
          <w:rFonts w:cs="David"/>
          <w:b/>
          <w:bCs/>
          <w:sz w:val="28"/>
          <w:szCs w:val="28"/>
          <w:u w:val="single"/>
          <w:rtl/>
        </w:rPr>
      </w:pPr>
      <w:r w:rsidRPr="00A8280A">
        <w:rPr>
          <w:rFonts w:ascii="David" w:hAnsi="David" w:cs="David" w:hint="cs"/>
          <w:color w:val="000000"/>
          <w:sz w:val="28"/>
          <w:szCs w:val="28"/>
          <w:rtl/>
        </w:rPr>
        <w:t xml:space="preserve">מכאן החלטתי על דחיית הערעור. </w:t>
      </w:r>
    </w:p>
    <w:p w14:paraId="54FFA279" w14:textId="77777777" w:rsidR="00843BD6" w:rsidRDefault="00843BD6" w:rsidP="00843BD6">
      <w:pPr>
        <w:spacing w:after="0" w:line="360" w:lineRule="auto"/>
        <w:contextualSpacing/>
        <w:jc w:val="both"/>
        <w:outlineLvl w:val="0"/>
        <w:rPr>
          <w:rtl/>
        </w:rPr>
      </w:pPr>
    </w:p>
    <w:p w14:paraId="6E08DBB7" w14:textId="5494B986" w:rsidR="00843BD6" w:rsidRPr="00F80CBF" w:rsidRDefault="00843BD6" w:rsidP="00843BD6">
      <w:pPr>
        <w:spacing w:after="0" w:line="360" w:lineRule="auto"/>
        <w:contextualSpacing/>
        <w:jc w:val="both"/>
        <w:outlineLvl w:val="0"/>
        <w:rPr>
          <w:rtl/>
        </w:rPr>
      </w:pPr>
      <w:r>
        <w:rPr>
          <w:rFonts w:hint="cs"/>
          <w:rtl/>
        </w:rPr>
        <w:t xml:space="preserve">נימוקי ההחלטה ניתנו היום, י"ג באדר התשפ"ה, 13 במארס  </w:t>
      </w:r>
      <w:r w:rsidRPr="00F80CBF">
        <w:rPr>
          <w:rFonts w:hint="cs"/>
          <w:rtl/>
        </w:rPr>
        <w:t>202</w:t>
      </w:r>
      <w:r>
        <w:rPr>
          <w:rFonts w:hint="cs"/>
          <w:rtl/>
        </w:rPr>
        <w:t>5</w:t>
      </w:r>
      <w:r w:rsidRPr="00F80CBF">
        <w:rPr>
          <w:rFonts w:hint="cs"/>
          <w:rtl/>
        </w:rPr>
        <w:t xml:space="preserve">, </w:t>
      </w:r>
      <w:r>
        <w:rPr>
          <w:rFonts w:hint="cs"/>
          <w:rtl/>
        </w:rPr>
        <w:t xml:space="preserve">בלשכה, ויועברו לצדדים באמצעות הקבי"ד. </w:t>
      </w:r>
    </w:p>
    <w:p w14:paraId="478AB37C" w14:textId="77777777" w:rsidR="00843BD6" w:rsidRDefault="00843BD6" w:rsidP="00C46AEF">
      <w:pPr>
        <w:tabs>
          <w:tab w:val="center" w:pos="1599"/>
          <w:tab w:val="center" w:pos="4150"/>
          <w:tab w:val="center" w:pos="6702"/>
        </w:tabs>
        <w:spacing w:after="0" w:line="360" w:lineRule="auto"/>
        <w:contextualSpacing/>
        <w:rPr>
          <w:b/>
          <w:bCs/>
          <w:rtl/>
        </w:rPr>
      </w:pPr>
    </w:p>
    <w:p w14:paraId="3CF8CE49" w14:textId="77777777" w:rsidR="00843BD6" w:rsidRPr="00F80CBF" w:rsidRDefault="00843BD6" w:rsidP="00843BD6">
      <w:pPr>
        <w:tabs>
          <w:tab w:val="center" w:pos="1599"/>
          <w:tab w:val="center" w:pos="4150"/>
          <w:tab w:val="center" w:pos="6702"/>
        </w:tabs>
        <w:spacing w:after="0" w:line="360" w:lineRule="auto"/>
        <w:contextualSpacing/>
        <w:jc w:val="right"/>
        <w:rPr>
          <w:b/>
          <w:bCs/>
          <w:rtl/>
        </w:rPr>
      </w:pPr>
      <w:r>
        <w:rPr>
          <w:rFonts w:hint="cs"/>
          <w:b/>
          <w:bCs/>
          <w:rtl/>
        </w:rPr>
        <w:t>____</w:t>
      </w:r>
      <w:r w:rsidRPr="00F80CBF">
        <w:rPr>
          <w:b/>
          <w:bCs/>
          <w:rtl/>
        </w:rPr>
        <w:t>______________</w:t>
      </w:r>
    </w:p>
    <w:p w14:paraId="300EA8AD" w14:textId="77777777" w:rsidR="00843BD6" w:rsidRDefault="00843BD6" w:rsidP="00843BD6">
      <w:pPr>
        <w:tabs>
          <w:tab w:val="center" w:pos="1599"/>
          <w:tab w:val="center" w:pos="4150"/>
          <w:tab w:val="center" w:pos="6702"/>
        </w:tabs>
        <w:spacing w:after="0" w:line="360" w:lineRule="auto"/>
        <w:contextualSpacing/>
        <w:jc w:val="right"/>
        <w:rPr>
          <w:b/>
          <w:bCs/>
          <w:rtl/>
        </w:rPr>
      </w:pPr>
      <w:r>
        <w:rPr>
          <w:rFonts w:hint="cs"/>
          <w:b/>
          <w:bCs/>
          <w:rtl/>
        </w:rPr>
        <w:t>אל"ם  מאיה גולדשמידט</w:t>
      </w:r>
    </w:p>
    <w:p w14:paraId="3D69CCBD" w14:textId="77777777" w:rsidR="00843BD6" w:rsidRDefault="00843BD6" w:rsidP="00843BD6">
      <w:pPr>
        <w:tabs>
          <w:tab w:val="center" w:pos="1599"/>
          <w:tab w:val="center" w:pos="4150"/>
          <w:tab w:val="center" w:pos="6702"/>
        </w:tabs>
        <w:spacing w:after="0" w:line="360" w:lineRule="auto"/>
        <w:contextualSpacing/>
        <w:jc w:val="right"/>
        <w:rPr>
          <w:b/>
          <w:bCs/>
          <w:rtl/>
        </w:rPr>
      </w:pPr>
      <w:r>
        <w:rPr>
          <w:rFonts w:hint="cs"/>
          <w:b/>
          <w:bCs/>
          <w:rtl/>
        </w:rPr>
        <w:t>שופטת  בית  הדין הצבאי</w:t>
      </w:r>
    </w:p>
    <w:p w14:paraId="1EE04AF9" w14:textId="0BD1BD29" w:rsidR="00843BD6" w:rsidRDefault="00843BD6" w:rsidP="00843BD6">
      <w:pPr>
        <w:tabs>
          <w:tab w:val="center" w:pos="1599"/>
          <w:tab w:val="center" w:pos="4150"/>
          <w:tab w:val="center" w:pos="6702"/>
        </w:tabs>
        <w:spacing w:after="0" w:line="360" w:lineRule="auto"/>
        <w:contextualSpacing/>
        <w:jc w:val="right"/>
        <w:rPr>
          <w:b/>
          <w:bCs/>
          <w:rtl/>
        </w:rPr>
      </w:pPr>
      <w:r>
        <w:rPr>
          <w:rFonts w:hint="cs"/>
          <w:b/>
          <w:bCs/>
          <w:rtl/>
        </w:rPr>
        <w:t>ל     ע    ר    ע   ו   ר   י   ם</w:t>
      </w:r>
    </w:p>
    <w:p w14:paraId="08529647" w14:textId="635BE71A" w:rsidR="004B6271" w:rsidRDefault="004B6271" w:rsidP="00843BD6">
      <w:pPr>
        <w:tabs>
          <w:tab w:val="center" w:pos="1599"/>
          <w:tab w:val="center" w:pos="4150"/>
          <w:tab w:val="center" w:pos="6702"/>
        </w:tabs>
        <w:spacing w:after="0" w:line="360" w:lineRule="auto"/>
        <w:contextualSpacing/>
        <w:jc w:val="right"/>
        <w:rPr>
          <w:b/>
          <w:bCs/>
          <w:rtl/>
        </w:rPr>
      </w:pPr>
    </w:p>
    <w:p w14:paraId="22546308" w14:textId="0D378ED6" w:rsidR="004B6271" w:rsidRPr="00405BC8" w:rsidRDefault="004B6271" w:rsidP="004B6271">
      <w:pPr>
        <w:ind w:left="-58" w:right="-567"/>
        <w:rPr>
          <w:rFonts w:ascii="David" w:hAnsi="David"/>
          <w:b/>
          <w:bCs/>
          <w:rtl/>
        </w:rPr>
      </w:pPr>
      <w:bookmarkStart w:id="3" w:name="_Hlk122599666"/>
      <w:bookmarkStart w:id="4" w:name="_Hlk141797760"/>
      <w:r w:rsidRPr="00405BC8">
        <w:rPr>
          <w:rFonts w:ascii="David" w:hAnsi="David"/>
          <w:b/>
          <w:bCs/>
          <w:rtl/>
        </w:rPr>
        <w:t xml:space="preserve">חתימת המגיה: _______________________________      העתק     </w:t>
      </w:r>
      <w:r>
        <w:rPr>
          <w:rFonts w:ascii="David" w:hAnsi="David" w:hint="cs"/>
          <w:b/>
          <w:bCs/>
          <w:rtl/>
        </w:rPr>
        <w:t xml:space="preserve">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נאמן         למקור             </w:t>
      </w:r>
    </w:p>
    <w:p w14:paraId="1A67DE35" w14:textId="2E73029A" w:rsidR="004B6271" w:rsidRPr="00405BC8" w:rsidRDefault="004B6271" w:rsidP="004B6271">
      <w:pPr>
        <w:ind w:left="-58" w:right="-567"/>
        <w:rPr>
          <w:rFonts w:ascii="David" w:hAnsi="David"/>
          <w:b/>
          <w:bCs/>
          <w:rtl/>
        </w:rPr>
      </w:pPr>
      <w:r w:rsidRPr="00405BC8">
        <w:rPr>
          <w:rFonts w:ascii="David" w:hAnsi="David"/>
          <w:b/>
          <w:bCs/>
          <w:rtl/>
        </w:rPr>
        <w:t xml:space="preserve">                                                                                                       סרן </w:t>
      </w:r>
      <w:r>
        <w:rPr>
          <w:rFonts w:ascii="David" w:hAnsi="David" w:hint="cs"/>
          <w:b/>
          <w:bCs/>
          <w:rtl/>
        </w:rPr>
        <w:t xml:space="preserve">               נועם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w:t>
      </w:r>
      <w:r>
        <w:rPr>
          <w:rFonts w:ascii="David" w:hAnsi="David" w:hint="cs"/>
          <w:b/>
          <w:bCs/>
          <w:rtl/>
        </w:rPr>
        <w:t>בזיזה</w:t>
      </w:r>
    </w:p>
    <w:p w14:paraId="1DC468DA" w14:textId="09A58885" w:rsidR="004B6271" w:rsidRPr="00405BC8" w:rsidRDefault="004B6271" w:rsidP="004B6271">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בית            הדין</w:t>
      </w:r>
      <w:bookmarkEnd w:id="3"/>
      <w:bookmarkEnd w:id="4"/>
    </w:p>
    <w:sectPr w:rsidR="004B6271" w:rsidRPr="00405BC8" w:rsidSect="004B6271">
      <w:headerReference w:type="even" r:id="rId9"/>
      <w:headerReference w:type="default" r:id="rId10"/>
      <w:footerReference w:type="even" r:id="rId11"/>
      <w:footerReference w:type="default" r:id="rId12"/>
      <w:headerReference w:type="first" r:id="rId13"/>
      <w:footerReference w:type="first" r:id="rId14"/>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ADD76" w14:textId="77777777" w:rsidR="009225AF" w:rsidRDefault="009225AF" w:rsidP="00843BD6">
      <w:pPr>
        <w:spacing w:after="0" w:line="240" w:lineRule="auto"/>
      </w:pPr>
      <w:r>
        <w:separator/>
      </w:r>
    </w:p>
  </w:endnote>
  <w:endnote w:type="continuationSeparator" w:id="0">
    <w:p w14:paraId="740DC5CC" w14:textId="77777777" w:rsidR="009225AF" w:rsidRDefault="009225AF" w:rsidP="00843B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Aptos">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8BAF3E" w14:textId="77777777" w:rsidR="0096627C" w:rsidRDefault="009662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2AEEB" w14:textId="77777777" w:rsidR="00277F45" w:rsidRPr="004B6271" w:rsidRDefault="004B6271">
    <w:pPr>
      <w:pStyle w:val="Footer"/>
      <w:jc w:val="center"/>
      <w:rPr>
        <w:rFonts w:ascii="David" w:hAnsi="David"/>
        <w:rtl/>
      </w:rPr>
    </w:pPr>
    <w:r w:rsidRPr="004B6271">
      <w:rPr>
        <w:rFonts w:ascii="David" w:hAnsi="David"/>
      </w:rPr>
      <w:fldChar w:fldCharType="begin"/>
    </w:r>
    <w:r w:rsidRPr="004B6271">
      <w:rPr>
        <w:rFonts w:ascii="David" w:hAnsi="David"/>
      </w:rPr>
      <w:instrText>PAGE</w:instrText>
    </w:r>
    <w:r w:rsidRPr="004B6271">
      <w:rPr>
        <w:rFonts w:ascii="David" w:hAnsi="David"/>
      </w:rPr>
      <w:fldChar w:fldCharType="separate"/>
    </w:r>
    <w:r w:rsidRPr="004B6271">
      <w:rPr>
        <w:rFonts w:ascii="David" w:hAnsi="David"/>
        <w:noProof/>
        <w:rtl/>
      </w:rPr>
      <w:t>7</w:t>
    </w:r>
    <w:r w:rsidRPr="004B6271">
      <w:rPr>
        <w:rFonts w:ascii="David" w:hAnsi="David"/>
        <w:noProof/>
      </w:rPr>
      <w:fldChar w:fldCharType="end"/>
    </w:r>
  </w:p>
  <w:p w14:paraId="291D1E73" w14:textId="77777777" w:rsidR="00277F45" w:rsidRDefault="00277F45" w:rsidP="00B14576">
    <w:pPr>
      <w:pStyle w:val="Footer"/>
      <w:tabs>
        <w:tab w:val="clear" w:pos="4153"/>
        <w:tab w:val="clear" w:pos="8306"/>
        <w:tab w:val="left" w:pos="7742"/>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C5EA8" w14:textId="77777777" w:rsidR="0096627C" w:rsidRDefault="0096627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671FE" w14:textId="77777777" w:rsidR="009225AF" w:rsidRDefault="009225AF" w:rsidP="00843BD6">
      <w:pPr>
        <w:spacing w:after="0" w:line="240" w:lineRule="auto"/>
      </w:pPr>
      <w:r>
        <w:separator/>
      </w:r>
    </w:p>
  </w:footnote>
  <w:footnote w:type="continuationSeparator" w:id="0">
    <w:p w14:paraId="7406AA4E" w14:textId="77777777" w:rsidR="009225AF" w:rsidRDefault="009225AF" w:rsidP="00843B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3D09B" w14:textId="77777777" w:rsidR="00843BD6" w:rsidRDefault="00843BD6">
    <w:pPr>
      <w:pStyle w:val="Header"/>
    </w:pPr>
    <w:r>
      <w:rPr>
        <w:noProof/>
        <w14:ligatures w14:val="standardContextual"/>
      </w:rPr>
      <mc:AlternateContent>
        <mc:Choice Requires="wps">
          <w:drawing>
            <wp:anchor distT="0" distB="0" distL="0" distR="0" simplePos="0" relativeHeight="251659264" behindDoc="0" locked="0" layoutInCell="1" allowOverlap="1" wp14:anchorId="31285CE5" wp14:editId="748088A4">
              <wp:simplePos x="0" y="0"/>
              <wp:positionH relativeFrom="page">
                <wp:align>center</wp:align>
              </wp:positionH>
              <wp:positionV relativeFrom="page">
                <wp:align>top</wp:align>
              </wp:positionV>
              <wp:extent cx="450215" cy="368935"/>
              <wp:effectExtent l="0" t="0" r="6985" b="12065"/>
              <wp:wrapNone/>
              <wp:docPr id="3" name="An object" descr="An obj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141A9214" w14:textId="77777777" w:rsidR="00843BD6" w:rsidRPr="00843BD6" w:rsidRDefault="00843BD6" w:rsidP="00843BD6">
                          <w:pPr>
                            <w:spacing w:after="0"/>
                            <w:rPr>
                              <w:rFonts w:cs="Calibri"/>
                              <w:noProof/>
                              <w:color w:val="000000"/>
                              <w:sz w:val="20"/>
                              <w:szCs w:val="20"/>
                            </w:rPr>
                          </w:pPr>
                          <w:r w:rsidRPr="00843BD6">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1285CE5" id="_x0000_t202" coordsize="21600,21600" o:spt="202" path="m,l,21600r21600,l21600,xe">
              <v:stroke joinstyle="miter"/>
              <v:path gradientshapeok="t" o:connecttype="rect"/>
            </v:shapetype>
            <v:shape id="An object" o:spid="_x0000_s1026" type="#_x0000_t202" alt="An object" style="position:absolute;left:0;text-align:left;margin-left:0;margin-top:0;width:35.45pt;height:29.0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" filled="f" stroked="f">
              <v:textbox style="mso-fit-shape-to-text:t" inset="0,15pt,0,0">
                <w:txbxContent>
                  <w:p w14:paraId="141A9214" w14:textId="77777777" w:rsidR="00843BD6" w:rsidRPr="00843BD6" w:rsidRDefault="00843BD6" w:rsidP="00843BD6">
                    <w:pPr>
                      <w:spacing w:after="0"/>
                      <w:rPr>
                        <w:rFonts w:cs="Calibri"/>
                        <w:noProof/>
                        <w:color w:val="000000"/>
                        <w:sz w:val="20"/>
                        <w:szCs w:val="20"/>
                      </w:rPr>
                    </w:pPr>
                    <w:r w:rsidRPr="00843BD6">
                      <w:rPr>
                        <w:rFonts w:cs="Calibri"/>
                        <w:noProof/>
                        <w:color w:val="000000"/>
                        <w:sz w:val="20"/>
                        <w:szCs w:val="20"/>
                        <w:rtl/>
                      </w:rPr>
                      <w:t>- בלמ"ס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44F4A" w14:textId="6FA6FFC4" w:rsidR="00277F45" w:rsidRDefault="0096627C" w:rsidP="002F6B68">
    <w:pPr>
      <w:pStyle w:val="Header"/>
      <w:tabs>
        <w:tab w:val="clear" w:pos="4153"/>
        <w:tab w:val="clear" w:pos="8306"/>
        <w:tab w:val="center" w:pos="4748"/>
        <w:tab w:val="right" w:pos="8080"/>
        <w:tab w:val="right" w:pos="8222"/>
      </w:tabs>
      <w:bidi w:val="0"/>
      <w:spacing w:after="0"/>
      <w:contextualSpacing/>
      <w:jc w:val="both"/>
      <w:rPr>
        <w:rtl/>
      </w:rPr>
    </w:pPr>
    <w:r>
      <w:rPr>
        <w:rFonts w:ascii="David" w:hAnsi="David" w:hint="cs"/>
        <w:noProof/>
        <w:color w:val="000000"/>
        <w:rtl/>
      </w:rPr>
      <w:t>ב ל מ " ס</w:t>
    </w:r>
    <w:r w:rsidR="004B6271">
      <w:rPr>
        <w:rFonts w:cs="Calibri" w:hint="cs"/>
        <w:noProof/>
        <w:color w:val="000000"/>
        <w:sz w:val="20"/>
        <w:szCs w:val="20"/>
        <w:rtl/>
      </w:rPr>
      <w:t xml:space="preserve">                                                     </w:t>
    </w:r>
    <w:r w:rsidR="00843BD6">
      <w:rPr>
        <w:rFonts w:hint="cs"/>
        <w:rtl/>
      </w:rPr>
      <w:t>ע"מ 23443-03-25</w:t>
    </w:r>
  </w:p>
  <w:p w14:paraId="3EA84689" w14:textId="77777777" w:rsidR="00277F45" w:rsidRDefault="00277F45" w:rsidP="002F6B68">
    <w:pPr>
      <w:pStyle w:val="Header"/>
      <w:tabs>
        <w:tab w:val="clear" w:pos="4153"/>
        <w:tab w:val="clear" w:pos="8306"/>
        <w:tab w:val="center" w:pos="4748"/>
        <w:tab w:val="right" w:pos="8080"/>
        <w:tab w:val="right" w:pos="8222"/>
      </w:tabs>
      <w:bidi w:val="0"/>
      <w:spacing w:after="0"/>
      <w:contextualSpacing/>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D4FC1" w14:textId="77777777" w:rsidR="00843BD6" w:rsidRDefault="00843BD6">
    <w:pPr>
      <w:pStyle w:val="Header"/>
    </w:pPr>
    <w:r>
      <w:rPr>
        <w:noProof/>
        <w14:ligatures w14:val="standardContextual"/>
      </w:rPr>
      <mc:AlternateContent>
        <mc:Choice Requires="wps">
          <w:drawing>
            <wp:anchor distT="0" distB="0" distL="0" distR="0" simplePos="0" relativeHeight="251658240" behindDoc="0" locked="0" layoutInCell="1" allowOverlap="1" wp14:anchorId="75100791" wp14:editId="02FF382C">
              <wp:simplePos x="0" y="0"/>
              <wp:positionH relativeFrom="page">
                <wp:align>center</wp:align>
              </wp:positionH>
              <wp:positionV relativeFrom="page">
                <wp:align>top</wp:align>
              </wp:positionV>
              <wp:extent cx="450215" cy="368935"/>
              <wp:effectExtent l="0" t="0" r="6985" b="12065"/>
              <wp:wrapNone/>
              <wp:docPr id="1" name="An object" descr="An object">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50215" cy="368935"/>
                      </a:xfrm>
                      <a:prstGeom prst="rect">
                        <a:avLst/>
                      </a:prstGeom>
                      <a:noFill/>
                      <a:ln>
                        <a:noFill/>
                      </a:ln>
                    </wps:spPr>
                    <wps:txbx>
                      <w:txbxContent>
                        <w:p w14:paraId="38460ADC" w14:textId="77777777" w:rsidR="00843BD6" w:rsidRPr="00843BD6" w:rsidRDefault="00843BD6" w:rsidP="00843BD6">
                          <w:pPr>
                            <w:spacing w:after="0"/>
                            <w:rPr>
                              <w:rFonts w:cs="Calibri"/>
                              <w:noProof/>
                              <w:color w:val="000000"/>
                              <w:sz w:val="20"/>
                              <w:szCs w:val="20"/>
                            </w:rPr>
                          </w:pPr>
                          <w:r w:rsidRPr="00843BD6">
                            <w:rPr>
                              <w:rFonts w:cs="Calibri"/>
                              <w:noProof/>
                              <w:color w:val="000000"/>
                              <w:sz w:val="20"/>
                              <w:szCs w:val="20"/>
                              <w:rtl/>
                            </w:rPr>
                            <w:t>- בלמ"ס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100791" id="_x0000_t202" coordsize="21600,21600" o:spt="202" path="m,l,21600r21600,l21600,xe">
              <v:stroke joinstyle="miter"/>
              <v:path gradientshapeok="t" o:connecttype="rect"/>
            </v:shapetype>
            <v:shape id="_x0000_s1027" type="#_x0000_t202" alt="An object" style="position:absolute;left:0;text-align:left;margin-left:0;margin-top:0;width:35.45pt;height:29.0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" filled="f" stroked="f">
              <v:textbox style="mso-fit-shape-to-text:t" inset="0,15pt,0,0">
                <w:txbxContent>
                  <w:p w14:paraId="38460ADC" w14:textId="77777777" w:rsidR="00843BD6" w:rsidRPr="00843BD6" w:rsidRDefault="00843BD6" w:rsidP="00843BD6">
                    <w:pPr>
                      <w:spacing w:after="0"/>
                      <w:rPr>
                        <w:rFonts w:cs="Calibri"/>
                        <w:noProof/>
                        <w:color w:val="000000"/>
                        <w:sz w:val="20"/>
                        <w:szCs w:val="20"/>
                      </w:rPr>
                    </w:pPr>
                    <w:r w:rsidRPr="00843BD6">
                      <w:rPr>
                        <w:rFonts w:cs="Calibri"/>
                        <w:noProof/>
                        <w:color w:val="000000"/>
                        <w:sz w:val="20"/>
                        <w:szCs w:val="20"/>
                        <w:rtl/>
                      </w:rPr>
                      <w:t>- בלמ"ס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23139"/>
    <w:multiLevelType w:val="hybridMultilevel"/>
    <w:tmpl w:val="3FF64DB2"/>
    <w:lvl w:ilvl="0" w:tplc="04090001">
      <w:start w:val="1"/>
      <w:numFmt w:val="bullet"/>
      <w:lvlText w:val=" "/>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
      <w:lvlJc w:val="left"/>
      <w:pPr>
        <w:ind w:left="2160" w:hanging="360"/>
      </w:pPr>
      <w:rPr>
        <w:rFonts w:ascii="Wingdings" w:hAnsi="Wingdings" w:hint="default"/>
      </w:rPr>
    </w:lvl>
    <w:lvl w:ilvl="3" w:tplc="04090001" w:tentative="1">
      <w:start w:val="1"/>
      <w:numFmt w:val="bullet"/>
      <w:lvlText w:val=" "/>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
      <w:lvlJc w:val="left"/>
      <w:pPr>
        <w:ind w:left="4320" w:hanging="360"/>
      </w:pPr>
      <w:rPr>
        <w:rFonts w:ascii="Wingdings" w:hAnsi="Wingdings" w:hint="default"/>
      </w:rPr>
    </w:lvl>
    <w:lvl w:ilvl="6" w:tplc="04090001" w:tentative="1">
      <w:start w:val="1"/>
      <w:numFmt w:val="bullet"/>
      <w:lvlText w:val=" "/>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
      <w:lvlJc w:val="left"/>
      <w:pPr>
        <w:ind w:left="6480" w:hanging="360"/>
      </w:pPr>
      <w:rPr>
        <w:rFonts w:ascii="Wingdings" w:hAnsi="Wingdings" w:hint="default"/>
      </w:rPr>
    </w:lvl>
  </w:abstractNum>
  <w:abstractNum w:abstractNumId="1" w15:restartNumberingAfterBreak="0">
    <w:nsid w:val="22427E3B"/>
    <w:multiLevelType w:val="hybridMultilevel"/>
    <w:tmpl w:val="D4E2A3F2"/>
    <w:lvl w:ilvl="0" w:tplc="33AA4A54">
      <w:start w:val="1"/>
      <w:numFmt w:val="decimal"/>
      <w:suff w:val="space"/>
      <w:lvlText w:val="%1."/>
      <w:lvlJc w:val="left"/>
      <w:pPr>
        <w:ind w:left="0" w:firstLine="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15:restartNumberingAfterBreak="0">
    <w:nsid w:val="2C085F57"/>
    <w:multiLevelType w:val="hybridMultilevel"/>
    <w:tmpl w:val="788868B8"/>
    <w:lvl w:ilvl="0" w:tplc="39C49C02">
      <w:start w:val="1"/>
      <w:numFmt w:val="decimal"/>
      <w:suff w:val="space"/>
      <w:lvlText w:val="%1."/>
      <w:lvlJc w:val="left"/>
      <w:pPr>
        <w:ind w:left="0" w:firstLine="0"/>
      </w:pPr>
      <w:rPr>
        <w:rFonts w:ascii="David" w:hAnsi="David" w:cs="David" w:hint="cs"/>
        <w:b w:val="0"/>
        <w:bCs w:val="0"/>
        <w:sz w:val="28"/>
        <w:szCs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BD6"/>
    <w:rsid w:val="00167131"/>
    <w:rsid w:val="00277F45"/>
    <w:rsid w:val="004B6271"/>
    <w:rsid w:val="006369B9"/>
    <w:rsid w:val="0075069B"/>
    <w:rsid w:val="00843BD6"/>
    <w:rsid w:val="008E598F"/>
    <w:rsid w:val="009039B9"/>
    <w:rsid w:val="009225AF"/>
    <w:rsid w:val="0096627C"/>
    <w:rsid w:val="00A7630C"/>
    <w:rsid w:val="00C338A5"/>
    <w:rsid w:val="00C46AEF"/>
    <w:rsid w:val="00C541FE"/>
    <w:rsid w:val="00CC4E78"/>
    <w:rsid w:val="00CE6577"/>
    <w:rsid w:val="00E359A3"/>
    <w:rsid w:val="00E83C31"/>
    <w:rsid w:val="00EE3D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6F4FF5"/>
  <w15:chartTrackingRefBased/>
  <w15:docId w15:val="{CADC36F9-A150-4166-8B49-C3A01994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he-IL"/>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3BD6"/>
    <w:pPr>
      <w:bidi/>
      <w:spacing w:after="200" w:line="276" w:lineRule="auto"/>
    </w:pPr>
    <w:rPr>
      <w:rFonts w:ascii="Calibri" w:eastAsia="Calibri" w:hAnsi="Calibri" w:cs="David"/>
      <w:kern w:val="0"/>
      <w:sz w:val="28"/>
      <w:szCs w:val="2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יסקת רשימה תו"/>
    <w:link w:val="1"/>
    <w:uiPriority w:val="34"/>
    <w:locked/>
    <w:rsid w:val="00843BD6"/>
    <w:rPr>
      <w:rFonts w:ascii="Times New Roman" w:eastAsia="Times New Roman" w:hAnsi="Times New Roman" w:cs="Times New Roman"/>
    </w:rPr>
  </w:style>
  <w:style w:type="paragraph" w:customStyle="1" w:styleId="1">
    <w:name w:val="פיסקת רשימה1"/>
    <w:basedOn w:val="Normal"/>
    <w:link w:val="a"/>
    <w:uiPriority w:val="34"/>
    <w:qFormat/>
    <w:rsid w:val="00843BD6"/>
    <w:pPr>
      <w:spacing w:after="0" w:line="240" w:lineRule="auto"/>
      <w:ind w:left="720"/>
      <w:contextualSpacing/>
    </w:pPr>
    <w:rPr>
      <w:rFonts w:ascii="Times New Roman" w:eastAsia="Times New Roman" w:hAnsi="Times New Roman" w:cs="Times New Roman"/>
      <w:kern w:val="2"/>
      <w:sz w:val="24"/>
      <w:szCs w:val="24"/>
      <w14:ligatures w14:val="standardContextual"/>
    </w:rPr>
  </w:style>
  <w:style w:type="paragraph" w:styleId="Header">
    <w:name w:val="header"/>
    <w:basedOn w:val="Normal"/>
    <w:link w:val="HeaderChar"/>
    <w:unhideWhenUsed/>
    <w:rsid w:val="00843BD6"/>
    <w:pPr>
      <w:tabs>
        <w:tab w:val="center" w:pos="4153"/>
        <w:tab w:val="right" w:pos="8306"/>
      </w:tabs>
    </w:pPr>
  </w:style>
  <w:style w:type="character" w:customStyle="1" w:styleId="HeaderChar">
    <w:name w:val="Header Char"/>
    <w:basedOn w:val="DefaultParagraphFont"/>
    <w:link w:val="Header"/>
    <w:rsid w:val="00843BD6"/>
    <w:rPr>
      <w:rFonts w:ascii="Calibri" w:eastAsia="Calibri" w:hAnsi="Calibri" w:cs="David"/>
      <w:kern w:val="0"/>
      <w:sz w:val="28"/>
      <w:szCs w:val="28"/>
      <w14:ligatures w14:val="none"/>
    </w:rPr>
  </w:style>
  <w:style w:type="paragraph" w:styleId="Footer">
    <w:name w:val="footer"/>
    <w:basedOn w:val="Normal"/>
    <w:link w:val="FooterChar"/>
    <w:uiPriority w:val="99"/>
    <w:unhideWhenUsed/>
    <w:rsid w:val="00843BD6"/>
    <w:pPr>
      <w:tabs>
        <w:tab w:val="center" w:pos="4153"/>
        <w:tab w:val="right" w:pos="8306"/>
      </w:tabs>
    </w:pPr>
  </w:style>
  <w:style w:type="character" w:customStyle="1" w:styleId="FooterChar">
    <w:name w:val="Footer Char"/>
    <w:basedOn w:val="DefaultParagraphFont"/>
    <w:link w:val="Footer"/>
    <w:uiPriority w:val="99"/>
    <w:rsid w:val="00843BD6"/>
    <w:rPr>
      <w:rFonts w:ascii="Calibri" w:eastAsia="Calibri" w:hAnsi="Calibri" w:cs="David"/>
      <w:kern w:val="0"/>
      <w:sz w:val="28"/>
      <w:szCs w:val="28"/>
      <w14:ligatures w14:val="none"/>
    </w:rPr>
  </w:style>
  <w:style w:type="paragraph" w:styleId="ListParagraph">
    <w:name w:val="List Paragraph"/>
    <w:basedOn w:val="Normal"/>
    <w:uiPriority w:val="34"/>
    <w:qFormat/>
    <w:rsid w:val="00CC4E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      Light"/>
        <a:font script="Hang" typeface="     "/>
        <a:font script="Hans" typeface="   Light"/>
        <a:font script="Hant" typeface="    "/>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   "/>
        <a:font script="Hang" typeface="     "/>
        <a:font script="Hans" typeface="  "/>
        <a:font script="Hant" typeface="    "/>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raClrScheme>
      <a:clrScheme name="extraLst0">
        <a:dk1>
          <a:srgbClr val="857711"/>
        </a:dk1>
        <a:lt1>
          <a:srgbClr val="FCEAF7"/>
        </a:lt1>
        <a:dk2>
          <a:srgbClr val="098D02"/>
        </a:dk2>
        <a:lt2>
          <a:srgbClr val="01B138"/>
        </a:lt2>
        <a:accent1>
          <a:srgbClr val="AD30AC"/>
        </a:accent1>
        <a:accent2>
          <a:srgbClr val="57F967"/>
        </a:accent2>
        <a:accent3>
          <a:srgbClr val="299A6A"/>
        </a:accent3>
        <a:accent4>
          <a:srgbClr val="0E2F33"/>
        </a:accent4>
        <a:accent5>
          <a:srgbClr val="884C91"/>
        </a:accent5>
        <a:accent6>
          <a:srgbClr val="BDCBD8"/>
        </a:accent6>
        <a:hlink>
          <a:srgbClr val="5E645D"/>
        </a:hlink>
        <a:folHlink>
          <a:srgbClr val="729045"/>
        </a:folHlink>
      </a:clrScheme>
    </a:extraClrScheme>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22</TotalTime>
  <Pages>7</Pages>
  <Words>2212</Words>
  <Characters>11061</Characters>
  <Application>Microsoft Office Word</Application>
  <DocSecurity>0</DocSecurity>
  <Lines>92</Lines>
  <Paragraphs>26</Paragraphs>
  <ScaleCrop>false</ScaleCrop>
  <Company>MOD</Company>
  <LinksUpToDate>false</LinksUpToDate>
  <CharactersWithSpaces>13247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ארבל דו גלאון - בית הדין לערעורים/מש"ק משפט</dc:creator>
  <cp:lastModifiedBy>ארבל דו גלאון - בית הדין לערעורים/מש"ק משפט</cp:lastModifiedBy>
  <cp:revision>15</cp:revision>
  <cp:lastPrinted>2025-03-17T11:51:00Z</cp:lastPrinted>
  <dcterms:created xsi:type="dcterms:W3CDTF">2025-03-16T09:28:00Z</dcterms:created>
  <dcterms:modified xsi:type="dcterms:W3CDTF">2025-03-17T12:17:00Z</dcterms:modified>
</cp:coreProperties>
</file>