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054A" w14:textId="77777777" w:rsidR="005074D8" w:rsidRPr="002C50B5" w:rsidRDefault="005074D8" w:rsidP="005074D8">
      <w:pPr>
        <w:tabs>
          <w:tab w:val="right" w:pos="6328"/>
        </w:tabs>
        <w:ind w:left="2160" w:right="1985"/>
        <w:rPr>
          <w:sz w:val="28"/>
          <w:szCs w:val="28"/>
        </w:rPr>
      </w:pPr>
      <w:r w:rsidRPr="00CA3810">
        <w:rPr>
          <w:noProof/>
          <w:sz w:val="28"/>
          <w:szCs w:val="28"/>
        </w:rPr>
        <w:drawing>
          <wp:inline distT="0" distB="0" distL="0" distR="0" wp14:anchorId="58A90645" wp14:editId="6762723C">
            <wp:extent cx="869950" cy="793750"/>
            <wp:effectExtent l="0" t="0" r="6350" b="6350"/>
            <wp:docPr id="2"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793750"/>
                    </a:xfrm>
                    <a:prstGeom prst="rect">
                      <a:avLst/>
                    </a:prstGeom>
                    <a:solidFill>
                      <a:srgbClr val="FFCC00"/>
                    </a:solidFill>
                    <a:ln>
                      <a:noFill/>
                    </a:ln>
                  </pic:spPr>
                </pic:pic>
              </a:graphicData>
            </a:graphic>
          </wp:inline>
        </w:drawing>
      </w:r>
      <w:r w:rsidRPr="002C50B5">
        <w:rPr>
          <w:sz w:val="28"/>
          <w:szCs w:val="28"/>
        </w:rPr>
        <w:tab/>
      </w:r>
      <w:r w:rsidRPr="00CA3810">
        <w:rPr>
          <w:noProof/>
          <w:sz w:val="28"/>
          <w:szCs w:val="28"/>
        </w:rPr>
        <w:drawing>
          <wp:inline distT="0" distB="0" distL="0" distR="0" wp14:anchorId="46C55A96" wp14:editId="1C3110D3">
            <wp:extent cx="584200" cy="787400"/>
            <wp:effectExtent l="0" t="0" r="6350"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4200" cy="787400"/>
                    </a:xfrm>
                    <a:prstGeom prst="rect">
                      <a:avLst/>
                    </a:prstGeom>
                    <a:noFill/>
                    <a:ln>
                      <a:noFill/>
                    </a:ln>
                  </pic:spPr>
                </pic:pic>
              </a:graphicData>
            </a:graphic>
          </wp:inline>
        </w:drawing>
      </w:r>
    </w:p>
    <w:p w14:paraId="241DD6B4" w14:textId="77777777" w:rsidR="005074D8" w:rsidRPr="00702E28" w:rsidRDefault="005074D8" w:rsidP="005074D8">
      <w:pPr>
        <w:tabs>
          <w:tab w:val="left" w:pos="3402"/>
        </w:tabs>
        <w:jc w:val="center"/>
        <w:rPr>
          <w:b/>
          <w:bCs/>
          <w:sz w:val="2"/>
          <w:szCs w:val="2"/>
          <w:u w:val="single"/>
        </w:rPr>
      </w:pPr>
    </w:p>
    <w:p w14:paraId="6C420D83" w14:textId="77777777" w:rsidR="005074D8" w:rsidRPr="00954440" w:rsidRDefault="005074D8" w:rsidP="005074D8">
      <w:pPr>
        <w:tabs>
          <w:tab w:val="left" w:pos="3402"/>
        </w:tabs>
        <w:spacing w:line="276" w:lineRule="auto"/>
        <w:rPr>
          <w:rFonts w:cs="David"/>
          <w:b/>
          <w:bCs/>
          <w:sz w:val="24"/>
          <w:szCs w:val="24"/>
          <w:rtl/>
        </w:rPr>
      </w:pPr>
      <w:r w:rsidRPr="00954440">
        <w:rPr>
          <w:rFonts w:cs="David" w:hint="cs"/>
          <w:b/>
          <w:bCs/>
          <w:sz w:val="24"/>
          <w:szCs w:val="24"/>
          <w:rtl/>
        </w:rPr>
        <w:t>בפני:</w:t>
      </w:r>
    </w:p>
    <w:p w14:paraId="3D0D44FD" w14:textId="77777777" w:rsidR="005074D8" w:rsidRPr="005074D8" w:rsidRDefault="005074D8" w:rsidP="005074D8">
      <w:pPr>
        <w:tabs>
          <w:tab w:val="left" w:pos="3402"/>
        </w:tabs>
        <w:spacing w:after="0" w:line="360" w:lineRule="auto"/>
        <w:jc w:val="center"/>
        <w:rPr>
          <w:rFonts w:cs="David"/>
          <w:b/>
          <w:bCs/>
          <w:sz w:val="24"/>
          <w:szCs w:val="24"/>
          <w:rtl/>
        </w:rPr>
      </w:pPr>
      <w:r w:rsidRPr="005074D8">
        <w:rPr>
          <w:rFonts w:cs="David" w:hint="cs"/>
          <w:b/>
          <w:bCs/>
          <w:sz w:val="24"/>
          <w:szCs w:val="24"/>
          <w:rtl/>
        </w:rPr>
        <w:t>סא"ל מיכל שחר - אב"ד</w:t>
      </w:r>
    </w:p>
    <w:p w14:paraId="411C750D" w14:textId="77777777" w:rsidR="005074D8" w:rsidRPr="005074D8" w:rsidRDefault="005074D8" w:rsidP="005074D8">
      <w:pPr>
        <w:tabs>
          <w:tab w:val="left" w:pos="3402"/>
        </w:tabs>
        <w:spacing w:after="0" w:line="360" w:lineRule="auto"/>
        <w:jc w:val="center"/>
        <w:rPr>
          <w:rFonts w:cs="David"/>
          <w:b/>
          <w:bCs/>
          <w:sz w:val="24"/>
          <w:szCs w:val="24"/>
          <w:rtl/>
        </w:rPr>
      </w:pPr>
      <w:r w:rsidRPr="005074D8">
        <w:rPr>
          <w:rFonts w:cs="David" w:hint="cs"/>
          <w:b/>
          <w:bCs/>
          <w:sz w:val="24"/>
          <w:szCs w:val="24"/>
          <w:rtl/>
        </w:rPr>
        <w:t xml:space="preserve">סרן רועי קדוש </w:t>
      </w:r>
      <w:r w:rsidRPr="005074D8">
        <w:rPr>
          <w:rFonts w:cs="David"/>
          <w:b/>
          <w:bCs/>
          <w:sz w:val="24"/>
          <w:szCs w:val="24"/>
          <w:rtl/>
        </w:rPr>
        <w:t>–</w:t>
      </w:r>
      <w:r w:rsidRPr="005074D8">
        <w:rPr>
          <w:rFonts w:cs="David" w:hint="cs"/>
          <w:b/>
          <w:bCs/>
          <w:sz w:val="24"/>
          <w:szCs w:val="24"/>
          <w:rtl/>
        </w:rPr>
        <w:t xml:space="preserve"> שופט</w:t>
      </w:r>
    </w:p>
    <w:p w14:paraId="7BC35713" w14:textId="77777777" w:rsidR="005074D8" w:rsidRPr="005074D8" w:rsidRDefault="005074D8" w:rsidP="005074D8">
      <w:pPr>
        <w:tabs>
          <w:tab w:val="left" w:pos="3402"/>
        </w:tabs>
        <w:spacing w:after="0" w:line="360" w:lineRule="auto"/>
        <w:jc w:val="center"/>
        <w:rPr>
          <w:rFonts w:cs="David"/>
          <w:b/>
          <w:bCs/>
          <w:sz w:val="24"/>
          <w:szCs w:val="24"/>
          <w:rtl/>
        </w:rPr>
      </w:pPr>
      <w:r w:rsidRPr="005074D8">
        <w:rPr>
          <w:rFonts w:cs="David" w:hint="cs"/>
          <w:b/>
          <w:bCs/>
          <w:sz w:val="24"/>
          <w:szCs w:val="24"/>
          <w:rtl/>
        </w:rPr>
        <w:t>סרן נתנאל דרשן - שופט</w:t>
      </w:r>
    </w:p>
    <w:p w14:paraId="0FF06E90" w14:textId="77777777" w:rsidR="005074D8" w:rsidRPr="00954440" w:rsidRDefault="005074D8" w:rsidP="005074D8">
      <w:pPr>
        <w:tabs>
          <w:tab w:val="left" w:pos="3402"/>
        </w:tabs>
        <w:spacing w:line="360" w:lineRule="auto"/>
        <w:jc w:val="center"/>
        <w:rPr>
          <w:rFonts w:cs="David"/>
          <w:b/>
          <w:bCs/>
          <w:sz w:val="24"/>
          <w:szCs w:val="24"/>
          <w:rtl/>
        </w:rPr>
      </w:pPr>
      <w:r w:rsidRPr="00954440">
        <w:rPr>
          <w:rFonts w:cs="David" w:hint="cs"/>
          <w:b/>
          <w:bCs/>
          <w:sz w:val="24"/>
          <w:szCs w:val="24"/>
          <w:rtl/>
        </w:rPr>
        <w:t xml:space="preserve">           </w:t>
      </w:r>
    </w:p>
    <w:p w14:paraId="15CE4B21" w14:textId="77777777" w:rsidR="005074D8" w:rsidRPr="00D97C65" w:rsidRDefault="005074D8" w:rsidP="005074D8">
      <w:pPr>
        <w:tabs>
          <w:tab w:val="left" w:pos="851"/>
          <w:tab w:val="left" w:pos="4536"/>
        </w:tabs>
        <w:spacing w:after="0" w:line="276" w:lineRule="auto"/>
        <w:jc w:val="both"/>
        <w:rPr>
          <w:rFonts w:ascii="Times New Roman" w:eastAsia="Times New Roman" w:hAnsi="Times New Roman" w:cs="David"/>
          <w:b/>
          <w:bCs/>
          <w:sz w:val="24"/>
          <w:szCs w:val="24"/>
          <w:rtl/>
        </w:rPr>
      </w:pPr>
      <w:r w:rsidRPr="00D97C65">
        <w:rPr>
          <w:rFonts w:ascii="Times New Roman" w:eastAsia="Times New Roman" w:hAnsi="Times New Roman" w:cs="David" w:hint="cs"/>
          <w:b/>
          <w:bCs/>
          <w:sz w:val="24"/>
          <w:szCs w:val="24"/>
          <w:rtl/>
        </w:rPr>
        <w:t xml:space="preserve">בעניין: </w:t>
      </w:r>
    </w:p>
    <w:p w14:paraId="2624E909" w14:textId="77777777" w:rsidR="005074D8" w:rsidRPr="00D97C65" w:rsidRDefault="005074D8" w:rsidP="005074D8">
      <w:pPr>
        <w:tabs>
          <w:tab w:val="left" w:pos="851"/>
          <w:tab w:val="left" w:pos="4536"/>
        </w:tabs>
        <w:spacing w:after="0" w:line="276" w:lineRule="auto"/>
        <w:jc w:val="both"/>
        <w:rPr>
          <w:rFonts w:ascii="Times New Roman" w:eastAsia="Times New Roman" w:hAnsi="Times New Roman" w:cs="David"/>
          <w:b/>
          <w:bCs/>
          <w:sz w:val="24"/>
          <w:szCs w:val="24"/>
          <w:rtl/>
        </w:rPr>
      </w:pPr>
    </w:p>
    <w:p w14:paraId="710CD303" w14:textId="77777777" w:rsidR="005074D8" w:rsidRPr="00D97C65" w:rsidRDefault="002A2451" w:rsidP="002A2451">
      <w:pPr>
        <w:tabs>
          <w:tab w:val="left" w:pos="276"/>
          <w:tab w:val="left" w:pos="851"/>
          <w:tab w:val="center" w:pos="4153"/>
          <w:tab w:val="left" w:pos="4536"/>
        </w:tabs>
        <w:spacing w:after="0" w:line="360" w:lineRule="auto"/>
        <w:rPr>
          <w:rFonts w:ascii="Times New Roman" w:eastAsia="Times New Roman" w:hAnsi="Times New Roman" w:cs="David"/>
          <w:b/>
          <w:bCs/>
          <w:sz w:val="24"/>
          <w:szCs w:val="24"/>
          <w:rtl/>
        </w:rPr>
      </w:pPr>
      <w:r>
        <w:rPr>
          <w:rFonts w:ascii="Times New Roman" w:eastAsia="Times New Roman" w:hAnsi="Times New Roman" w:cs="David"/>
          <w:b/>
          <w:bCs/>
          <w:sz w:val="24"/>
          <w:szCs w:val="24"/>
          <w:rtl/>
        </w:rPr>
        <w:tab/>
      </w:r>
      <w:r>
        <w:rPr>
          <w:rFonts w:ascii="Times New Roman" w:eastAsia="Times New Roman" w:hAnsi="Times New Roman" w:cs="David"/>
          <w:b/>
          <w:bCs/>
          <w:sz w:val="24"/>
          <w:szCs w:val="24"/>
          <w:rtl/>
        </w:rPr>
        <w:tab/>
      </w:r>
      <w:r>
        <w:rPr>
          <w:rFonts w:ascii="Times New Roman" w:eastAsia="Times New Roman" w:hAnsi="Times New Roman" w:cs="David"/>
          <w:b/>
          <w:bCs/>
          <w:sz w:val="24"/>
          <w:szCs w:val="24"/>
          <w:rtl/>
        </w:rPr>
        <w:tab/>
      </w:r>
      <w:r w:rsidR="005074D8" w:rsidRPr="00D97C65">
        <w:rPr>
          <w:rFonts w:ascii="Times New Roman" w:eastAsia="Times New Roman" w:hAnsi="Times New Roman" w:cs="David" w:hint="cs"/>
          <w:b/>
          <w:bCs/>
          <w:sz w:val="24"/>
          <w:szCs w:val="24"/>
          <w:rtl/>
        </w:rPr>
        <w:t>התובע הצבאי</w:t>
      </w:r>
    </w:p>
    <w:p w14:paraId="140804A4" w14:textId="77777777" w:rsidR="005074D8" w:rsidRPr="00D97C65" w:rsidRDefault="005074D8" w:rsidP="005074D8">
      <w:pPr>
        <w:tabs>
          <w:tab w:val="left" w:pos="851"/>
          <w:tab w:val="left" w:pos="4536"/>
        </w:tabs>
        <w:spacing w:after="0" w:line="360" w:lineRule="auto"/>
        <w:jc w:val="center"/>
        <w:rPr>
          <w:rFonts w:ascii="Times New Roman" w:eastAsia="Times New Roman" w:hAnsi="Times New Roman" w:cs="David"/>
          <w:sz w:val="24"/>
          <w:szCs w:val="24"/>
          <w:rtl/>
        </w:rPr>
      </w:pPr>
      <w:r w:rsidRPr="00D97C65">
        <w:rPr>
          <w:rFonts w:ascii="Times New Roman" w:eastAsia="Times New Roman" w:hAnsi="Times New Roman" w:cs="David" w:hint="cs"/>
          <w:sz w:val="24"/>
          <w:szCs w:val="24"/>
          <w:rtl/>
        </w:rPr>
        <w:t xml:space="preserve">(באמצעות </w:t>
      </w:r>
      <w:r>
        <w:rPr>
          <w:rFonts w:ascii="Times New Roman" w:eastAsia="Times New Roman" w:hAnsi="Times New Roman" w:cs="David" w:hint="cs"/>
          <w:sz w:val="24"/>
          <w:szCs w:val="24"/>
          <w:rtl/>
        </w:rPr>
        <w:t>ב"כ סרן גלי קטלן וסרן עינב אוראל כהן</w:t>
      </w:r>
      <w:r w:rsidRPr="00D97C65">
        <w:rPr>
          <w:rFonts w:ascii="Times New Roman" w:eastAsia="Times New Roman" w:hAnsi="Times New Roman" w:cs="David" w:hint="cs"/>
          <w:sz w:val="24"/>
          <w:szCs w:val="24"/>
          <w:rtl/>
        </w:rPr>
        <w:t>)</w:t>
      </w:r>
    </w:p>
    <w:p w14:paraId="12A6C672" w14:textId="77777777" w:rsidR="005074D8" w:rsidRPr="00D97C65" w:rsidRDefault="005074D8" w:rsidP="005074D8">
      <w:pPr>
        <w:tabs>
          <w:tab w:val="left" w:pos="851"/>
          <w:tab w:val="left" w:pos="4536"/>
        </w:tabs>
        <w:spacing w:after="0" w:line="276" w:lineRule="auto"/>
        <w:jc w:val="center"/>
        <w:rPr>
          <w:rFonts w:ascii="Times New Roman" w:eastAsia="Times New Roman" w:hAnsi="Times New Roman" w:cs="David"/>
          <w:b/>
          <w:bCs/>
          <w:sz w:val="24"/>
          <w:szCs w:val="24"/>
          <w:rtl/>
        </w:rPr>
      </w:pPr>
    </w:p>
    <w:p w14:paraId="2317C61A" w14:textId="77777777" w:rsidR="005074D8" w:rsidRPr="00D97C65" w:rsidRDefault="005074D8" w:rsidP="005074D8">
      <w:pPr>
        <w:spacing w:after="0" w:line="276" w:lineRule="auto"/>
        <w:jc w:val="center"/>
        <w:rPr>
          <w:rFonts w:ascii="Times New Roman" w:eastAsia="Times New Roman" w:hAnsi="Times New Roman" w:cs="David"/>
          <w:b/>
          <w:bCs/>
          <w:sz w:val="24"/>
          <w:szCs w:val="24"/>
          <w:rtl/>
        </w:rPr>
      </w:pPr>
      <w:r w:rsidRPr="00D97C65">
        <w:rPr>
          <w:rFonts w:ascii="Times New Roman" w:eastAsia="Times New Roman" w:hAnsi="Times New Roman" w:cs="David" w:hint="cs"/>
          <w:b/>
          <w:bCs/>
          <w:sz w:val="24"/>
          <w:szCs w:val="24"/>
          <w:rtl/>
        </w:rPr>
        <w:t>נגד</w:t>
      </w:r>
    </w:p>
    <w:p w14:paraId="6217A03F" w14:textId="77777777" w:rsidR="005074D8" w:rsidRPr="00D97C65" w:rsidRDefault="005074D8" w:rsidP="005074D8">
      <w:pPr>
        <w:spacing w:after="0" w:line="276" w:lineRule="auto"/>
        <w:jc w:val="center"/>
        <w:rPr>
          <w:rFonts w:ascii="Times New Roman" w:eastAsia="Times New Roman" w:hAnsi="Times New Roman" w:cs="David"/>
          <w:b/>
          <w:bCs/>
          <w:sz w:val="24"/>
          <w:szCs w:val="24"/>
        </w:rPr>
      </w:pPr>
    </w:p>
    <w:p w14:paraId="3F6B71B2" w14:textId="70735321" w:rsidR="005074D8" w:rsidRPr="00843FE1" w:rsidRDefault="005074D8" w:rsidP="005074D8">
      <w:pPr>
        <w:tabs>
          <w:tab w:val="left" w:pos="851"/>
          <w:tab w:val="left" w:pos="4536"/>
        </w:tabs>
        <w:spacing w:after="0" w:line="360" w:lineRule="auto"/>
        <w:jc w:val="center"/>
        <w:rPr>
          <w:rFonts w:cs="David"/>
        </w:rPr>
      </w:pPr>
      <w:r w:rsidRPr="005074D8">
        <w:rPr>
          <w:rFonts w:ascii="Times New Roman" w:eastAsia="Times New Roman" w:hAnsi="Times New Roman" w:cs="David" w:hint="cs"/>
          <w:b/>
          <w:bCs/>
          <w:sz w:val="24"/>
          <w:szCs w:val="24"/>
          <w:rtl/>
        </w:rPr>
        <w:t>ח/</w:t>
      </w:r>
      <w:r w:rsidR="00C174A7">
        <w:rPr>
          <w:rFonts w:ascii="Times New Roman" w:eastAsia="Times New Roman" w:hAnsi="Times New Roman" w:cs="David" w:hint="cs"/>
          <w:b/>
          <w:bCs/>
          <w:sz w:val="24"/>
          <w:szCs w:val="24"/>
        </w:rPr>
        <w:t>XXX</w:t>
      </w:r>
      <w:r w:rsidRPr="005074D8">
        <w:rPr>
          <w:rFonts w:ascii="Times New Roman" w:eastAsia="Times New Roman" w:hAnsi="Times New Roman" w:cs="David" w:hint="cs"/>
          <w:b/>
          <w:bCs/>
          <w:sz w:val="24"/>
          <w:szCs w:val="24"/>
          <w:rtl/>
        </w:rPr>
        <w:t xml:space="preserve"> סמל </w:t>
      </w:r>
      <w:r w:rsidR="009A7478">
        <w:rPr>
          <w:rFonts w:ascii="Times New Roman" w:eastAsia="Times New Roman" w:hAnsi="Times New Roman" w:cs="David" w:hint="cs"/>
          <w:b/>
          <w:bCs/>
          <w:sz w:val="24"/>
          <w:szCs w:val="24"/>
          <w:rtl/>
        </w:rPr>
        <w:t>ש' נ'</w:t>
      </w:r>
    </w:p>
    <w:p w14:paraId="17F58738" w14:textId="77777777" w:rsidR="005074D8" w:rsidRPr="00D97C65" w:rsidRDefault="005074D8" w:rsidP="005074D8">
      <w:pPr>
        <w:tabs>
          <w:tab w:val="left" w:pos="4536"/>
        </w:tabs>
        <w:spacing w:after="0" w:line="360" w:lineRule="auto"/>
        <w:jc w:val="center"/>
        <w:rPr>
          <w:rFonts w:ascii="Times New Roman" w:eastAsia="Times New Roman" w:hAnsi="Times New Roman" w:cs="David"/>
          <w:sz w:val="24"/>
          <w:szCs w:val="24"/>
          <w:rtl/>
        </w:rPr>
      </w:pPr>
      <w:r w:rsidRPr="00D97C65">
        <w:rPr>
          <w:rFonts w:ascii="Times New Roman" w:eastAsia="Times New Roman" w:hAnsi="Times New Roman" w:cs="David" w:hint="cs"/>
          <w:sz w:val="24"/>
          <w:szCs w:val="24"/>
          <w:rtl/>
        </w:rPr>
        <w:t xml:space="preserve"> (באמצעות ב"כ </w:t>
      </w:r>
      <w:r>
        <w:rPr>
          <w:rFonts w:ascii="Times New Roman" w:eastAsia="Times New Roman" w:hAnsi="Times New Roman" w:cs="David" w:hint="cs"/>
          <w:sz w:val="24"/>
          <w:szCs w:val="24"/>
          <w:rtl/>
        </w:rPr>
        <w:t>עו"ד לירן זילברמן</w:t>
      </w:r>
      <w:r w:rsidRPr="00D97C65">
        <w:rPr>
          <w:rFonts w:ascii="Times New Roman" w:eastAsia="Times New Roman" w:hAnsi="Times New Roman" w:cs="David" w:hint="cs"/>
          <w:sz w:val="24"/>
          <w:szCs w:val="24"/>
          <w:rtl/>
        </w:rPr>
        <w:t>)</w:t>
      </w:r>
    </w:p>
    <w:p w14:paraId="415122BF" w14:textId="77777777" w:rsidR="005074D8" w:rsidRPr="00954440" w:rsidRDefault="005074D8" w:rsidP="005074D8">
      <w:pPr>
        <w:tabs>
          <w:tab w:val="left" w:pos="4536"/>
        </w:tabs>
        <w:spacing w:line="360" w:lineRule="auto"/>
        <w:jc w:val="center"/>
        <w:rPr>
          <w:rFonts w:cs="David"/>
          <w:sz w:val="24"/>
          <w:szCs w:val="24"/>
          <w:rtl/>
        </w:rPr>
      </w:pPr>
    </w:p>
    <w:p w14:paraId="60AEC417" w14:textId="77777777" w:rsidR="005074D8" w:rsidRPr="00954440" w:rsidRDefault="005074D8" w:rsidP="005074D8">
      <w:pPr>
        <w:jc w:val="center"/>
        <w:rPr>
          <w:rFonts w:cs="David"/>
          <w:b/>
          <w:bCs/>
          <w:sz w:val="32"/>
          <w:szCs w:val="32"/>
          <w:u w:val="single"/>
          <w:rtl/>
        </w:rPr>
      </w:pPr>
      <w:r w:rsidRPr="00954440">
        <w:rPr>
          <w:rFonts w:cs="David" w:hint="cs"/>
          <w:b/>
          <w:bCs/>
          <w:sz w:val="32"/>
          <w:szCs w:val="32"/>
          <w:u w:val="single"/>
          <w:rtl/>
        </w:rPr>
        <w:t>ג</w:t>
      </w:r>
      <w:r>
        <w:rPr>
          <w:rFonts w:cs="David" w:hint="cs"/>
          <w:b/>
          <w:bCs/>
          <w:sz w:val="32"/>
          <w:szCs w:val="32"/>
          <w:u w:val="single"/>
          <w:rtl/>
        </w:rPr>
        <w:t xml:space="preserve"> </w:t>
      </w:r>
      <w:r w:rsidRPr="00954440">
        <w:rPr>
          <w:rFonts w:cs="David" w:hint="cs"/>
          <w:b/>
          <w:bCs/>
          <w:sz w:val="32"/>
          <w:szCs w:val="32"/>
          <w:u w:val="single"/>
          <w:rtl/>
        </w:rPr>
        <w:t>ז</w:t>
      </w:r>
      <w:r>
        <w:rPr>
          <w:rFonts w:cs="David" w:hint="cs"/>
          <w:b/>
          <w:bCs/>
          <w:sz w:val="32"/>
          <w:szCs w:val="32"/>
          <w:u w:val="single"/>
          <w:rtl/>
        </w:rPr>
        <w:t xml:space="preserve"> </w:t>
      </w:r>
      <w:r w:rsidRPr="00954440">
        <w:rPr>
          <w:rFonts w:cs="David" w:hint="cs"/>
          <w:b/>
          <w:bCs/>
          <w:sz w:val="32"/>
          <w:szCs w:val="32"/>
          <w:u w:val="single"/>
          <w:rtl/>
        </w:rPr>
        <w:t>ר</w:t>
      </w:r>
      <w:r>
        <w:rPr>
          <w:rFonts w:cs="David" w:hint="cs"/>
          <w:b/>
          <w:bCs/>
          <w:sz w:val="32"/>
          <w:szCs w:val="32"/>
          <w:u w:val="single"/>
          <w:rtl/>
        </w:rPr>
        <w:t xml:space="preserve">  - </w:t>
      </w:r>
      <w:r w:rsidRPr="00954440">
        <w:rPr>
          <w:rFonts w:cs="David" w:hint="cs"/>
          <w:b/>
          <w:bCs/>
          <w:sz w:val="32"/>
          <w:szCs w:val="32"/>
          <w:u w:val="single"/>
          <w:rtl/>
        </w:rPr>
        <w:t xml:space="preserve"> ד</w:t>
      </w:r>
      <w:r>
        <w:rPr>
          <w:rFonts w:cs="David" w:hint="cs"/>
          <w:b/>
          <w:bCs/>
          <w:sz w:val="32"/>
          <w:szCs w:val="32"/>
          <w:u w:val="single"/>
          <w:rtl/>
        </w:rPr>
        <w:t xml:space="preserve"> </w:t>
      </w:r>
      <w:r w:rsidRPr="00954440">
        <w:rPr>
          <w:rFonts w:cs="David" w:hint="cs"/>
          <w:b/>
          <w:bCs/>
          <w:sz w:val="32"/>
          <w:szCs w:val="32"/>
          <w:u w:val="single"/>
          <w:rtl/>
        </w:rPr>
        <w:t>י</w:t>
      </w:r>
      <w:r>
        <w:rPr>
          <w:rFonts w:cs="David" w:hint="cs"/>
          <w:b/>
          <w:bCs/>
          <w:sz w:val="32"/>
          <w:szCs w:val="32"/>
          <w:u w:val="single"/>
          <w:rtl/>
        </w:rPr>
        <w:t xml:space="preserve"> </w:t>
      </w:r>
      <w:r w:rsidRPr="00954440">
        <w:rPr>
          <w:rFonts w:cs="David" w:hint="cs"/>
          <w:b/>
          <w:bCs/>
          <w:sz w:val="32"/>
          <w:szCs w:val="32"/>
          <w:u w:val="single"/>
          <w:rtl/>
        </w:rPr>
        <w:t xml:space="preserve">ן </w:t>
      </w:r>
    </w:p>
    <w:p w14:paraId="2BA583DE" w14:textId="77777777" w:rsidR="007D4780" w:rsidRDefault="005074D8" w:rsidP="004D069D">
      <w:pPr>
        <w:autoSpaceDE w:val="0"/>
        <w:autoSpaceDN w:val="0"/>
        <w:spacing w:after="0" w:line="360" w:lineRule="auto"/>
        <w:jc w:val="both"/>
        <w:rPr>
          <w:rFonts w:cs="David"/>
          <w:sz w:val="24"/>
          <w:szCs w:val="24"/>
          <w:rtl/>
        </w:rPr>
      </w:pPr>
      <w:r w:rsidRPr="005074D8">
        <w:rPr>
          <w:rFonts w:cs="David" w:hint="cs"/>
          <w:sz w:val="24"/>
          <w:szCs w:val="24"/>
          <w:rtl/>
        </w:rPr>
        <w:t>מהו העונש ההולם את מעשיו של חייל שהורשע בצילום חיילות במקלחות המחנה שבו שרתו</w:t>
      </w:r>
      <w:r>
        <w:rPr>
          <w:rFonts w:cs="David" w:hint="cs"/>
          <w:sz w:val="24"/>
          <w:szCs w:val="24"/>
          <w:rtl/>
        </w:rPr>
        <w:t>,</w:t>
      </w:r>
      <w:r w:rsidRPr="005074D8">
        <w:rPr>
          <w:rFonts w:cs="David" w:hint="cs"/>
          <w:sz w:val="24"/>
          <w:szCs w:val="24"/>
          <w:rtl/>
        </w:rPr>
        <w:t xml:space="preserve"> ב</w:t>
      </w:r>
      <w:r w:rsidRPr="00C450CB">
        <w:rPr>
          <w:rFonts w:cs="David" w:hint="cs"/>
          <w:b/>
          <w:bCs/>
          <w:sz w:val="24"/>
          <w:szCs w:val="24"/>
          <w:rtl/>
        </w:rPr>
        <w:t>שלוש</w:t>
      </w:r>
      <w:r w:rsidRPr="005074D8">
        <w:rPr>
          <w:rFonts w:cs="David" w:hint="cs"/>
          <w:sz w:val="24"/>
          <w:szCs w:val="24"/>
          <w:rtl/>
        </w:rPr>
        <w:t xml:space="preserve"> הזדמנויות שונות</w:t>
      </w:r>
      <w:r>
        <w:rPr>
          <w:rFonts w:cs="David" w:hint="cs"/>
          <w:sz w:val="24"/>
          <w:szCs w:val="24"/>
          <w:rtl/>
        </w:rPr>
        <w:t>,</w:t>
      </w:r>
      <w:r w:rsidRPr="005074D8">
        <w:rPr>
          <w:rFonts w:cs="David" w:hint="cs"/>
          <w:sz w:val="24"/>
          <w:szCs w:val="24"/>
          <w:rtl/>
        </w:rPr>
        <w:t xml:space="preserve"> באמצעות מכשירו הסלולרי</w:t>
      </w:r>
      <w:r>
        <w:rPr>
          <w:rFonts w:cs="David" w:hint="cs"/>
          <w:sz w:val="24"/>
          <w:szCs w:val="24"/>
          <w:rtl/>
        </w:rPr>
        <w:t>,</w:t>
      </w:r>
      <w:r w:rsidRPr="005074D8">
        <w:rPr>
          <w:rFonts w:cs="David" w:hint="cs"/>
          <w:sz w:val="24"/>
          <w:szCs w:val="24"/>
          <w:rtl/>
        </w:rPr>
        <w:t xml:space="preserve"> ו</w:t>
      </w:r>
      <w:r w:rsidR="00706B92">
        <w:rPr>
          <w:rFonts w:cs="David" w:hint="cs"/>
          <w:sz w:val="24"/>
          <w:szCs w:val="24"/>
          <w:rtl/>
        </w:rPr>
        <w:t xml:space="preserve">אשר </w:t>
      </w:r>
      <w:r w:rsidRPr="005074D8">
        <w:rPr>
          <w:rFonts w:cs="David" w:hint="cs"/>
          <w:sz w:val="24"/>
          <w:szCs w:val="24"/>
          <w:rtl/>
        </w:rPr>
        <w:t>הציג חלק מהסרטונים לחבריו</w:t>
      </w:r>
      <w:r w:rsidR="00505CD5">
        <w:rPr>
          <w:rFonts w:cs="David" w:hint="cs"/>
          <w:sz w:val="24"/>
          <w:szCs w:val="24"/>
          <w:rtl/>
        </w:rPr>
        <w:t xml:space="preserve"> ליחידה</w:t>
      </w:r>
      <w:r w:rsidRPr="005074D8">
        <w:rPr>
          <w:rFonts w:cs="David" w:hint="cs"/>
          <w:sz w:val="24"/>
          <w:szCs w:val="24"/>
          <w:rtl/>
        </w:rPr>
        <w:t xml:space="preserve">? </w:t>
      </w:r>
      <w:r w:rsidR="00C450CB">
        <w:rPr>
          <w:rFonts w:cs="David" w:hint="cs"/>
          <w:sz w:val="24"/>
          <w:szCs w:val="24"/>
          <w:rtl/>
        </w:rPr>
        <w:t>בכך יעסוק גזר דין זה.</w:t>
      </w:r>
    </w:p>
    <w:p w14:paraId="07C0A981" w14:textId="77777777" w:rsidR="000E37FE" w:rsidRDefault="000E37FE" w:rsidP="004D069D">
      <w:pPr>
        <w:autoSpaceDE w:val="0"/>
        <w:autoSpaceDN w:val="0"/>
        <w:spacing w:after="0" w:line="360" w:lineRule="auto"/>
        <w:jc w:val="both"/>
        <w:rPr>
          <w:rFonts w:cs="David"/>
          <w:sz w:val="24"/>
          <w:szCs w:val="24"/>
          <w:rtl/>
        </w:rPr>
      </w:pPr>
    </w:p>
    <w:p w14:paraId="053362C7" w14:textId="77777777" w:rsidR="00C450CB" w:rsidRPr="002E444D" w:rsidRDefault="000E37FE" w:rsidP="002E444D">
      <w:pPr>
        <w:autoSpaceDE w:val="0"/>
        <w:autoSpaceDN w:val="0"/>
        <w:spacing w:after="0" w:line="360" w:lineRule="auto"/>
        <w:jc w:val="both"/>
        <w:rPr>
          <w:rFonts w:cs="David"/>
          <w:b/>
          <w:bCs/>
          <w:sz w:val="24"/>
          <w:szCs w:val="24"/>
          <w:u w:val="single"/>
          <w:rtl/>
        </w:rPr>
      </w:pPr>
      <w:r w:rsidRPr="002E444D">
        <w:rPr>
          <w:rFonts w:cs="David" w:hint="cs"/>
          <w:b/>
          <w:bCs/>
          <w:sz w:val="24"/>
          <w:szCs w:val="24"/>
          <w:u w:val="single"/>
          <w:rtl/>
        </w:rPr>
        <w:t xml:space="preserve">רקע </w:t>
      </w:r>
    </w:p>
    <w:p w14:paraId="1F612684" w14:textId="6378EBD8" w:rsidR="00C450CB" w:rsidRDefault="002A2451" w:rsidP="00E36DD3">
      <w:pPr>
        <w:numPr>
          <w:ilvl w:val="0"/>
          <w:numId w:val="9"/>
        </w:numPr>
        <w:tabs>
          <w:tab w:val="num" w:pos="386"/>
        </w:tabs>
        <w:spacing w:after="0" w:line="360" w:lineRule="auto"/>
        <w:ind w:left="360"/>
        <w:jc w:val="both"/>
        <w:rPr>
          <w:rFonts w:cs="David"/>
          <w:sz w:val="24"/>
          <w:szCs w:val="24"/>
        </w:rPr>
      </w:pPr>
      <w:r w:rsidRPr="00C450CB">
        <w:rPr>
          <w:rFonts w:cs="David" w:hint="cs"/>
          <w:sz w:val="24"/>
          <w:szCs w:val="24"/>
          <w:rtl/>
        </w:rPr>
        <w:t xml:space="preserve">ביום </w:t>
      </w:r>
      <w:r w:rsidR="00C450CB" w:rsidRPr="00C450CB">
        <w:rPr>
          <w:rFonts w:cs="David" w:hint="cs"/>
          <w:sz w:val="24"/>
          <w:szCs w:val="24"/>
          <w:rtl/>
        </w:rPr>
        <w:t xml:space="preserve">18.3.2019 הורשע הנאשם, סמל </w:t>
      </w:r>
      <w:r w:rsidR="009A7478">
        <w:rPr>
          <w:rFonts w:cs="David" w:hint="cs"/>
          <w:sz w:val="24"/>
          <w:szCs w:val="24"/>
          <w:rtl/>
        </w:rPr>
        <w:t>ש' נ'</w:t>
      </w:r>
      <w:r w:rsidR="00C450CB" w:rsidRPr="00C450CB">
        <w:rPr>
          <w:rFonts w:cs="David" w:hint="cs"/>
          <w:sz w:val="24"/>
          <w:szCs w:val="24"/>
          <w:rtl/>
        </w:rPr>
        <w:t xml:space="preserve">, לאחר ניהול הליך הוכחות, בשלוש עברות של </w:t>
      </w:r>
      <w:r w:rsidR="00C450CB" w:rsidRPr="00E36DD3">
        <w:rPr>
          <w:rFonts w:cs="David" w:hint="cs"/>
          <w:b/>
          <w:bCs/>
          <w:sz w:val="24"/>
          <w:szCs w:val="24"/>
          <w:rtl/>
        </w:rPr>
        <w:t>פגיעה בפרטיות</w:t>
      </w:r>
      <w:r w:rsidR="00C450CB">
        <w:rPr>
          <w:rFonts w:cs="David" w:hint="cs"/>
          <w:sz w:val="24"/>
          <w:szCs w:val="24"/>
          <w:rtl/>
        </w:rPr>
        <w:t xml:space="preserve"> (</w:t>
      </w:r>
      <w:r w:rsidR="00C450CB" w:rsidRPr="00C450CB">
        <w:rPr>
          <w:rFonts w:cs="David" w:hint="cs"/>
          <w:sz w:val="24"/>
          <w:szCs w:val="24"/>
          <w:rtl/>
        </w:rPr>
        <w:t>סעיפים 2(3) ו- 5 לחוק הגנת הפרטיות</w:t>
      </w:r>
      <w:r w:rsidR="00C450CB">
        <w:rPr>
          <w:rFonts w:cs="David" w:hint="cs"/>
          <w:sz w:val="24"/>
          <w:szCs w:val="24"/>
          <w:rtl/>
        </w:rPr>
        <w:t>)</w:t>
      </w:r>
      <w:r w:rsidR="00E36DD3">
        <w:rPr>
          <w:rFonts w:cs="David" w:hint="cs"/>
          <w:sz w:val="24"/>
          <w:szCs w:val="24"/>
          <w:rtl/>
        </w:rPr>
        <w:t xml:space="preserve">; </w:t>
      </w:r>
      <w:r w:rsidR="00C450CB" w:rsidRPr="00C450CB">
        <w:rPr>
          <w:rFonts w:cs="David" w:hint="cs"/>
          <w:sz w:val="24"/>
          <w:szCs w:val="24"/>
          <w:rtl/>
        </w:rPr>
        <w:t xml:space="preserve">שלוש עברות </w:t>
      </w:r>
      <w:r w:rsidR="00E36DD3">
        <w:rPr>
          <w:rFonts w:cs="David" w:hint="cs"/>
          <w:sz w:val="24"/>
          <w:szCs w:val="24"/>
          <w:rtl/>
        </w:rPr>
        <w:t xml:space="preserve">של </w:t>
      </w:r>
      <w:r w:rsidR="00C450CB" w:rsidRPr="00E36DD3">
        <w:rPr>
          <w:rFonts w:cs="David" w:hint="cs"/>
          <w:b/>
          <w:bCs/>
          <w:sz w:val="24"/>
          <w:szCs w:val="24"/>
          <w:rtl/>
        </w:rPr>
        <w:t>מעשה מגונה</w:t>
      </w:r>
      <w:r w:rsidR="00C450CB">
        <w:rPr>
          <w:rFonts w:cs="David" w:hint="cs"/>
          <w:sz w:val="24"/>
          <w:szCs w:val="24"/>
          <w:rtl/>
        </w:rPr>
        <w:t xml:space="preserve"> (</w:t>
      </w:r>
      <w:r w:rsidR="00C450CB" w:rsidRPr="00C450CB">
        <w:rPr>
          <w:rFonts w:cs="David" w:hint="cs"/>
          <w:sz w:val="24"/>
          <w:szCs w:val="24"/>
          <w:rtl/>
        </w:rPr>
        <w:t>סעיף 348(ג) לחוק העונשין</w:t>
      </w:r>
      <w:r w:rsidR="00C450CB">
        <w:rPr>
          <w:rFonts w:cs="David" w:hint="cs"/>
          <w:sz w:val="24"/>
          <w:szCs w:val="24"/>
          <w:rtl/>
        </w:rPr>
        <w:t>)</w:t>
      </w:r>
      <w:r w:rsidR="00C450CB" w:rsidRPr="00C450CB">
        <w:rPr>
          <w:rFonts w:cs="David" w:hint="cs"/>
          <w:sz w:val="24"/>
          <w:szCs w:val="24"/>
          <w:rtl/>
        </w:rPr>
        <w:t xml:space="preserve">; ובעברה של </w:t>
      </w:r>
      <w:r w:rsidR="00C450CB" w:rsidRPr="00E36DD3">
        <w:rPr>
          <w:rFonts w:cs="David" w:hint="cs"/>
          <w:b/>
          <w:bCs/>
          <w:sz w:val="24"/>
          <w:szCs w:val="24"/>
          <w:rtl/>
        </w:rPr>
        <w:t>הטרדה מינית והתנכלות</w:t>
      </w:r>
      <w:r w:rsidR="00C450CB">
        <w:rPr>
          <w:rFonts w:ascii="Calibri" w:eastAsia="Calibri" w:hAnsi="Calibri" w:cs="David" w:hint="cs"/>
          <w:sz w:val="24"/>
          <w:szCs w:val="24"/>
          <w:rtl/>
        </w:rPr>
        <w:t xml:space="preserve"> (</w:t>
      </w:r>
      <w:r w:rsidR="00C450CB" w:rsidRPr="00C450CB">
        <w:rPr>
          <w:rFonts w:ascii="Calibri" w:eastAsia="Calibri" w:hAnsi="Calibri" w:cs="David" w:hint="cs"/>
          <w:sz w:val="24"/>
          <w:szCs w:val="24"/>
          <w:rtl/>
        </w:rPr>
        <w:t>סעיפים 3(א)(5א) ו- 5(א) לחוק למניעת הטרדה מינית וסעיף 5 לחוק הגנת הפרטיות</w:t>
      </w:r>
      <w:r w:rsidR="00C450CB">
        <w:rPr>
          <w:rFonts w:cs="David" w:hint="cs"/>
          <w:sz w:val="24"/>
          <w:szCs w:val="24"/>
          <w:rtl/>
        </w:rPr>
        <w:t>)</w:t>
      </w:r>
      <w:r w:rsidR="00C450CB" w:rsidRPr="00C450CB">
        <w:rPr>
          <w:rFonts w:cs="David" w:hint="cs"/>
          <w:sz w:val="24"/>
          <w:szCs w:val="24"/>
          <w:rtl/>
        </w:rPr>
        <w:t>.</w:t>
      </w:r>
      <w:r w:rsidR="00C450CB">
        <w:rPr>
          <w:rFonts w:cs="David" w:hint="cs"/>
          <w:sz w:val="24"/>
          <w:szCs w:val="24"/>
          <w:rtl/>
        </w:rPr>
        <w:t xml:space="preserve"> </w:t>
      </w:r>
    </w:p>
    <w:p w14:paraId="6D0F4E99" w14:textId="77777777" w:rsidR="00C450CB" w:rsidRDefault="00857D44" w:rsidP="006248E8">
      <w:pPr>
        <w:numPr>
          <w:ilvl w:val="0"/>
          <w:numId w:val="9"/>
        </w:numPr>
        <w:tabs>
          <w:tab w:val="num" w:pos="386"/>
        </w:tabs>
        <w:spacing w:after="0" w:line="360" w:lineRule="auto"/>
        <w:ind w:left="360"/>
        <w:jc w:val="both"/>
        <w:rPr>
          <w:rFonts w:cs="David"/>
          <w:sz w:val="24"/>
          <w:szCs w:val="24"/>
        </w:rPr>
      </w:pPr>
      <w:r>
        <w:rPr>
          <w:rFonts w:cs="David" w:hint="cs"/>
          <w:sz w:val="24"/>
          <w:szCs w:val="24"/>
          <w:rtl/>
        </w:rPr>
        <w:t xml:space="preserve">בבסיס ההרשעה ניצבות </w:t>
      </w:r>
      <w:r w:rsidR="006248E8">
        <w:rPr>
          <w:rFonts w:cs="David" w:hint="cs"/>
          <w:sz w:val="24"/>
          <w:szCs w:val="24"/>
          <w:rtl/>
        </w:rPr>
        <w:t xml:space="preserve">עיקר </w:t>
      </w:r>
      <w:r>
        <w:rPr>
          <w:rFonts w:cs="David" w:hint="cs"/>
          <w:sz w:val="24"/>
          <w:szCs w:val="24"/>
          <w:rtl/>
        </w:rPr>
        <w:t>הקביעות הבאות:</w:t>
      </w:r>
      <w:r w:rsidR="00C450CB">
        <w:rPr>
          <w:rFonts w:cs="David" w:hint="cs"/>
          <w:sz w:val="24"/>
          <w:szCs w:val="24"/>
          <w:rtl/>
        </w:rPr>
        <w:t xml:space="preserve"> בליל 22.10.2017 לאחר ששמע הנאשם רעש הבוקע מחדרי הרחצה במחנה</w:t>
      </w:r>
      <w:r>
        <w:rPr>
          <w:rFonts w:cs="David" w:hint="cs"/>
          <w:sz w:val="24"/>
          <w:szCs w:val="24"/>
          <w:rtl/>
        </w:rPr>
        <w:t xml:space="preserve"> היחידה שבה שירת</w:t>
      </w:r>
      <w:r w:rsidR="00C450CB">
        <w:rPr>
          <w:rFonts w:cs="David" w:hint="cs"/>
          <w:sz w:val="24"/>
          <w:szCs w:val="24"/>
          <w:rtl/>
        </w:rPr>
        <w:t xml:space="preserve">, סר למקום וצילם </w:t>
      </w:r>
      <w:r w:rsidR="00D36D6E">
        <w:rPr>
          <w:rFonts w:cs="David" w:hint="cs"/>
          <w:sz w:val="24"/>
          <w:szCs w:val="24"/>
          <w:rtl/>
        </w:rPr>
        <w:t xml:space="preserve">מבעד לחלון </w:t>
      </w:r>
      <w:r w:rsidR="00C450CB">
        <w:rPr>
          <w:rFonts w:cs="David" w:hint="cs"/>
          <w:sz w:val="24"/>
          <w:szCs w:val="24"/>
          <w:rtl/>
        </w:rPr>
        <w:t>בא</w:t>
      </w:r>
      <w:r w:rsidR="00D36D6E">
        <w:rPr>
          <w:rFonts w:cs="David" w:hint="cs"/>
          <w:sz w:val="24"/>
          <w:szCs w:val="24"/>
          <w:rtl/>
        </w:rPr>
        <w:t>מ</w:t>
      </w:r>
      <w:r w:rsidR="00C450CB">
        <w:rPr>
          <w:rFonts w:cs="David" w:hint="cs"/>
          <w:sz w:val="24"/>
          <w:szCs w:val="24"/>
          <w:rtl/>
        </w:rPr>
        <w:t xml:space="preserve">צעות מכשיר הטלפון הסלולרי שלו </w:t>
      </w:r>
      <w:r w:rsidR="004D069D">
        <w:rPr>
          <w:rFonts w:cs="David" w:hint="cs"/>
          <w:sz w:val="24"/>
          <w:szCs w:val="24"/>
          <w:rtl/>
        </w:rPr>
        <w:t xml:space="preserve">חיילת בשם ע' ב' בעת </w:t>
      </w:r>
      <w:proofErr w:type="spellStart"/>
      <w:r w:rsidR="004D069D">
        <w:rPr>
          <w:rFonts w:cs="David" w:hint="cs"/>
          <w:sz w:val="24"/>
          <w:szCs w:val="24"/>
          <w:rtl/>
        </w:rPr>
        <w:t>שהיתה</w:t>
      </w:r>
      <w:proofErr w:type="spellEnd"/>
      <w:r w:rsidR="004D069D">
        <w:rPr>
          <w:rFonts w:cs="David" w:hint="cs"/>
          <w:sz w:val="24"/>
          <w:szCs w:val="24"/>
          <w:rtl/>
        </w:rPr>
        <w:t xml:space="preserve"> עי</w:t>
      </w:r>
      <w:r w:rsidR="00D36D6E">
        <w:rPr>
          <w:rFonts w:cs="David" w:hint="cs"/>
          <w:sz w:val="24"/>
          <w:szCs w:val="24"/>
          <w:rtl/>
        </w:rPr>
        <w:t>רומה והתקלחה. בערב יום ה</w:t>
      </w:r>
      <w:r>
        <w:rPr>
          <w:rFonts w:cs="David" w:hint="cs"/>
          <w:sz w:val="24"/>
          <w:szCs w:val="24"/>
          <w:rtl/>
        </w:rPr>
        <w:t xml:space="preserve">מחרת 23.10.2017 חזר לאותו חלון, </w:t>
      </w:r>
      <w:r w:rsidR="00D36D6E">
        <w:rPr>
          <w:rFonts w:cs="David" w:hint="cs"/>
          <w:sz w:val="24"/>
          <w:szCs w:val="24"/>
          <w:rtl/>
        </w:rPr>
        <w:t xml:space="preserve">צילם מספר סרטונים של שתי חיילות </w:t>
      </w:r>
      <w:r w:rsidR="004D069D">
        <w:rPr>
          <w:rFonts w:cs="David" w:hint="cs"/>
          <w:sz w:val="24"/>
          <w:szCs w:val="24"/>
          <w:rtl/>
        </w:rPr>
        <w:t xml:space="preserve">עירומות </w:t>
      </w:r>
      <w:r w:rsidR="00D36D6E">
        <w:rPr>
          <w:rFonts w:cs="David" w:hint="cs"/>
          <w:sz w:val="24"/>
          <w:szCs w:val="24"/>
          <w:rtl/>
        </w:rPr>
        <w:t xml:space="preserve">שזהותן לא ידועה בעת שהתקלחו. בהמשך אותו לילה שב למקום בשנית, וצילם </w:t>
      </w:r>
      <w:r w:rsidR="004D069D">
        <w:rPr>
          <w:rFonts w:cs="David" w:hint="cs"/>
          <w:sz w:val="24"/>
          <w:szCs w:val="24"/>
          <w:rtl/>
        </w:rPr>
        <w:t xml:space="preserve">את ע' ש', נ' ב', ו-ע' ב' - </w:t>
      </w:r>
      <w:r w:rsidR="00D36D6E">
        <w:rPr>
          <w:rFonts w:cs="David" w:hint="cs"/>
          <w:sz w:val="24"/>
          <w:szCs w:val="24"/>
          <w:rtl/>
        </w:rPr>
        <w:t>שלוש חיילות</w:t>
      </w:r>
      <w:r w:rsidR="004D069D">
        <w:rPr>
          <w:rFonts w:cs="David" w:hint="cs"/>
          <w:sz w:val="24"/>
          <w:szCs w:val="24"/>
          <w:rtl/>
        </w:rPr>
        <w:t xml:space="preserve"> מהיחידה</w:t>
      </w:r>
      <w:r w:rsidR="00D36D6E">
        <w:rPr>
          <w:rFonts w:cs="David" w:hint="cs"/>
          <w:sz w:val="24"/>
          <w:szCs w:val="24"/>
          <w:rtl/>
        </w:rPr>
        <w:t>, בעת ש</w:t>
      </w:r>
      <w:r w:rsidR="004D069D">
        <w:rPr>
          <w:rFonts w:cs="David" w:hint="cs"/>
          <w:sz w:val="24"/>
          <w:szCs w:val="24"/>
          <w:rtl/>
        </w:rPr>
        <w:t>היו עירומות והתקלחו</w:t>
      </w:r>
      <w:r w:rsidR="00D36D6E">
        <w:rPr>
          <w:rFonts w:cs="David" w:hint="cs"/>
          <w:sz w:val="24"/>
          <w:szCs w:val="24"/>
          <w:rtl/>
        </w:rPr>
        <w:t xml:space="preserve">. לאחר מכן, הראה שלושה מהסרטונים </w:t>
      </w:r>
      <w:r w:rsidR="00D36D6E">
        <w:rPr>
          <w:rFonts w:cs="David" w:hint="cs"/>
          <w:sz w:val="24"/>
          <w:szCs w:val="24"/>
          <w:rtl/>
        </w:rPr>
        <w:lastRenderedPageBreak/>
        <w:t>שצילם לשניים מחבריו ליחידה והשלושה צפו בצוותא בסרטונים שבהן נראות ע' ש', נ' ב', ו-ע' ב' עירומות</w:t>
      </w:r>
      <w:r w:rsidR="00706B92">
        <w:rPr>
          <w:rFonts w:cs="David" w:hint="cs"/>
          <w:sz w:val="24"/>
          <w:szCs w:val="24"/>
          <w:rtl/>
        </w:rPr>
        <w:t>.</w:t>
      </w:r>
      <w:r w:rsidR="006248E8">
        <w:rPr>
          <w:rFonts w:cs="David" w:hint="cs"/>
          <w:sz w:val="24"/>
          <w:szCs w:val="24"/>
          <w:rtl/>
        </w:rPr>
        <w:t xml:space="preserve"> </w:t>
      </w:r>
      <w:r w:rsidR="00D36D6E">
        <w:rPr>
          <w:rFonts w:cs="David" w:hint="cs"/>
          <w:sz w:val="24"/>
          <w:szCs w:val="24"/>
          <w:rtl/>
        </w:rPr>
        <w:t xml:space="preserve">המצולמות צולמו </w:t>
      </w:r>
      <w:r w:rsidR="00E36DD3">
        <w:rPr>
          <w:rFonts w:cs="David" w:hint="cs"/>
          <w:sz w:val="24"/>
          <w:szCs w:val="24"/>
          <w:rtl/>
        </w:rPr>
        <w:t xml:space="preserve">בלא ידיעתן. </w:t>
      </w:r>
      <w:r w:rsidR="006248E8">
        <w:rPr>
          <w:rFonts w:cs="David" w:hint="cs"/>
          <w:sz w:val="24"/>
          <w:szCs w:val="24"/>
          <w:rtl/>
        </w:rPr>
        <w:t>הנאשם הביע נכונות בפני חבריו לשוב ולצלם עוד סרטונים, אך לא עשה כן משום שהתקבל דיווח על מעשיו. הנאשם</w:t>
      </w:r>
      <w:r w:rsidR="00E36DD3">
        <w:rPr>
          <w:rFonts w:cs="David" w:hint="cs"/>
          <w:sz w:val="24"/>
          <w:szCs w:val="24"/>
          <w:rtl/>
        </w:rPr>
        <w:t xml:space="preserve"> </w:t>
      </w:r>
      <w:r w:rsidR="006248E8">
        <w:rPr>
          <w:rFonts w:cs="David" w:hint="cs"/>
          <w:sz w:val="24"/>
          <w:szCs w:val="24"/>
          <w:rtl/>
        </w:rPr>
        <w:t xml:space="preserve">מחק את </w:t>
      </w:r>
      <w:r w:rsidR="00E36DD3">
        <w:rPr>
          <w:rFonts w:cs="David" w:hint="cs"/>
          <w:sz w:val="24"/>
          <w:szCs w:val="24"/>
          <w:rtl/>
        </w:rPr>
        <w:t>כלל הסרטונים.</w:t>
      </w:r>
    </w:p>
    <w:p w14:paraId="7F4729B5" w14:textId="77777777" w:rsidR="002E444D" w:rsidRDefault="00EE0A5C" w:rsidP="001A4841">
      <w:pPr>
        <w:numPr>
          <w:ilvl w:val="0"/>
          <w:numId w:val="9"/>
        </w:numPr>
        <w:tabs>
          <w:tab w:val="num" w:pos="386"/>
        </w:tabs>
        <w:spacing w:after="0" w:line="360" w:lineRule="auto"/>
        <w:ind w:left="360"/>
        <w:jc w:val="both"/>
        <w:rPr>
          <w:rFonts w:cs="David"/>
          <w:sz w:val="24"/>
          <w:szCs w:val="24"/>
        </w:rPr>
      </w:pPr>
      <w:r w:rsidRPr="000636C8">
        <w:rPr>
          <w:rFonts w:cs="David" w:hint="cs"/>
          <w:sz w:val="24"/>
          <w:szCs w:val="24"/>
          <w:rtl/>
        </w:rPr>
        <w:t xml:space="preserve">ביום </w:t>
      </w:r>
      <w:r w:rsidR="00B0727B" w:rsidRPr="000636C8">
        <w:rPr>
          <w:rFonts w:cs="David" w:hint="cs"/>
          <w:sz w:val="24"/>
          <w:szCs w:val="24"/>
          <w:rtl/>
        </w:rPr>
        <w:t>2.4.2019</w:t>
      </w:r>
      <w:r w:rsidRPr="000636C8">
        <w:rPr>
          <w:rFonts w:cs="David" w:hint="cs"/>
          <w:sz w:val="24"/>
          <w:szCs w:val="24"/>
          <w:rtl/>
        </w:rPr>
        <w:t xml:space="preserve"> התקבלה חוות הדעת של </w:t>
      </w:r>
      <w:r w:rsidR="00B0727B" w:rsidRPr="000636C8">
        <w:rPr>
          <w:rFonts w:cs="David" w:hint="cs"/>
          <w:sz w:val="24"/>
          <w:szCs w:val="24"/>
          <w:rtl/>
        </w:rPr>
        <w:t>הגב' אסנת גיא מ</w:t>
      </w:r>
      <w:r w:rsidRPr="000636C8">
        <w:rPr>
          <w:rFonts w:cs="David" w:hint="cs"/>
          <w:sz w:val="24"/>
          <w:szCs w:val="24"/>
          <w:rtl/>
        </w:rPr>
        <w:t xml:space="preserve">המרכז להערכת מסוכנות. </w:t>
      </w:r>
      <w:r w:rsidR="00C67760" w:rsidRPr="000636C8">
        <w:rPr>
          <w:rFonts w:cs="David" w:hint="cs"/>
          <w:sz w:val="24"/>
          <w:szCs w:val="24"/>
          <w:rtl/>
        </w:rPr>
        <w:t>שילובם של גורמי הסיכון הסטאטיים, הדינאמיים וההתרשמות הקלינית מהנאשם, הביאה ל</w:t>
      </w:r>
      <w:r w:rsidR="001A4841">
        <w:rPr>
          <w:rFonts w:cs="David" w:hint="cs"/>
          <w:sz w:val="24"/>
          <w:szCs w:val="24"/>
          <w:rtl/>
        </w:rPr>
        <w:t>הערכ</w:t>
      </w:r>
      <w:r w:rsidR="00C67760" w:rsidRPr="000636C8">
        <w:rPr>
          <w:rFonts w:cs="David" w:hint="cs"/>
          <w:sz w:val="24"/>
          <w:szCs w:val="24"/>
          <w:rtl/>
        </w:rPr>
        <w:t xml:space="preserve">ה כי </w:t>
      </w:r>
      <w:r w:rsidR="00B0727B" w:rsidRPr="000636C8">
        <w:rPr>
          <w:rFonts w:cs="David" w:hint="cs"/>
          <w:sz w:val="24"/>
          <w:szCs w:val="24"/>
          <w:rtl/>
        </w:rPr>
        <w:t xml:space="preserve">מסוכנותו המינית של הנאשם </w:t>
      </w:r>
      <w:r w:rsidR="00C67760" w:rsidRPr="000636C8">
        <w:rPr>
          <w:rFonts w:cs="David" w:hint="cs"/>
          <w:sz w:val="24"/>
          <w:szCs w:val="24"/>
          <w:rtl/>
        </w:rPr>
        <w:t>היא</w:t>
      </w:r>
      <w:r w:rsidR="00C67760" w:rsidRPr="000636C8">
        <w:rPr>
          <w:rFonts w:cs="David" w:hint="cs"/>
          <w:b/>
          <w:bCs/>
          <w:sz w:val="24"/>
          <w:szCs w:val="24"/>
          <w:rtl/>
        </w:rPr>
        <w:t xml:space="preserve"> נמוכה-</w:t>
      </w:r>
      <w:r w:rsidR="00B0727B" w:rsidRPr="000636C8">
        <w:rPr>
          <w:rFonts w:cs="David" w:hint="cs"/>
          <w:b/>
          <w:bCs/>
          <w:sz w:val="24"/>
          <w:szCs w:val="24"/>
          <w:rtl/>
        </w:rPr>
        <w:t>בינונית</w:t>
      </w:r>
      <w:r w:rsidR="00B0727B" w:rsidRPr="000636C8">
        <w:rPr>
          <w:rFonts w:cs="David" w:hint="cs"/>
          <w:sz w:val="24"/>
          <w:szCs w:val="24"/>
          <w:rtl/>
        </w:rPr>
        <w:t xml:space="preserve">. </w:t>
      </w:r>
    </w:p>
    <w:p w14:paraId="6817F4C5" w14:textId="77777777" w:rsidR="00546E9C" w:rsidRPr="000636C8" w:rsidRDefault="00546E9C" w:rsidP="00546E9C">
      <w:pPr>
        <w:spacing w:after="0" w:line="360" w:lineRule="auto"/>
        <w:ind w:left="360"/>
        <w:jc w:val="both"/>
        <w:rPr>
          <w:rFonts w:cs="David"/>
          <w:sz w:val="24"/>
          <w:szCs w:val="24"/>
        </w:rPr>
      </w:pPr>
    </w:p>
    <w:p w14:paraId="7A1618AF" w14:textId="77777777" w:rsidR="002E444D" w:rsidRPr="000636C8" w:rsidRDefault="002E444D" w:rsidP="002E444D">
      <w:pPr>
        <w:autoSpaceDE w:val="0"/>
        <w:autoSpaceDN w:val="0"/>
        <w:spacing w:after="0" w:line="360" w:lineRule="auto"/>
        <w:jc w:val="both"/>
        <w:rPr>
          <w:rFonts w:cs="David"/>
          <w:sz w:val="24"/>
          <w:szCs w:val="24"/>
          <w:u w:val="single"/>
        </w:rPr>
      </w:pPr>
      <w:r w:rsidRPr="000636C8">
        <w:rPr>
          <w:rFonts w:cs="David" w:hint="cs"/>
          <w:b/>
          <w:bCs/>
          <w:sz w:val="24"/>
          <w:szCs w:val="24"/>
          <w:u w:val="single"/>
          <w:rtl/>
        </w:rPr>
        <w:t>טיעוני הצדדים</w:t>
      </w:r>
    </w:p>
    <w:p w14:paraId="3CBDD9BA" w14:textId="77777777" w:rsidR="00857D44" w:rsidRDefault="00505CD5" w:rsidP="00C003F1">
      <w:pPr>
        <w:numPr>
          <w:ilvl w:val="0"/>
          <w:numId w:val="9"/>
        </w:numPr>
        <w:tabs>
          <w:tab w:val="num" w:pos="386"/>
        </w:tabs>
        <w:autoSpaceDE w:val="0"/>
        <w:autoSpaceDN w:val="0"/>
        <w:spacing w:after="0" w:line="360" w:lineRule="auto"/>
        <w:ind w:left="360"/>
        <w:jc w:val="both"/>
        <w:rPr>
          <w:rFonts w:cs="David"/>
          <w:sz w:val="24"/>
          <w:szCs w:val="24"/>
        </w:rPr>
      </w:pPr>
      <w:r w:rsidRPr="000636C8">
        <w:rPr>
          <w:rFonts w:cs="David" w:hint="cs"/>
          <w:sz w:val="24"/>
          <w:szCs w:val="24"/>
          <w:rtl/>
        </w:rPr>
        <w:t>התובעת הצבאית טענה כי ראוי שייקבעו חמישה מתחמי ענישה שונים ביחס לכל אחת מנפגעות העברה שאותן צילם הנאשם. צוין</w:t>
      </w:r>
      <w:r w:rsidR="00717011" w:rsidRPr="000636C8">
        <w:rPr>
          <w:rFonts w:cs="David" w:hint="cs"/>
          <w:sz w:val="24"/>
          <w:szCs w:val="24"/>
          <w:rtl/>
        </w:rPr>
        <w:t>,</w:t>
      </w:r>
      <w:r w:rsidRPr="000636C8">
        <w:rPr>
          <w:rFonts w:cs="David" w:hint="cs"/>
          <w:sz w:val="24"/>
          <w:szCs w:val="24"/>
          <w:rtl/>
        </w:rPr>
        <w:t xml:space="preserve"> כי מעשי הנאשם כרוכים בפגיעה</w:t>
      </w:r>
      <w:r w:rsidR="00717011" w:rsidRPr="000636C8">
        <w:rPr>
          <w:rFonts w:cs="David" w:hint="cs"/>
          <w:sz w:val="24"/>
          <w:szCs w:val="24"/>
          <w:rtl/>
        </w:rPr>
        <w:t xml:space="preserve"> </w:t>
      </w:r>
      <w:r w:rsidRPr="000636C8">
        <w:rPr>
          <w:rFonts w:cs="David" w:hint="cs"/>
          <w:sz w:val="24"/>
          <w:szCs w:val="24"/>
          <w:rtl/>
        </w:rPr>
        <w:t>חריפה ב</w:t>
      </w:r>
      <w:r w:rsidR="00717011" w:rsidRPr="000636C8">
        <w:rPr>
          <w:rFonts w:cs="David" w:hint="cs"/>
          <w:sz w:val="24"/>
          <w:szCs w:val="24"/>
          <w:rtl/>
        </w:rPr>
        <w:t xml:space="preserve">זכויותיהן של נפגעות העברה לכבוד, לפרטיות ולביטחון אישי - </w:t>
      </w:r>
      <w:r w:rsidRPr="000636C8">
        <w:rPr>
          <w:rFonts w:cs="David" w:hint="cs"/>
          <w:sz w:val="24"/>
          <w:szCs w:val="24"/>
          <w:rtl/>
        </w:rPr>
        <w:t xml:space="preserve">ערכים </w:t>
      </w:r>
      <w:r w:rsidR="00717011" w:rsidRPr="000636C8">
        <w:rPr>
          <w:rFonts w:cs="David" w:hint="cs"/>
          <w:sz w:val="24"/>
          <w:szCs w:val="24"/>
          <w:rtl/>
        </w:rPr>
        <w:t>הניצבים</w:t>
      </w:r>
      <w:r w:rsidRPr="000636C8">
        <w:rPr>
          <w:rFonts w:cs="David" w:hint="cs"/>
          <w:sz w:val="24"/>
          <w:szCs w:val="24"/>
          <w:rtl/>
        </w:rPr>
        <w:t xml:space="preserve"> בלב ליבו של המשפט הישראלי, ו</w:t>
      </w:r>
      <w:r w:rsidR="00717011" w:rsidRPr="000636C8">
        <w:rPr>
          <w:rFonts w:cs="David" w:hint="cs"/>
          <w:sz w:val="24"/>
          <w:szCs w:val="24"/>
          <w:rtl/>
        </w:rPr>
        <w:t xml:space="preserve">כי </w:t>
      </w:r>
      <w:r w:rsidRPr="000636C8">
        <w:rPr>
          <w:rFonts w:cs="David" w:hint="cs"/>
          <w:sz w:val="24"/>
          <w:szCs w:val="24"/>
          <w:rtl/>
        </w:rPr>
        <w:t>לאור החומרה היתרה הטמו</w:t>
      </w:r>
      <w:r w:rsidR="00717011" w:rsidRPr="000636C8">
        <w:rPr>
          <w:rFonts w:cs="David" w:hint="cs"/>
          <w:sz w:val="24"/>
          <w:szCs w:val="24"/>
          <w:rtl/>
        </w:rPr>
        <w:t xml:space="preserve">נה </w:t>
      </w:r>
      <w:r w:rsidRPr="000636C8">
        <w:rPr>
          <w:rFonts w:cs="David" w:hint="cs"/>
          <w:sz w:val="24"/>
          <w:szCs w:val="24"/>
          <w:rtl/>
        </w:rPr>
        <w:t>בעשיית מעשי</w:t>
      </w:r>
      <w:r w:rsidR="00717011" w:rsidRPr="000636C8">
        <w:rPr>
          <w:rFonts w:cs="David" w:hint="cs"/>
          <w:sz w:val="24"/>
          <w:szCs w:val="24"/>
          <w:rtl/>
        </w:rPr>
        <w:t>ם</w:t>
      </w:r>
      <w:r w:rsidRPr="000636C8">
        <w:rPr>
          <w:rFonts w:cs="David" w:hint="cs"/>
          <w:sz w:val="24"/>
          <w:szCs w:val="24"/>
          <w:rtl/>
        </w:rPr>
        <w:t xml:space="preserve"> אלה בחיילות במסגרת הצבאית</w:t>
      </w:r>
      <w:r w:rsidR="00717011" w:rsidRPr="000636C8">
        <w:rPr>
          <w:rFonts w:cs="David" w:hint="cs"/>
          <w:sz w:val="24"/>
          <w:szCs w:val="24"/>
          <w:rtl/>
        </w:rPr>
        <w:t xml:space="preserve">, בערכי המשמעת והשילוב הראוי, </w:t>
      </w:r>
      <w:r w:rsidR="004D069D" w:rsidRPr="000636C8">
        <w:rPr>
          <w:rFonts w:cs="David" w:hint="cs"/>
          <w:sz w:val="24"/>
          <w:szCs w:val="24"/>
          <w:rtl/>
        </w:rPr>
        <w:t>מתחייבת</w:t>
      </w:r>
      <w:r w:rsidR="00717011" w:rsidRPr="000636C8">
        <w:rPr>
          <w:rFonts w:cs="David" w:hint="cs"/>
          <w:sz w:val="24"/>
          <w:szCs w:val="24"/>
          <w:rtl/>
        </w:rPr>
        <w:t xml:space="preserve"> ענישה מרתיעה. התובעת הדגישה בטיעוניה את היבטי החומרה, הנובעים מנסיבות ביצוע העברה, וביניהם: את הטעמים המיניים שהביאו את הנאשם לצלם, את העובדה ששב ועשה כן, את </w:t>
      </w:r>
      <w:r w:rsidR="004D069D" w:rsidRPr="000636C8">
        <w:rPr>
          <w:rFonts w:cs="David" w:hint="cs"/>
          <w:sz w:val="24"/>
          <w:szCs w:val="24"/>
          <w:rtl/>
        </w:rPr>
        <w:t>העובדה ששיתף בצפייה בסרטונים</w:t>
      </w:r>
      <w:r w:rsidR="00717011" w:rsidRPr="000636C8">
        <w:rPr>
          <w:rFonts w:cs="David" w:hint="cs"/>
          <w:sz w:val="24"/>
          <w:szCs w:val="24"/>
          <w:rtl/>
        </w:rPr>
        <w:t xml:space="preserve"> </w:t>
      </w:r>
      <w:r w:rsidR="004D069D" w:rsidRPr="000636C8">
        <w:rPr>
          <w:rFonts w:cs="David" w:hint="cs"/>
          <w:sz w:val="24"/>
          <w:szCs w:val="24"/>
          <w:rtl/>
        </w:rPr>
        <w:t>את</w:t>
      </w:r>
      <w:r w:rsidR="00717011" w:rsidRPr="000636C8">
        <w:rPr>
          <w:rFonts w:cs="David" w:hint="cs"/>
          <w:sz w:val="24"/>
          <w:szCs w:val="24"/>
          <w:rtl/>
        </w:rPr>
        <w:t xml:space="preserve"> חבריו, את העובדה כי המעשים פסקו</w:t>
      </w:r>
      <w:r w:rsidR="004D069D" w:rsidRPr="000636C8">
        <w:rPr>
          <w:rFonts w:cs="David" w:hint="cs"/>
          <w:sz w:val="24"/>
          <w:szCs w:val="24"/>
          <w:rtl/>
        </w:rPr>
        <w:t xml:space="preserve"> רק</w:t>
      </w:r>
      <w:r w:rsidR="00717011" w:rsidRPr="000636C8">
        <w:rPr>
          <w:rFonts w:cs="David" w:hint="cs"/>
          <w:sz w:val="24"/>
          <w:szCs w:val="24"/>
          <w:rtl/>
        </w:rPr>
        <w:t xml:space="preserve"> לאחר שדו</w:t>
      </w:r>
      <w:r w:rsidR="004D069D" w:rsidRPr="000636C8">
        <w:rPr>
          <w:rFonts w:cs="David" w:hint="cs"/>
          <w:sz w:val="24"/>
          <w:szCs w:val="24"/>
          <w:rtl/>
        </w:rPr>
        <w:t>ּ</w:t>
      </w:r>
      <w:r w:rsidR="00717011" w:rsidRPr="000636C8">
        <w:rPr>
          <w:rFonts w:cs="David" w:hint="cs"/>
          <w:sz w:val="24"/>
          <w:szCs w:val="24"/>
          <w:rtl/>
        </w:rPr>
        <w:t>וח עליהם וכן עמדה על</w:t>
      </w:r>
      <w:r w:rsidR="00717011" w:rsidRPr="00857D44">
        <w:rPr>
          <w:rFonts w:cs="David" w:hint="cs"/>
          <w:sz w:val="24"/>
          <w:szCs w:val="24"/>
          <w:rtl/>
        </w:rPr>
        <w:t xml:space="preserve"> הנזק שנגרם לנפגעות העברה כתוצאה מהמעשים. בהפנותה לתקדימי ענישה, עתרה התביעה הצבאית לקבוע מתחם ענישה נפרד לכל נפגעת עברה</w:t>
      </w:r>
      <w:r w:rsidR="004A7F48">
        <w:rPr>
          <w:rFonts w:cs="David" w:hint="cs"/>
          <w:sz w:val="24"/>
          <w:szCs w:val="24"/>
          <w:rtl/>
        </w:rPr>
        <w:t>,</w:t>
      </w:r>
      <w:r w:rsidR="00717011" w:rsidRPr="00857D44">
        <w:rPr>
          <w:rFonts w:cs="David" w:hint="cs"/>
          <w:sz w:val="24"/>
          <w:szCs w:val="24"/>
          <w:rtl/>
        </w:rPr>
        <w:t xml:space="preserve"> שינוע בין שלושה לחמישה חודשי מאסר בכליאה ממשית. בתוך מתחם העונש ההולם, הדגישה </w:t>
      </w:r>
      <w:r w:rsidR="004D069D">
        <w:rPr>
          <w:rFonts w:cs="David" w:hint="cs"/>
          <w:sz w:val="24"/>
          <w:szCs w:val="24"/>
          <w:rtl/>
        </w:rPr>
        <w:t>התובעת מספר שיקולים: האחד</w:t>
      </w:r>
      <w:r w:rsidR="00717011" w:rsidRPr="00857D44">
        <w:rPr>
          <w:rFonts w:cs="David" w:hint="cs"/>
          <w:sz w:val="24"/>
          <w:szCs w:val="24"/>
          <w:rtl/>
        </w:rPr>
        <w:t>, קביעות מער</w:t>
      </w:r>
      <w:r w:rsidR="004A7F48" w:rsidRPr="00857D44">
        <w:rPr>
          <w:rFonts w:cs="David" w:hint="cs"/>
          <w:sz w:val="24"/>
          <w:szCs w:val="24"/>
          <w:rtl/>
        </w:rPr>
        <w:t>י</w:t>
      </w:r>
      <w:r w:rsidR="00717011" w:rsidRPr="00857D44">
        <w:rPr>
          <w:rFonts w:cs="David" w:hint="cs"/>
          <w:sz w:val="24"/>
          <w:szCs w:val="24"/>
          <w:rtl/>
        </w:rPr>
        <w:t xml:space="preserve">כת המסוכנות בנוגע להעדר אמפטיה והפנמה </w:t>
      </w:r>
      <w:r w:rsidR="00717011" w:rsidRPr="004A7F48">
        <w:rPr>
          <w:rFonts w:cs="David" w:hint="cs"/>
          <w:sz w:val="24"/>
          <w:szCs w:val="24"/>
          <w:rtl/>
        </w:rPr>
        <w:t>של חומרת המעשים</w:t>
      </w:r>
      <w:r w:rsidR="004D069D">
        <w:rPr>
          <w:rFonts w:cs="David" w:hint="cs"/>
          <w:sz w:val="24"/>
          <w:szCs w:val="24"/>
          <w:rtl/>
        </w:rPr>
        <w:t>; השני,</w:t>
      </w:r>
      <w:r w:rsidR="004A7F48" w:rsidRPr="004A7F48">
        <w:rPr>
          <w:rFonts w:cs="David" w:hint="cs"/>
          <w:sz w:val="24"/>
          <w:szCs w:val="24"/>
          <w:rtl/>
        </w:rPr>
        <w:t xml:space="preserve"> התמשכות ההליך שהביא לפגיעה </w:t>
      </w:r>
      <w:r w:rsidR="00717011" w:rsidRPr="004A7F48">
        <w:rPr>
          <w:rFonts w:cs="David" w:hint="cs"/>
          <w:sz w:val="24"/>
          <w:szCs w:val="24"/>
          <w:rtl/>
        </w:rPr>
        <w:t>משמעותית בנפגעות העבר</w:t>
      </w:r>
      <w:r w:rsidR="00857D44" w:rsidRPr="004A7F48">
        <w:rPr>
          <w:rFonts w:cs="David" w:hint="cs"/>
          <w:sz w:val="24"/>
          <w:szCs w:val="24"/>
          <w:rtl/>
        </w:rPr>
        <w:t>ה</w:t>
      </w:r>
      <w:r w:rsidR="004D069D">
        <w:rPr>
          <w:rFonts w:cs="David" w:hint="cs"/>
          <w:sz w:val="24"/>
          <w:szCs w:val="24"/>
          <w:rtl/>
        </w:rPr>
        <w:t>; השלישי,</w:t>
      </w:r>
      <w:r w:rsidR="00857D44" w:rsidRPr="004A7F48">
        <w:rPr>
          <w:rFonts w:cs="David" w:hint="cs"/>
          <w:sz w:val="24"/>
          <w:szCs w:val="24"/>
          <w:rtl/>
        </w:rPr>
        <w:t xml:space="preserve"> העדרו של הליך שיקום</w:t>
      </w:r>
      <w:r w:rsidR="004D069D">
        <w:rPr>
          <w:rFonts w:cs="David" w:hint="cs"/>
          <w:sz w:val="24"/>
          <w:szCs w:val="24"/>
          <w:rtl/>
        </w:rPr>
        <w:t>;</w:t>
      </w:r>
      <w:r w:rsidR="00857D44" w:rsidRPr="004A7F48">
        <w:rPr>
          <w:rFonts w:cs="David" w:hint="cs"/>
          <w:sz w:val="24"/>
          <w:szCs w:val="24"/>
          <w:rtl/>
        </w:rPr>
        <w:t xml:space="preserve"> ו</w:t>
      </w:r>
      <w:r w:rsidR="004D069D">
        <w:rPr>
          <w:rFonts w:cs="David" w:hint="cs"/>
          <w:sz w:val="24"/>
          <w:szCs w:val="24"/>
          <w:rtl/>
        </w:rPr>
        <w:t xml:space="preserve">לבסוף </w:t>
      </w:r>
      <w:r w:rsidR="00857D44" w:rsidRPr="004A7F48">
        <w:rPr>
          <w:rFonts w:cs="David" w:hint="cs"/>
          <w:sz w:val="24"/>
          <w:szCs w:val="24"/>
          <w:rtl/>
        </w:rPr>
        <w:t>את הצורך בהרתעת הרבים.</w:t>
      </w:r>
      <w:r w:rsidR="004A7F48" w:rsidRPr="004A7F48">
        <w:rPr>
          <w:rFonts w:cs="David" w:hint="cs"/>
          <w:sz w:val="24"/>
          <w:szCs w:val="24"/>
          <w:rtl/>
        </w:rPr>
        <w:t xml:space="preserve"> לסיכום ביקשה התביעה הצבאית </w:t>
      </w:r>
      <w:r w:rsidR="004D069D">
        <w:rPr>
          <w:rFonts w:cs="David" w:hint="cs"/>
          <w:sz w:val="24"/>
          <w:szCs w:val="24"/>
          <w:rtl/>
        </w:rPr>
        <w:t>ל</w:t>
      </w:r>
      <w:r w:rsidR="004A7F48" w:rsidRPr="004A7F48">
        <w:rPr>
          <w:rFonts w:cs="David" w:hint="cs"/>
          <w:sz w:val="24"/>
          <w:szCs w:val="24"/>
          <w:rtl/>
        </w:rPr>
        <w:t xml:space="preserve">הטיל על הנאשם עונש מאסר מרתיע, </w:t>
      </w:r>
      <w:r w:rsidR="004D069D">
        <w:rPr>
          <w:rFonts w:cs="David" w:hint="cs"/>
          <w:sz w:val="24"/>
          <w:szCs w:val="24"/>
          <w:rtl/>
        </w:rPr>
        <w:t xml:space="preserve">לצד </w:t>
      </w:r>
      <w:r w:rsidR="004A7F48" w:rsidRPr="004A7F48">
        <w:rPr>
          <w:rFonts w:cs="David" w:hint="cs"/>
          <w:sz w:val="24"/>
          <w:szCs w:val="24"/>
          <w:rtl/>
        </w:rPr>
        <w:t>מאסר מותנה, הורדה בדרגה, פיצוי לנפגעות העברה וחילוט מכשיר הטלפון ששימש לביצוע העברה.</w:t>
      </w:r>
    </w:p>
    <w:p w14:paraId="5A567AA1" w14:textId="77777777" w:rsidR="004A7F48" w:rsidRDefault="004A7F48" w:rsidP="00C003F1">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הסנגור טען, </w:t>
      </w:r>
      <w:r w:rsidR="004D069D">
        <w:rPr>
          <w:rFonts w:cs="David" w:hint="cs"/>
          <w:sz w:val="24"/>
          <w:szCs w:val="24"/>
          <w:rtl/>
        </w:rPr>
        <w:t xml:space="preserve">כי בהתאם לדין הנוהג לפנינו </w:t>
      </w:r>
      <w:r>
        <w:rPr>
          <w:rFonts w:cs="David" w:hint="cs"/>
          <w:sz w:val="24"/>
          <w:szCs w:val="24"/>
          <w:rtl/>
        </w:rPr>
        <w:t xml:space="preserve">שורת מעשים המהווים "אירוע" אחד לעניין קביעת מתחם </w:t>
      </w:r>
      <w:r w:rsidR="004D069D">
        <w:rPr>
          <w:rFonts w:cs="David" w:hint="cs"/>
          <w:sz w:val="24"/>
          <w:szCs w:val="24"/>
          <w:rtl/>
        </w:rPr>
        <w:t>העונש ההולם.</w:t>
      </w:r>
      <w:r>
        <w:rPr>
          <w:rFonts w:cs="David" w:hint="cs"/>
          <w:sz w:val="24"/>
          <w:szCs w:val="24"/>
          <w:rtl/>
        </w:rPr>
        <w:t xml:space="preserve"> </w:t>
      </w:r>
      <w:r w:rsidR="004D069D">
        <w:rPr>
          <w:rFonts w:cs="David" w:hint="cs"/>
          <w:sz w:val="24"/>
          <w:szCs w:val="24"/>
          <w:rtl/>
        </w:rPr>
        <w:t xml:space="preserve">בהקשר זה הודגשה זהות </w:t>
      </w:r>
      <w:r>
        <w:rPr>
          <w:rFonts w:cs="David" w:hint="cs"/>
          <w:sz w:val="24"/>
          <w:szCs w:val="24"/>
          <w:rtl/>
        </w:rPr>
        <w:t>אופי</w:t>
      </w:r>
      <w:r w:rsidR="004D069D">
        <w:rPr>
          <w:rFonts w:cs="David" w:hint="cs"/>
          <w:sz w:val="24"/>
          <w:szCs w:val="24"/>
          <w:rtl/>
        </w:rPr>
        <w:t>ים של</w:t>
      </w:r>
      <w:r>
        <w:rPr>
          <w:rFonts w:cs="David" w:hint="cs"/>
          <w:sz w:val="24"/>
          <w:szCs w:val="24"/>
          <w:rtl/>
        </w:rPr>
        <w:t xml:space="preserve"> המעשים, </w:t>
      </w:r>
      <w:r w:rsidR="004D069D">
        <w:rPr>
          <w:rFonts w:cs="David" w:hint="cs"/>
          <w:sz w:val="24"/>
          <w:szCs w:val="24"/>
          <w:rtl/>
        </w:rPr>
        <w:t>מיקומם ואופן ביצועם וכן סמיכות הזמנים שבה הם בוצעו</w:t>
      </w:r>
      <w:r>
        <w:rPr>
          <w:rFonts w:cs="David" w:hint="cs"/>
          <w:sz w:val="24"/>
          <w:szCs w:val="24"/>
          <w:rtl/>
        </w:rPr>
        <w:t xml:space="preserve">. נטען כי אף אם יש מספר קורבנות אין מניעה לקבוע כי מדובר באירוע אחד. </w:t>
      </w:r>
      <w:r w:rsidR="00D26A61">
        <w:rPr>
          <w:rFonts w:cs="David" w:hint="cs"/>
          <w:sz w:val="24"/>
          <w:szCs w:val="24"/>
          <w:rtl/>
        </w:rPr>
        <w:t>בע</w:t>
      </w:r>
      <w:r>
        <w:rPr>
          <w:rFonts w:cs="David" w:hint="cs"/>
          <w:sz w:val="24"/>
          <w:szCs w:val="24"/>
          <w:rtl/>
        </w:rPr>
        <w:t>מדו על נסיבות ביצוע העברה, ציין הסנגור כי אמנם הורשע הנאשם בשלוש עברות של מעשה מגונה, אך כי אין המדו</w:t>
      </w:r>
      <w:r w:rsidR="00D26A61">
        <w:rPr>
          <w:rFonts w:cs="David" w:hint="cs"/>
          <w:sz w:val="24"/>
          <w:szCs w:val="24"/>
          <w:rtl/>
        </w:rPr>
        <w:t>בר בעברות מין הכרוכות במגע פיזי</w:t>
      </w:r>
      <w:r w:rsidR="004D069D">
        <w:rPr>
          <w:rFonts w:cs="David" w:hint="cs"/>
          <w:sz w:val="24"/>
          <w:szCs w:val="24"/>
          <w:rtl/>
        </w:rPr>
        <w:t>.</w:t>
      </w:r>
      <w:r w:rsidR="00D26A61">
        <w:rPr>
          <w:rFonts w:cs="David" w:hint="cs"/>
          <w:sz w:val="24"/>
          <w:szCs w:val="24"/>
          <w:rtl/>
        </w:rPr>
        <w:t xml:space="preserve"> נטען כי "התביעה הצבאית ומצ"ח שמו את נפגעות העברה במקום יותר פגיע ממה שהן היו אמורות להיות", כאשר עירבו אותן בהליך וביקשו מהן לתאר את אשר עברו (עמ' 10 ש' 38-36) וכי הן לא ראו את הסרטונים. </w:t>
      </w:r>
      <w:r w:rsidR="000E37FE">
        <w:rPr>
          <w:rFonts w:cs="David" w:hint="cs"/>
          <w:sz w:val="24"/>
          <w:szCs w:val="24"/>
          <w:rtl/>
        </w:rPr>
        <w:t>עוד נטען כי רק חלק מהסרטונים שותפו</w:t>
      </w:r>
      <w:r w:rsidR="000E37FE" w:rsidRPr="000E37FE">
        <w:rPr>
          <w:rFonts w:cs="David" w:hint="cs"/>
          <w:sz w:val="24"/>
          <w:szCs w:val="24"/>
          <w:rtl/>
        </w:rPr>
        <w:t xml:space="preserve"> </w:t>
      </w:r>
      <w:r w:rsidR="000E37FE">
        <w:rPr>
          <w:rFonts w:cs="David" w:hint="cs"/>
          <w:sz w:val="24"/>
          <w:szCs w:val="24"/>
          <w:rtl/>
        </w:rPr>
        <w:t>למשך פרק זמן קצר</w:t>
      </w:r>
      <w:r w:rsidR="00C003F1">
        <w:rPr>
          <w:rFonts w:cs="David" w:hint="cs"/>
          <w:sz w:val="24"/>
          <w:szCs w:val="24"/>
          <w:rtl/>
        </w:rPr>
        <w:t>.</w:t>
      </w:r>
      <w:r w:rsidR="000E37FE">
        <w:rPr>
          <w:rFonts w:cs="David" w:hint="cs"/>
          <w:sz w:val="24"/>
          <w:szCs w:val="24"/>
          <w:rtl/>
        </w:rPr>
        <w:t xml:space="preserve"> נטען כי הסרטונים היו קצרים וכי</w:t>
      </w:r>
      <w:r w:rsidR="00D26A61">
        <w:rPr>
          <w:rFonts w:cs="David" w:hint="cs"/>
          <w:sz w:val="24"/>
          <w:szCs w:val="24"/>
          <w:rtl/>
        </w:rPr>
        <w:t xml:space="preserve"> נמחקו</w:t>
      </w:r>
      <w:r w:rsidR="000E37FE">
        <w:rPr>
          <w:rFonts w:cs="David" w:hint="cs"/>
          <w:sz w:val="24"/>
          <w:szCs w:val="24"/>
          <w:rtl/>
        </w:rPr>
        <w:t>. בתוך מתחם העונש ההולם, עתר</w:t>
      </w:r>
      <w:r w:rsidR="00D26A61">
        <w:rPr>
          <w:rFonts w:cs="David" w:hint="cs"/>
          <w:sz w:val="24"/>
          <w:szCs w:val="24"/>
          <w:rtl/>
        </w:rPr>
        <w:t xml:space="preserve"> הסנגור </w:t>
      </w:r>
      <w:r w:rsidR="000E37FE">
        <w:rPr>
          <w:rFonts w:cs="David" w:hint="cs"/>
          <w:sz w:val="24"/>
          <w:szCs w:val="24"/>
          <w:rtl/>
        </w:rPr>
        <w:t xml:space="preserve">שלא לזקוף לחובת הנאשם את ניהול </w:t>
      </w:r>
      <w:r w:rsidR="00D26A61">
        <w:rPr>
          <w:rFonts w:cs="David" w:hint="cs"/>
          <w:sz w:val="24"/>
          <w:szCs w:val="24"/>
          <w:rtl/>
        </w:rPr>
        <w:t>מלוא ההליך,</w:t>
      </w:r>
      <w:r w:rsidR="000E37FE">
        <w:rPr>
          <w:rFonts w:cs="David" w:hint="cs"/>
          <w:sz w:val="24"/>
          <w:szCs w:val="24"/>
          <w:rtl/>
        </w:rPr>
        <w:t xml:space="preserve"> שכן</w:t>
      </w:r>
      <w:r w:rsidR="00D26A61">
        <w:rPr>
          <w:rFonts w:cs="David" w:hint="cs"/>
          <w:sz w:val="24"/>
          <w:szCs w:val="24"/>
          <w:rtl/>
        </w:rPr>
        <w:t xml:space="preserve"> לא היה הוא הליך סרק, אלא הליך שנוהל לצורך ליבון סוגיות משפטיות ממשיות</w:t>
      </w:r>
      <w:r w:rsidR="000E37FE">
        <w:rPr>
          <w:rFonts w:cs="David" w:hint="cs"/>
          <w:sz w:val="24"/>
          <w:szCs w:val="24"/>
          <w:rtl/>
        </w:rPr>
        <w:t>.</w:t>
      </w:r>
      <w:r w:rsidR="00D26A61">
        <w:rPr>
          <w:rFonts w:cs="David" w:hint="cs"/>
          <w:sz w:val="24"/>
          <w:szCs w:val="24"/>
          <w:rtl/>
        </w:rPr>
        <w:t xml:space="preserve"> </w:t>
      </w:r>
      <w:r w:rsidR="000E37FE">
        <w:rPr>
          <w:rFonts w:cs="David" w:hint="cs"/>
          <w:sz w:val="24"/>
          <w:szCs w:val="24"/>
          <w:rtl/>
        </w:rPr>
        <w:t>בהקשר זה נטען כי</w:t>
      </w:r>
      <w:r w:rsidR="00D26A61">
        <w:rPr>
          <w:rFonts w:cs="David" w:hint="cs"/>
          <w:sz w:val="24"/>
          <w:szCs w:val="24"/>
          <w:rtl/>
        </w:rPr>
        <w:t xml:space="preserve"> </w:t>
      </w:r>
      <w:r w:rsidR="000E37FE">
        <w:rPr>
          <w:rFonts w:cs="David" w:hint="cs"/>
          <w:sz w:val="24"/>
          <w:szCs w:val="24"/>
          <w:rtl/>
        </w:rPr>
        <w:t>נחסכה</w:t>
      </w:r>
      <w:r w:rsidR="00D26A61">
        <w:rPr>
          <w:rFonts w:cs="David" w:hint="cs"/>
          <w:sz w:val="24"/>
          <w:szCs w:val="24"/>
          <w:rtl/>
        </w:rPr>
        <w:t xml:space="preserve"> חקירתן ועדותן של נפגעות העברה בבית הדין. </w:t>
      </w:r>
      <w:r w:rsidR="000E37FE">
        <w:rPr>
          <w:rFonts w:cs="David" w:hint="cs"/>
          <w:sz w:val="24"/>
          <w:szCs w:val="24"/>
          <w:rtl/>
        </w:rPr>
        <w:t xml:space="preserve">בנוסף, </w:t>
      </w:r>
      <w:r w:rsidR="00D26A61">
        <w:rPr>
          <w:rFonts w:cs="David" w:hint="cs"/>
          <w:sz w:val="24"/>
          <w:szCs w:val="24"/>
          <w:rtl/>
        </w:rPr>
        <w:t>הודגשה עובדת שחרורו של הנאשם זה מכבר מהשירות הצבאי ביולי 2018 ו</w:t>
      </w:r>
      <w:r w:rsidR="000E37FE">
        <w:rPr>
          <w:rFonts w:cs="David" w:hint="cs"/>
          <w:sz w:val="24"/>
          <w:szCs w:val="24"/>
          <w:rtl/>
        </w:rPr>
        <w:t xml:space="preserve">צוינו </w:t>
      </w:r>
      <w:r w:rsidR="00D26A61">
        <w:rPr>
          <w:rFonts w:cs="David" w:hint="cs"/>
          <w:sz w:val="24"/>
          <w:szCs w:val="24"/>
          <w:rtl/>
        </w:rPr>
        <w:t xml:space="preserve">נישואיו הצפויים בספטמבר הקרוב. </w:t>
      </w:r>
      <w:r w:rsidR="000E37FE">
        <w:rPr>
          <w:rFonts w:cs="David" w:hint="cs"/>
          <w:sz w:val="24"/>
          <w:szCs w:val="24"/>
          <w:rtl/>
        </w:rPr>
        <w:t xml:space="preserve">הסנגור </w:t>
      </w:r>
      <w:r w:rsidR="00C003F1">
        <w:rPr>
          <w:rFonts w:cs="David" w:hint="cs"/>
          <w:sz w:val="24"/>
          <w:szCs w:val="24"/>
          <w:rtl/>
        </w:rPr>
        <w:t xml:space="preserve">טען כי </w:t>
      </w:r>
      <w:r w:rsidR="00D26A61">
        <w:rPr>
          <w:rFonts w:cs="David" w:hint="cs"/>
          <w:sz w:val="24"/>
          <w:szCs w:val="24"/>
          <w:rtl/>
        </w:rPr>
        <w:t>אין דינו של הנאשם כדינו של מי ש</w:t>
      </w:r>
      <w:r w:rsidR="000E37FE">
        <w:rPr>
          <w:rFonts w:cs="David" w:hint="cs"/>
          <w:sz w:val="24"/>
          <w:szCs w:val="24"/>
          <w:rtl/>
        </w:rPr>
        <w:t>ב</w:t>
      </w:r>
      <w:r w:rsidR="00D26A61">
        <w:rPr>
          <w:rFonts w:cs="David" w:hint="cs"/>
          <w:sz w:val="24"/>
          <w:szCs w:val="24"/>
          <w:rtl/>
        </w:rPr>
        <w:t>י</w:t>
      </w:r>
      <w:r w:rsidR="000E37FE">
        <w:rPr>
          <w:rFonts w:cs="David" w:hint="cs"/>
          <w:sz w:val="24"/>
          <w:szCs w:val="24"/>
          <w:rtl/>
        </w:rPr>
        <w:t>צע עברות שכאל</w:t>
      </w:r>
      <w:r w:rsidR="00D26A61">
        <w:rPr>
          <w:rFonts w:cs="David" w:hint="cs"/>
          <w:sz w:val="24"/>
          <w:szCs w:val="24"/>
          <w:rtl/>
        </w:rPr>
        <w:t xml:space="preserve">ה ושב עתה ליחידתו. </w:t>
      </w:r>
      <w:r w:rsidR="000E37FE">
        <w:rPr>
          <w:rFonts w:cs="David" w:hint="cs"/>
          <w:sz w:val="24"/>
          <w:szCs w:val="24"/>
          <w:rtl/>
        </w:rPr>
        <w:t xml:space="preserve">טיעון נוסף של ההגנה נגע להשלכותיה של טענת האכיפה </w:t>
      </w:r>
      <w:r w:rsidR="000E37FE">
        <w:rPr>
          <w:rFonts w:cs="David" w:hint="cs"/>
          <w:sz w:val="24"/>
          <w:szCs w:val="24"/>
          <w:rtl/>
        </w:rPr>
        <w:lastRenderedPageBreak/>
        <w:t xml:space="preserve">הבררנית. נטען כי אף שטענה זו </w:t>
      </w:r>
      <w:r w:rsidR="00D26A61">
        <w:rPr>
          <w:rFonts w:cs="David" w:hint="cs"/>
          <w:sz w:val="24"/>
          <w:szCs w:val="24"/>
          <w:rtl/>
        </w:rPr>
        <w:t xml:space="preserve">נדחתה בהכרעת הדין, ראוי כי יינתן לה משקל במישור הענישה. העדר מדיניות סדורה של התביעה הצבאית בהגישה כתבי אישום בגין מעשה מגונה על מעשי צילום כאלה, ראוי כי יינתן לה ביטוי בעת קביעת העונש. בהפנותו לתקדימי ענישה, עתר הסנגור לקבוע מתחם ענישה הנע בין עונש מאסר על תנאי לארבעה חודשי מאסר בדרך של עבודה צבאית. </w:t>
      </w:r>
    </w:p>
    <w:p w14:paraId="42AB45F5" w14:textId="77777777" w:rsidR="002E444D" w:rsidRDefault="002E444D" w:rsidP="002E444D">
      <w:pPr>
        <w:autoSpaceDE w:val="0"/>
        <w:autoSpaceDN w:val="0"/>
        <w:spacing w:after="0" w:line="360" w:lineRule="auto"/>
        <w:ind w:left="360"/>
        <w:jc w:val="both"/>
        <w:rPr>
          <w:rFonts w:cs="David"/>
          <w:sz w:val="24"/>
          <w:szCs w:val="24"/>
        </w:rPr>
      </w:pPr>
    </w:p>
    <w:p w14:paraId="3FA7AF2E" w14:textId="77777777" w:rsidR="00D26A61" w:rsidRDefault="000E37FE" w:rsidP="000E37FE">
      <w:pPr>
        <w:autoSpaceDE w:val="0"/>
        <w:autoSpaceDN w:val="0"/>
        <w:spacing w:after="0" w:line="360" w:lineRule="auto"/>
        <w:jc w:val="both"/>
        <w:rPr>
          <w:rFonts w:cs="David"/>
          <w:b/>
          <w:bCs/>
          <w:sz w:val="24"/>
          <w:szCs w:val="24"/>
          <w:u w:val="single"/>
          <w:rtl/>
        </w:rPr>
      </w:pPr>
      <w:r w:rsidRPr="002E444D">
        <w:rPr>
          <w:rFonts w:cs="David" w:hint="cs"/>
          <w:b/>
          <w:bCs/>
          <w:sz w:val="24"/>
          <w:szCs w:val="24"/>
          <w:u w:val="single"/>
          <w:rtl/>
        </w:rPr>
        <w:t>דיון והכרעה</w:t>
      </w:r>
    </w:p>
    <w:p w14:paraId="1EF8561F" w14:textId="77777777" w:rsidR="002E444D" w:rsidRDefault="0043405B" w:rsidP="000636C8">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התחנה הראשונה </w:t>
      </w:r>
      <w:r w:rsidR="002E444D">
        <w:rPr>
          <w:rFonts w:cs="David" w:hint="cs"/>
          <w:sz w:val="24"/>
          <w:szCs w:val="24"/>
          <w:rtl/>
        </w:rPr>
        <w:t xml:space="preserve">בהליך גזירת </w:t>
      </w:r>
      <w:r w:rsidR="00EC584F">
        <w:rPr>
          <w:rFonts w:cs="David" w:hint="cs"/>
          <w:sz w:val="24"/>
          <w:szCs w:val="24"/>
          <w:rtl/>
        </w:rPr>
        <w:t>העונש</w:t>
      </w:r>
      <w:r w:rsidR="002E444D">
        <w:rPr>
          <w:rFonts w:cs="David" w:hint="cs"/>
          <w:sz w:val="24"/>
          <w:szCs w:val="24"/>
          <w:rtl/>
        </w:rPr>
        <w:t xml:space="preserve"> מחייב</w:t>
      </w:r>
      <w:r>
        <w:rPr>
          <w:rFonts w:cs="David" w:hint="cs"/>
          <w:sz w:val="24"/>
          <w:szCs w:val="24"/>
          <w:rtl/>
        </w:rPr>
        <w:t xml:space="preserve">ת </w:t>
      </w:r>
      <w:r w:rsidR="002E444D" w:rsidRPr="002A2451">
        <w:rPr>
          <w:rFonts w:cs="David" w:hint="cs"/>
          <w:sz w:val="24"/>
          <w:szCs w:val="24"/>
          <w:rtl/>
        </w:rPr>
        <w:t xml:space="preserve">הכרעה </w:t>
      </w:r>
      <w:r w:rsidR="00EC584F">
        <w:rPr>
          <w:rFonts w:cs="David" w:hint="cs"/>
          <w:sz w:val="24"/>
          <w:szCs w:val="24"/>
          <w:rtl/>
        </w:rPr>
        <w:t>בשאלה האם מהוות העברות</w:t>
      </w:r>
      <w:r w:rsidR="002E444D" w:rsidRPr="002A2451">
        <w:rPr>
          <w:rFonts w:cs="David" w:hint="cs"/>
          <w:sz w:val="24"/>
          <w:szCs w:val="24"/>
          <w:rtl/>
        </w:rPr>
        <w:t xml:space="preserve"> שבהן הורשע הנאשם אירוע אחד לצורך גזירת הדין</w:t>
      </w:r>
      <w:r w:rsidR="00EC584F">
        <w:rPr>
          <w:rFonts w:cs="David" w:hint="cs"/>
          <w:sz w:val="24"/>
          <w:szCs w:val="24"/>
          <w:rtl/>
        </w:rPr>
        <w:t xml:space="preserve"> -</w:t>
      </w:r>
      <w:r w:rsidR="002E444D" w:rsidRPr="002A2451">
        <w:rPr>
          <w:rFonts w:cs="David" w:hint="cs"/>
          <w:sz w:val="24"/>
          <w:szCs w:val="24"/>
          <w:rtl/>
        </w:rPr>
        <w:t xml:space="preserve"> </w:t>
      </w:r>
      <w:r w:rsidR="00EC584F">
        <w:rPr>
          <w:rFonts w:cs="David" w:hint="cs"/>
          <w:sz w:val="24"/>
          <w:szCs w:val="24"/>
          <w:rtl/>
        </w:rPr>
        <w:t xml:space="preserve">כעמדת ההגנה, </w:t>
      </w:r>
      <w:r w:rsidR="002E444D" w:rsidRPr="002A2451">
        <w:rPr>
          <w:rFonts w:cs="David" w:hint="cs"/>
          <w:sz w:val="24"/>
          <w:szCs w:val="24"/>
          <w:rtl/>
        </w:rPr>
        <w:t xml:space="preserve">או מספר אירועים </w:t>
      </w:r>
      <w:r w:rsidR="00EC584F">
        <w:rPr>
          <w:rFonts w:cs="David" w:hint="cs"/>
          <w:sz w:val="24"/>
          <w:szCs w:val="24"/>
          <w:rtl/>
        </w:rPr>
        <w:t xml:space="preserve">המחייבים קביעת מתחמי ענישה שונים </w:t>
      </w:r>
      <w:r w:rsidR="002E444D" w:rsidRPr="002A2451">
        <w:rPr>
          <w:rFonts w:cs="David" w:hint="cs"/>
          <w:sz w:val="24"/>
          <w:szCs w:val="24"/>
          <w:rtl/>
        </w:rPr>
        <w:t>ההולמ</w:t>
      </w:r>
      <w:r w:rsidR="00EC584F">
        <w:rPr>
          <w:rFonts w:cs="David" w:hint="cs"/>
          <w:sz w:val="24"/>
          <w:szCs w:val="24"/>
          <w:rtl/>
        </w:rPr>
        <w:t>ים</w:t>
      </w:r>
      <w:r w:rsidR="002E444D" w:rsidRPr="002A2451">
        <w:rPr>
          <w:rFonts w:cs="David" w:hint="cs"/>
          <w:sz w:val="24"/>
          <w:szCs w:val="24"/>
          <w:rtl/>
        </w:rPr>
        <w:t xml:space="preserve"> את נסיבותיו של כל אירוע עברייני</w:t>
      </w:r>
      <w:r w:rsidR="00B07801">
        <w:rPr>
          <w:rFonts w:cs="David" w:hint="cs"/>
          <w:sz w:val="24"/>
          <w:szCs w:val="24"/>
          <w:rtl/>
        </w:rPr>
        <w:t xml:space="preserve"> -</w:t>
      </w:r>
      <w:r w:rsidR="00EC584F">
        <w:rPr>
          <w:rFonts w:cs="David" w:hint="cs"/>
          <w:sz w:val="24"/>
          <w:szCs w:val="24"/>
          <w:rtl/>
        </w:rPr>
        <w:t xml:space="preserve"> כהשקפת התביעה. בהמשך, נפנה </w:t>
      </w:r>
      <w:r w:rsidR="00B07801">
        <w:rPr>
          <w:rFonts w:cs="David" w:hint="cs"/>
          <w:sz w:val="24"/>
          <w:szCs w:val="24"/>
          <w:rtl/>
        </w:rPr>
        <w:t>לסרטט</w:t>
      </w:r>
      <w:r w:rsidR="00EC584F">
        <w:rPr>
          <w:rFonts w:cs="David" w:hint="cs"/>
          <w:sz w:val="24"/>
          <w:szCs w:val="24"/>
          <w:rtl/>
        </w:rPr>
        <w:t xml:space="preserve"> את</w:t>
      </w:r>
      <w:r w:rsidR="002E444D" w:rsidRPr="002A2451">
        <w:rPr>
          <w:rFonts w:cs="David" w:hint="cs"/>
          <w:sz w:val="24"/>
          <w:szCs w:val="24"/>
          <w:rtl/>
        </w:rPr>
        <w:t xml:space="preserve"> מתחם </w:t>
      </w:r>
      <w:r w:rsidR="00EC584F">
        <w:rPr>
          <w:rFonts w:cs="David" w:hint="cs"/>
          <w:sz w:val="24"/>
          <w:szCs w:val="24"/>
          <w:rtl/>
        </w:rPr>
        <w:t>ה</w:t>
      </w:r>
      <w:r w:rsidR="002E444D" w:rsidRPr="002A2451">
        <w:rPr>
          <w:rFonts w:cs="David" w:hint="cs"/>
          <w:sz w:val="24"/>
          <w:szCs w:val="24"/>
          <w:rtl/>
        </w:rPr>
        <w:t xml:space="preserve">עונש </w:t>
      </w:r>
      <w:r w:rsidR="00EC584F">
        <w:rPr>
          <w:rFonts w:cs="David" w:hint="cs"/>
          <w:sz w:val="24"/>
          <w:szCs w:val="24"/>
          <w:rtl/>
        </w:rPr>
        <w:t>ה</w:t>
      </w:r>
      <w:r w:rsidR="002E444D" w:rsidRPr="002A2451">
        <w:rPr>
          <w:rFonts w:cs="David" w:hint="cs"/>
          <w:sz w:val="24"/>
          <w:szCs w:val="24"/>
          <w:rtl/>
        </w:rPr>
        <w:t xml:space="preserve">הולם; </w:t>
      </w:r>
      <w:r w:rsidR="00EC584F">
        <w:rPr>
          <w:rFonts w:cs="David" w:hint="cs"/>
          <w:sz w:val="24"/>
          <w:szCs w:val="24"/>
          <w:rtl/>
        </w:rPr>
        <w:t>ולבסוף</w:t>
      </w:r>
      <w:r w:rsidR="002E444D" w:rsidRPr="002A2451">
        <w:rPr>
          <w:rFonts w:cs="David" w:hint="cs"/>
          <w:sz w:val="24"/>
          <w:szCs w:val="24"/>
          <w:rtl/>
        </w:rPr>
        <w:t xml:space="preserve">, </w:t>
      </w:r>
      <w:r w:rsidR="00EC584F">
        <w:rPr>
          <w:rFonts w:cs="David" w:hint="cs"/>
          <w:sz w:val="24"/>
          <w:szCs w:val="24"/>
          <w:rtl/>
        </w:rPr>
        <w:t>נמקד קביעותנו</w:t>
      </w:r>
      <w:r w:rsidR="002E444D" w:rsidRPr="002A2451">
        <w:rPr>
          <w:rFonts w:cs="David" w:hint="cs"/>
          <w:sz w:val="24"/>
          <w:szCs w:val="24"/>
          <w:rtl/>
        </w:rPr>
        <w:t xml:space="preserve"> </w:t>
      </w:r>
      <w:r w:rsidR="00EC584F">
        <w:rPr>
          <w:rFonts w:cs="David" w:hint="cs"/>
          <w:sz w:val="24"/>
          <w:szCs w:val="24"/>
          <w:rtl/>
        </w:rPr>
        <w:t>ב</w:t>
      </w:r>
      <w:r>
        <w:rPr>
          <w:rFonts w:cs="David" w:hint="cs"/>
          <w:sz w:val="24"/>
          <w:szCs w:val="24"/>
          <w:rtl/>
        </w:rPr>
        <w:t xml:space="preserve">תחנה האחרונה היא </w:t>
      </w:r>
      <w:r w:rsidR="000636C8">
        <w:rPr>
          <w:rFonts w:cs="David" w:hint="cs"/>
          <w:sz w:val="24"/>
          <w:szCs w:val="24"/>
          <w:rtl/>
        </w:rPr>
        <w:t>תמהיל הענישה הכולל הראוי לנאשם</w:t>
      </w:r>
      <w:r>
        <w:rPr>
          <w:rFonts w:cs="David" w:hint="cs"/>
          <w:sz w:val="24"/>
          <w:szCs w:val="24"/>
          <w:rtl/>
        </w:rPr>
        <w:t>.</w:t>
      </w:r>
    </w:p>
    <w:p w14:paraId="380CB802" w14:textId="77777777" w:rsidR="00EC584F" w:rsidRPr="002A2451" w:rsidRDefault="00EC584F" w:rsidP="00EC584F">
      <w:pPr>
        <w:autoSpaceDE w:val="0"/>
        <w:autoSpaceDN w:val="0"/>
        <w:spacing w:after="0" w:line="360" w:lineRule="auto"/>
        <w:ind w:left="360"/>
        <w:jc w:val="both"/>
        <w:rPr>
          <w:rFonts w:cs="David"/>
          <w:sz w:val="24"/>
          <w:szCs w:val="24"/>
          <w:rtl/>
        </w:rPr>
      </w:pPr>
    </w:p>
    <w:p w14:paraId="5AFBE8E9" w14:textId="77777777" w:rsidR="000E37FE" w:rsidRDefault="000E37FE" w:rsidP="000E37FE">
      <w:pPr>
        <w:autoSpaceDE w:val="0"/>
        <w:autoSpaceDN w:val="0"/>
        <w:spacing w:after="0" w:line="360" w:lineRule="auto"/>
        <w:jc w:val="both"/>
        <w:rPr>
          <w:rFonts w:cs="David"/>
          <w:b/>
          <w:bCs/>
          <w:sz w:val="24"/>
          <w:szCs w:val="24"/>
          <w:rtl/>
        </w:rPr>
      </w:pPr>
      <w:r>
        <w:rPr>
          <w:rFonts w:cs="David" w:hint="cs"/>
          <w:b/>
          <w:bCs/>
          <w:sz w:val="24"/>
          <w:szCs w:val="24"/>
          <w:rtl/>
        </w:rPr>
        <w:t>אירוע או ריבוי אירועים</w:t>
      </w:r>
    </w:p>
    <w:p w14:paraId="0D2317BA" w14:textId="77777777" w:rsidR="003A49C8" w:rsidRDefault="003A49C8" w:rsidP="00F72B6D">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הנאשם הורשע</w:t>
      </w:r>
      <w:r w:rsidR="00010038">
        <w:rPr>
          <w:rFonts w:cs="David" w:hint="cs"/>
          <w:sz w:val="24"/>
          <w:szCs w:val="24"/>
          <w:rtl/>
        </w:rPr>
        <w:t xml:space="preserve"> בגין כל אחד ממעשי הצילום בעברה של מעשה מגונה ובעברה של פגיעה בפרטיות.</w:t>
      </w:r>
      <w:r>
        <w:rPr>
          <w:rFonts w:cs="David" w:hint="cs"/>
          <w:sz w:val="24"/>
          <w:szCs w:val="24"/>
          <w:rtl/>
        </w:rPr>
        <w:t xml:space="preserve"> </w:t>
      </w:r>
      <w:r w:rsidR="00010038">
        <w:rPr>
          <w:rFonts w:cs="David" w:hint="cs"/>
          <w:sz w:val="24"/>
          <w:szCs w:val="24"/>
          <w:rtl/>
        </w:rPr>
        <w:t xml:space="preserve">שלושת מעשי הצילום הביאו, כאמור, להרשעה </w:t>
      </w:r>
      <w:r>
        <w:rPr>
          <w:rFonts w:cs="David" w:hint="cs"/>
          <w:sz w:val="24"/>
          <w:szCs w:val="24"/>
          <w:rtl/>
        </w:rPr>
        <w:t xml:space="preserve">בשלוש עברות של מעשה מגונה </w:t>
      </w:r>
      <w:r w:rsidR="00F72B6D">
        <w:rPr>
          <w:rFonts w:cs="David" w:hint="cs"/>
          <w:sz w:val="24"/>
          <w:szCs w:val="24"/>
          <w:rtl/>
        </w:rPr>
        <w:t>ו</w:t>
      </w:r>
      <w:r>
        <w:rPr>
          <w:rFonts w:cs="David" w:hint="cs"/>
          <w:sz w:val="24"/>
          <w:szCs w:val="24"/>
          <w:rtl/>
        </w:rPr>
        <w:t>בשלוש עברות של פגיעה בפרטיות</w:t>
      </w:r>
      <w:r w:rsidR="00F72B6D">
        <w:rPr>
          <w:rFonts w:cs="David" w:hint="cs"/>
          <w:sz w:val="24"/>
          <w:szCs w:val="24"/>
          <w:rtl/>
        </w:rPr>
        <w:t>.</w:t>
      </w:r>
      <w:r w:rsidR="00010038">
        <w:rPr>
          <w:rFonts w:cs="David" w:hint="cs"/>
          <w:sz w:val="24"/>
          <w:szCs w:val="24"/>
          <w:rtl/>
        </w:rPr>
        <w:t xml:space="preserve"> בגין הצגת חלק מהסרטונים שאותם צילם לשני חבריו ליחידה הורשע </w:t>
      </w:r>
      <w:r>
        <w:rPr>
          <w:rFonts w:cs="David" w:hint="cs"/>
          <w:sz w:val="24"/>
          <w:szCs w:val="24"/>
          <w:rtl/>
        </w:rPr>
        <w:t>בעברה של הטרדה מינית</w:t>
      </w:r>
      <w:r w:rsidR="00010038">
        <w:rPr>
          <w:rFonts w:cs="David" w:hint="cs"/>
          <w:sz w:val="24"/>
          <w:szCs w:val="24"/>
          <w:rtl/>
        </w:rPr>
        <w:t xml:space="preserve"> והתנכלות</w:t>
      </w:r>
      <w:r>
        <w:rPr>
          <w:rFonts w:cs="David" w:hint="cs"/>
          <w:sz w:val="24"/>
          <w:szCs w:val="24"/>
          <w:rtl/>
        </w:rPr>
        <w:t>. בסעיף 40יג לחוק העונשין נקבע כי במקרה של ריבוי עבר</w:t>
      </w:r>
      <w:r w:rsidR="00F72B6D">
        <w:rPr>
          <w:rFonts w:cs="David" w:hint="cs"/>
          <w:sz w:val="24"/>
          <w:szCs w:val="24"/>
          <w:rtl/>
        </w:rPr>
        <w:t xml:space="preserve">ות המהוות אירוע אחד ייקבע מתחם </w:t>
      </w:r>
      <w:r>
        <w:rPr>
          <w:rFonts w:cs="David" w:hint="cs"/>
          <w:sz w:val="24"/>
          <w:szCs w:val="24"/>
          <w:rtl/>
        </w:rPr>
        <w:t xml:space="preserve">עונש הולם לאירוע כולו וייגזר עונש אחד כולל לכל העברות בשל אותו אירוע. מספר עברות המהוות כמה אירועים, יחייבו קביעת מתחם עונש הולם לכל אירוע בנפרד, ובהמשך ניתן לקבוע עונש נפרד לכל אירוע או עונש אחד כולל לכלל האירועים. </w:t>
      </w:r>
    </w:p>
    <w:p w14:paraId="1651EF53" w14:textId="77777777" w:rsidR="00B23546" w:rsidRDefault="003A49C8" w:rsidP="00DE7646">
      <w:pPr>
        <w:numPr>
          <w:ilvl w:val="0"/>
          <w:numId w:val="9"/>
        </w:numPr>
        <w:tabs>
          <w:tab w:val="num" w:pos="386"/>
        </w:tabs>
        <w:autoSpaceDE w:val="0"/>
        <w:autoSpaceDN w:val="0"/>
        <w:spacing w:after="0" w:line="360" w:lineRule="auto"/>
        <w:ind w:left="360"/>
        <w:jc w:val="both"/>
        <w:rPr>
          <w:rFonts w:cs="David"/>
          <w:sz w:val="24"/>
          <w:szCs w:val="24"/>
        </w:rPr>
      </w:pPr>
      <w:r w:rsidRPr="001B2997">
        <w:rPr>
          <w:rFonts w:cs="David" w:hint="cs"/>
          <w:sz w:val="24"/>
          <w:szCs w:val="24"/>
          <w:rtl/>
        </w:rPr>
        <w:t>לב טיעון התביעה הצבאית כי לפנינו מספר אירועים</w:t>
      </w:r>
      <w:r w:rsidR="00DB0EE5" w:rsidRPr="001B2997">
        <w:rPr>
          <w:rFonts w:cs="David" w:hint="cs"/>
          <w:sz w:val="24"/>
          <w:szCs w:val="24"/>
          <w:rtl/>
        </w:rPr>
        <w:t xml:space="preserve"> המחייבים קביעת מתחמי ענישה שונים, נשען על </w:t>
      </w:r>
      <w:r w:rsidR="00A80B31" w:rsidRPr="001B2997">
        <w:rPr>
          <w:rFonts w:cs="David" w:hint="cs"/>
          <w:sz w:val="24"/>
          <w:szCs w:val="24"/>
          <w:rtl/>
        </w:rPr>
        <w:t xml:space="preserve">שורשי </w:t>
      </w:r>
      <w:r w:rsidR="00DB0EE5" w:rsidRPr="001B2997">
        <w:rPr>
          <w:rFonts w:cs="David" w:hint="cs"/>
          <w:sz w:val="24"/>
          <w:szCs w:val="24"/>
          <w:rtl/>
        </w:rPr>
        <w:t xml:space="preserve">המבחן </w:t>
      </w:r>
      <w:r w:rsidR="00DB0EE5" w:rsidRPr="001B2997">
        <w:rPr>
          <w:rFonts w:cs="David" w:hint="cs"/>
          <w:b/>
          <w:bCs/>
          <w:sz w:val="24"/>
          <w:szCs w:val="24"/>
          <w:rtl/>
        </w:rPr>
        <w:t xml:space="preserve">המהותי-מוסרי </w:t>
      </w:r>
      <w:r w:rsidR="00DB0EE5" w:rsidRPr="001B2997">
        <w:rPr>
          <w:rFonts w:cs="David" w:hint="cs"/>
          <w:sz w:val="24"/>
          <w:szCs w:val="24"/>
          <w:rtl/>
        </w:rPr>
        <w:t xml:space="preserve">(ראו למשל </w:t>
      </w:r>
      <w:proofErr w:type="spellStart"/>
      <w:r w:rsidR="00DB0EE5" w:rsidRPr="001B2997">
        <w:rPr>
          <w:rFonts w:cs="David" w:hint="cs"/>
          <w:sz w:val="24"/>
          <w:szCs w:val="24"/>
          <w:rtl/>
        </w:rPr>
        <w:t>דנ"פ</w:t>
      </w:r>
      <w:proofErr w:type="spellEnd"/>
      <w:r w:rsidR="00DB0EE5" w:rsidRPr="001B2997">
        <w:rPr>
          <w:rFonts w:cs="David" w:hint="cs"/>
          <w:sz w:val="24"/>
          <w:szCs w:val="24"/>
          <w:rtl/>
        </w:rPr>
        <w:t xml:space="preserve"> 4603/97 </w:t>
      </w:r>
      <w:r w:rsidR="00DB0EE5" w:rsidRPr="001B2997">
        <w:rPr>
          <w:rFonts w:cs="David" w:hint="cs"/>
          <w:b/>
          <w:bCs/>
          <w:sz w:val="24"/>
          <w:szCs w:val="24"/>
          <w:rtl/>
        </w:rPr>
        <w:t>משולם נ' מדינת ישראל</w:t>
      </w:r>
      <w:r w:rsidR="00DB0EE5" w:rsidRPr="001B2997">
        <w:rPr>
          <w:rFonts w:cs="David" w:hint="cs"/>
          <w:sz w:val="24"/>
          <w:szCs w:val="24"/>
          <w:rtl/>
        </w:rPr>
        <w:t xml:space="preserve">, פ"ד נא(3) 160 (1998)), שלפיו הפרדה בין אירועים תעשה על פי עוצמת הפגיעה באינטרס </w:t>
      </w:r>
      <w:r w:rsidR="00A80B31" w:rsidRPr="001B2997">
        <w:rPr>
          <w:rFonts w:cs="David" w:hint="cs"/>
          <w:sz w:val="24"/>
          <w:szCs w:val="24"/>
          <w:rtl/>
        </w:rPr>
        <w:t>ה</w:t>
      </w:r>
      <w:r w:rsidR="00DB0EE5" w:rsidRPr="001B2997">
        <w:rPr>
          <w:rFonts w:cs="David" w:hint="cs"/>
          <w:sz w:val="24"/>
          <w:szCs w:val="24"/>
          <w:rtl/>
        </w:rPr>
        <w:t xml:space="preserve">חברתי </w:t>
      </w:r>
      <w:r w:rsidR="00A80B31" w:rsidRPr="001B2997">
        <w:rPr>
          <w:rFonts w:cs="David" w:hint="cs"/>
          <w:sz w:val="24"/>
          <w:szCs w:val="24"/>
          <w:rtl/>
        </w:rPr>
        <w:t>ה</w:t>
      </w:r>
      <w:r w:rsidR="00DB0EE5" w:rsidRPr="001B2997">
        <w:rPr>
          <w:rFonts w:cs="David" w:hint="cs"/>
          <w:sz w:val="24"/>
          <w:szCs w:val="24"/>
          <w:rtl/>
        </w:rPr>
        <w:t xml:space="preserve">מוגן </w:t>
      </w:r>
      <w:r w:rsidR="00A80B31" w:rsidRPr="001B2997">
        <w:rPr>
          <w:rFonts w:cs="David" w:hint="cs"/>
          <w:sz w:val="24"/>
          <w:szCs w:val="24"/>
          <w:rtl/>
        </w:rPr>
        <w:t>בכל אחת מהעברות תוך מיקוד ב</w:t>
      </w:r>
      <w:r w:rsidR="00DB0EE5" w:rsidRPr="001B2997">
        <w:rPr>
          <w:rFonts w:cs="David" w:hint="cs"/>
          <w:sz w:val="24"/>
          <w:szCs w:val="24"/>
          <w:rtl/>
        </w:rPr>
        <w:t>נפגע העברה. ברוח זו טענה התובעת המלומדת כי כל אחת מן המצולמות חוותה פגיעה ישירה ואינדיווידואלית ושיקול זה מהווה טעם מכריע להכרה בקיומם של חמישה מתחמי ענישה שונים כמספרן של חמש החיילות אשר צולמו</w:t>
      </w:r>
      <w:r w:rsidR="00A80B31" w:rsidRPr="001B2997">
        <w:rPr>
          <w:rFonts w:cs="David" w:hint="cs"/>
          <w:sz w:val="24"/>
          <w:szCs w:val="24"/>
          <w:rtl/>
        </w:rPr>
        <w:t xml:space="preserve"> בלא ידיעתן</w:t>
      </w:r>
      <w:r w:rsidR="00DB0EE5" w:rsidRPr="001B2997">
        <w:rPr>
          <w:rFonts w:cs="David" w:hint="cs"/>
          <w:sz w:val="24"/>
          <w:szCs w:val="24"/>
          <w:rtl/>
        </w:rPr>
        <w:t xml:space="preserve">. </w:t>
      </w:r>
      <w:r w:rsidR="004712FF" w:rsidRPr="001B2997">
        <w:rPr>
          <w:rFonts w:cs="David" w:hint="cs"/>
          <w:sz w:val="24"/>
          <w:szCs w:val="24"/>
          <w:rtl/>
        </w:rPr>
        <w:t xml:space="preserve">אכן, במקרים המתאימים בפסיקת בית המשפט העליון נקבע, כי </w:t>
      </w:r>
      <w:r w:rsidR="00B07801" w:rsidRPr="001B2997">
        <w:rPr>
          <w:rFonts w:cs="David" w:hint="cs"/>
          <w:sz w:val="24"/>
          <w:szCs w:val="24"/>
          <w:rtl/>
        </w:rPr>
        <w:t xml:space="preserve">הפרדה לאירועים שונים </w:t>
      </w:r>
      <w:r w:rsidR="004712FF" w:rsidRPr="001B2997">
        <w:rPr>
          <w:rFonts w:cs="David" w:hint="cs"/>
          <w:sz w:val="24"/>
          <w:szCs w:val="24"/>
          <w:rtl/>
        </w:rPr>
        <w:t xml:space="preserve">לצורך גזירת העונש </w:t>
      </w:r>
      <w:r w:rsidR="004712FF" w:rsidRPr="001B2997">
        <w:rPr>
          <w:rFonts w:cs="David"/>
          <w:sz w:val="24"/>
          <w:szCs w:val="24"/>
          <w:rtl/>
        </w:rPr>
        <w:t>–</w:t>
      </w:r>
      <w:r w:rsidR="004712FF" w:rsidRPr="001B2997">
        <w:rPr>
          <w:rFonts w:cs="David" w:hint="cs"/>
          <w:sz w:val="24"/>
          <w:szCs w:val="24"/>
          <w:rtl/>
        </w:rPr>
        <w:t xml:space="preserve"> אף אם קיים דמיון באופיים של המעשים </w:t>
      </w:r>
      <w:r w:rsidR="004712FF" w:rsidRPr="001B2997">
        <w:rPr>
          <w:rFonts w:cs="David"/>
          <w:sz w:val="24"/>
          <w:szCs w:val="24"/>
          <w:rtl/>
        </w:rPr>
        <w:t>–</w:t>
      </w:r>
      <w:r w:rsidR="004712FF" w:rsidRPr="001B2997">
        <w:rPr>
          <w:rFonts w:cs="David" w:hint="cs"/>
          <w:sz w:val="24"/>
          <w:szCs w:val="24"/>
          <w:rtl/>
        </w:rPr>
        <w:t xml:space="preserve"> </w:t>
      </w:r>
      <w:r w:rsidR="00B07801" w:rsidRPr="001B2997">
        <w:rPr>
          <w:rFonts w:cs="David" w:hint="cs"/>
          <w:sz w:val="24"/>
          <w:szCs w:val="24"/>
          <w:rtl/>
        </w:rPr>
        <w:t xml:space="preserve">מבטאת את הסלידה מהמעשים ואת ההכרה בפגיעה שחווה כל אחד מהמתלוננים </w:t>
      </w:r>
      <w:r w:rsidR="004712FF" w:rsidRPr="001B2997">
        <w:rPr>
          <w:rFonts w:cs="David" w:hint="cs"/>
          <w:sz w:val="24"/>
          <w:szCs w:val="24"/>
          <w:rtl/>
        </w:rPr>
        <w:t xml:space="preserve">באותו מקרה </w:t>
      </w:r>
      <w:r w:rsidR="00B07801" w:rsidRPr="00010038">
        <w:rPr>
          <w:rFonts w:cs="David" w:hint="cs"/>
          <w:b/>
          <w:bCs/>
          <w:sz w:val="24"/>
          <w:szCs w:val="24"/>
          <w:rtl/>
        </w:rPr>
        <w:t>בגופו ובנפשו</w:t>
      </w:r>
      <w:r w:rsidR="004712FF" w:rsidRPr="001B2997">
        <w:rPr>
          <w:rFonts w:cs="David" w:hint="cs"/>
          <w:sz w:val="24"/>
          <w:szCs w:val="24"/>
          <w:rtl/>
        </w:rPr>
        <w:t xml:space="preserve">. </w:t>
      </w:r>
      <w:r w:rsidR="001B2997" w:rsidRPr="001B2997">
        <w:rPr>
          <w:rFonts w:cs="David" w:hint="cs"/>
          <w:sz w:val="24"/>
          <w:szCs w:val="24"/>
          <w:rtl/>
        </w:rPr>
        <w:t>הפרדה זו בין העבירות בעת קביעת מתחם העונש ההולם יושמה, למשל</w:t>
      </w:r>
      <w:r w:rsidR="00010038">
        <w:rPr>
          <w:rFonts w:cs="David" w:hint="cs"/>
          <w:sz w:val="24"/>
          <w:szCs w:val="24"/>
          <w:rtl/>
        </w:rPr>
        <w:t>,</w:t>
      </w:r>
      <w:r w:rsidR="001B2997" w:rsidRPr="001B2997">
        <w:rPr>
          <w:rFonts w:cs="David" w:hint="cs"/>
          <w:sz w:val="24"/>
          <w:szCs w:val="24"/>
          <w:rtl/>
        </w:rPr>
        <w:t xml:space="preserve"> </w:t>
      </w:r>
      <w:r w:rsidR="004712FF" w:rsidRPr="001B2997">
        <w:rPr>
          <w:rFonts w:cs="David" w:hint="cs"/>
          <w:sz w:val="24"/>
          <w:szCs w:val="24"/>
          <w:rtl/>
        </w:rPr>
        <w:t xml:space="preserve">במקרה </w:t>
      </w:r>
      <w:r w:rsidR="001B2997" w:rsidRPr="001B2997">
        <w:rPr>
          <w:rFonts w:cs="David" w:hint="cs"/>
          <w:sz w:val="24"/>
          <w:szCs w:val="24"/>
          <w:rtl/>
        </w:rPr>
        <w:t xml:space="preserve">של הרשעת </w:t>
      </w:r>
      <w:r w:rsidR="00B2477D" w:rsidRPr="001B2997">
        <w:rPr>
          <w:rFonts w:cs="David" w:hint="cs"/>
          <w:sz w:val="24"/>
          <w:szCs w:val="24"/>
          <w:rtl/>
        </w:rPr>
        <w:t xml:space="preserve">אדם בכתב אישום חמור בגין </w:t>
      </w:r>
      <w:r w:rsidR="004712FF" w:rsidRPr="001B2997">
        <w:rPr>
          <w:rFonts w:cs="David" w:hint="cs"/>
          <w:sz w:val="24"/>
          <w:szCs w:val="24"/>
          <w:rtl/>
        </w:rPr>
        <w:t>שורת מעשים מגונים פיזיים ב</w:t>
      </w:r>
      <w:r w:rsidR="00B2477D" w:rsidRPr="001B2997">
        <w:rPr>
          <w:rFonts w:cs="David" w:hint="cs"/>
          <w:sz w:val="24"/>
          <w:szCs w:val="24"/>
          <w:rtl/>
        </w:rPr>
        <w:t xml:space="preserve">מספר </w:t>
      </w:r>
      <w:r w:rsidR="004712FF" w:rsidRPr="001B2997">
        <w:rPr>
          <w:rFonts w:cs="David" w:hint="cs"/>
          <w:sz w:val="24"/>
          <w:szCs w:val="24"/>
          <w:rtl/>
        </w:rPr>
        <w:t xml:space="preserve">קטינים </w:t>
      </w:r>
      <w:r w:rsidR="00DB0EE5" w:rsidRPr="001B2997">
        <w:rPr>
          <w:rFonts w:cs="David" w:hint="cs"/>
          <w:sz w:val="24"/>
          <w:szCs w:val="24"/>
          <w:rtl/>
        </w:rPr>
        <w:t>(</w:t>
      </w:r>
      <w:r w:rsidR="00B07801" w:rsidRPr="001B2997">
        <w:rPr>
          <w:rFonts w:cs="David" w:hint="cs"/>
          <w:sz w:val="24"/>
          <w:szCs w:val="24"/>
          <w:rtl/>
        </w:rPr>
        <w:t xml:space="preserve">ע"פ 319/17 </w:t>
      </w:r>
      <w:r w:rsidR="00B07801" w:rsidRPr="001B2997">
        <w:rPr>
          <w:rFonts w:cs="David" w:hint="cs"/>
          <w:b/>
          <w:bCs/>
          <w:sz w:val="24"/>
          <w:szCs w:val="24"/>
          <w:rtl/>
        </w:rPr>
        <w:t>פלוני נ' מדינת ישראל</w:t>
      </w:r>
      <w:r w:rsidR="00B2477D" w:rsidRPr="001B2997">
        <w:rPr>
          <w:rFonts w:cs="David" w:hint="cs"/>
          <w:sz w:val="24"/>
          <w:szCs w:val="24"/>
          <w:rtl/>
        </w:rPr>
        <w:t xml:space="preserve">, בפס' 8 </w:t>
      </w:r>
      <w:r w:rsidR="00B07801" w:rsidRPr="001B2997">
        <w:rPr>
          <w:rFonts w:cs="David" w:hint="cs"/>
          <w:sz w:val="24"/>
          <w:szCs w:val="24"/>
          <w:rtl/>
        </w:rPr>
        <w:t>(טרם פורסם, 19.7.2018)</w:t>
      </w:r>
      <w:r w:rsidR="00DB0EE5" w:rsidRPr="001B2997">
        <w:rPr>
          <w:rFonts w:cs="David" w:hint="cs"/>
          <w:sz w:val="24"/>
          <w:szCs w:val="24"/>
          <w:rtl/>
        </w:rPr>
        <w:t>)</w:t>
      </w:r>
      <w:r w:rsidR="00B2477D" w:rsidRPr="001B2997">
        <w:rPr>
          <w:rFonts w:cs="David" w:hint="cs"/>
          <w:sz w:val="24"/>
          <w:szCs w:val="24"/>
          <w:rtl/>
        </w:rPr>
        <w:t xml:space="preserve"> או במקרה שבו הורשע אדם במעשים מיניים חמורים </w:t>
      </w:r>
      <w:r w:rsidR="00B2477D" w:rsidRPr="001B2997">
        <w:rPr>
          <w:rFonts w:cs="David"/>
          <w:sz w:val="24"/>
          <w:szCs w:val="24"/>
          <w:rtl/>
        </w:rPr>
        <w:t>–</w:t>
      </w:r>
      <w:r w:rsidR="00B2477D" w:rsidRPr="001B2997">
        <w:rPr>
          <w:rFonts w:cs="David" w:hint="cs"/>
          <w:sz w:val="24"/>
          <w:szCs w:val="24"/>
          <w:rtl/>
        </w:rPr>
        <w:t xml:space="preserve"> מעשים מגונים, בין היתר כלפי בתו ואחייניתו</w:t>
      </w:r>
      <w:r w:rsidR="001B2997" w:rsidRPr="001B2997">
        <w:rPr>
          <w:rFonts w:cs="David" w:hint="cs"/>
          <w:sz w:val="24"/>
          <w:szCs w:val="24"/>
          <w:rtl/>
        </w:rPr>
        <w:t xml:space="preserve">, </w:t>
      </w:r>
      <w:r w:rsidR="00B2477D" w:rsidRPr="001B2997">
        <w:rPr>
          <w:rFonts w:cs="David" w:hint="cs"/>
          <w:sz w:val="24"/>
          <w:szCs w:val="24"/>
          <w:rtl/>
        </w:rPr>
        <w:t xml:space="preserve">במעשה סדום כלפי רעייתו </w:t>
      </w:r>
      <w:r w:rsidR="001B2997" w:rsidRPr="001B2997">
        <w:rPr>
          <w:rFonts w:cs="David" w:hint="cs"/>
          <w:sz w:val="24"/>
          <w:szCs w:val="24"/>
          <w:rtl/>
        </w:rPr>
        <w:t xml:space="preserve">ובמעשי אלימות ואיומים כלפי ילדיו הקטינים </w:t>
      </w:r>
      <w:r w:rsidR="00B2477D" w:rsidRPr="001B2997">
        <w:rPr>
          <w:rFonts w:cs="David" w:hint="cs"/>
          <w:sz w:val="24"/>
          <w:szCs w:val="24"/>
          <w:rtl/>
        </w:rPr>
        <w:t xml:space="preserve">(ע"פ 1605/13 </w:t>
      </w:r>
      <w:r w:rsidR="00B2477D" w:rsidRPr="001B2997">
        <w:rPr>
          <w:rFonts w:cs="David" w:hint="cs"/>
          <w:b/>
          <w:bCs/>
          <w:sz w:val="24"/>
          <w:szCs w:val="24"/>
          <w:rtl/>
        </w:rPr>
        <w:t>פלוני נ' מדינת ישראל</w:t>
      </w:r>
      <w:r w:rsidR="00B2477D" w:rsidRPr="001B2997">
        <w:rPr>
          <w:rFonts w:cs="David" w:hint="cs"/>
          <w:sz w:val="24"/>
          <w:szCs w:val="24"/>
          <w:rtl/>
        </w:rPr>
        <w:t>, פס' 18 (טרם פורסם, 27.8.2014))</w:t>
      </w:r>
      <w:r w:rsidR="00DB0EE5" w:rsidRPr="001B2997">
        <w:rPr>
          <w:rFonts w:cs="David" w:hint="cs"/>
          <w:sz w:val="24"/>
          <w:szCs w:val="24"/>
          <w:rtl/>
        </w:rPr>
        <w:t>.</w:t>
      </w:r>
      <w:r w:rsidR="00B2477D" w:rsidRPr="001B2997">
        <w:rPr>
          <w:rFonts w:cs="David" w:hint="cs"/>
          <w:sz w:val="24"/>
          <w:szCs w:val="24"/>
          <w:rtl/>
        </w:rPr>
        <w:t xml:space="preserve"> </w:t>
      </w:r>
      <w:r w:rsidR="00010038">
        <w:rPr>
          <w:rFonts w:cs="David" w:hint="cs"/>
          <w:sz w:val="24"/>
          <w:szCs w:val="24"/>
          <w:rtl/>
        </w:rPr>
        <w:t xml:space="preserve">אין מקרים אלה דומים למקרה שלפנינו בבחינת אופי המעשים </w:t>
      </w:r>
      <w:r w:rsidR="00010038">
        <w:rPr>
          <w:rFonts w:cs="David" w:hint="cs"/>
          <w:sz w:val="24"/>
          <w:szCs w:val="24"/>
          <w:rtl/>
        </w:rPr>
        <w:lastRenderedPageBreak/>
        <w:t xml:space="preserve">ומדת חומרתם. </w:t>
      </w:r>
      <w:r w:rsidR="00DB0EE5" w:rsidRPr="001B2997">
        <w:rPr>
          <w:rFonts w:cs="David" w:hint="cs"/>
          <w:sz w:val="24"/>
          <w:szCs w:val="24"/>
          <w:rtl/>
        </w:rPr>
        <w:t xml:space="preserve">בחינת מכלול </w:t>
      </w:r>
      <w:r w:rsidR="00A80B31" w:rsidRPr="001B2997">
        <w:rPr>
          <w:rFonts w:cs="David" w:hint="cs"/>
          <w:sz w:val="24"/>
          <w:szCs w:val="24"/>
          <w:rtl/>
        </w:rPr>
        <w:t>מאפייניו של המקרה</w:t>
      </w:r>
      <w:r w:rsidR="00DB0EE5" w:rsidRPr="001B2997">
        <w:rPr>
          <w:rFonts w:cs="David" w:hint="cs"/>
          <w:sz w:val="24"/>
          <w:szCs w:val="24"/>
          <w:rtl/>
        </w:rPr>
        <w:t xml:space="preserve"> שלפנינו בהתאם למבחן </w:t>
      </w:r>
      <w:r w:rsidR="00DB0EE5" w:rsidRPr="001B2997">
        <w:rPr>
          <w:rFonts w:cs="David" w:hint="cs"/>
          <w:b/>
          <w:bCs/>
          <w:sz w:val="24"/>
          <w:szCs w:val="24"/>
          <w:rtl/>
        </w:rPr>
        <w:t>הקשר ההדוק</w:t>
      </w:r>
      <w:r w:rsidR="00DB0EE5" w:rsidRPr="001B2997">
        <w:rPr>
          <w:rFonts w:cs="David" w:hint="cs"/>
          <w:sz w:val="24"/>
          <w:szCs w:val="24"/>
          <w:rtl/>
        </w:rPr>
        <w:t xml:space="preserve"> שאומץ בפסיקה כמבחן המנחה </w:t>
      </w:r>
      <w:r w:rsidR="001B2997" w:rsidRPr="001B2997">
        <w:rPr>
          <w:rFonts w:cs="David" w:hint="cs"/>
          <w:sz w:val="24"/>
          <w:szCs w:val="24"/>
          <w:rtl/>
        </w:rPr>
        <w:t xml:space="preserve">להכרעה בשאלה האם מדובר באירוע אחד או בריבוי אירועים, </w:t>
      </w:r>
      <w:r w:rsidR="00A80B31" w:rsidRPr="001B2997">
        <w:rPr>
          <w:rFonts w:cs="David" w:hint="cs"/>
          <w:sz w:val="24"/>
          <w:szCs w:val="24"/>
          <w:rtl/>
        </w:rPr>
        <w:t>מטה את הכף לקביעה כי לפנינו מספר עברות בעלות קשר הדוק שתחשבנה כאירוע אחד לצורך קביעת מתחם העונש ההולם (ע</w:t>
      </w:r>
      <w:r w:rsidR="00A80B31" w:rsidRPr="001B2997">
        <w:rPr>
          <w:rFonts w:cs="David"/>
          <w:sz w:val="24"/>
          <w:szCs w:val="24"/>
          <w:rtl/>
        </w:rPr>
        <w:t>"</w:t>
      </w:r>
      <w:r w:rsidR="00A80B31" w:rsidRPr="001B2997">
        <w:rPr>
          <w:rFonts w:cs="David" w:hint="cs"/>
          <w:sz w:val="24"/>
          <w:szCs w:val="24"/>
          <w:rtl/>
        </w:rPr>
        <w:t>פ</w:t>
      </w:r>
      <w:r w:rsidR="00A80B31" w:rsidRPr="001B2997">
        <w:rPr>
          <w:rFonts w:cs="David"/>
          <w:sz w:val="24"/>
          <w:szCs w:val="24"/>
          <w:rtl/>
        </w:rPr>
        <w:t xml:space="preserve"> 4910/13 </w:t>
      </w:r>
      <w:r w:rsidR="00A80B31" w:rsidRPr="001B2997">
        <w:rPr>
          <w:rFonts w:cs="David" w:hint="cs"/>
          <w:b/>
          <w:bCs/>
          <w:sz w:val="24"/>
          <w:szCs w:val="24"/>
          <w:rtl/>
        </w:rPr>
        <w:t>ג</w:t>
      </w:r>
      <w:r w:rsidR="00A80B31" w:rsidRPr="001B2997">
        <w:rPr>
          <w:rFonts w:cs="David"/>
          <w:b/>
          <w:bCs/>
          <w:sz w:val="24"/>
          <w:szCs w:val="24"/>
          <w:rtl/>
        </w:rPr>
        <w:t>'</w:t>
      </w:r>
      <w:r w:rsidR="00A80B31" w:rsidRPr="001B2997">
        <w:rPr>
          <w:rFonts w:cs="David" w:hint="cs"/>
          <w:b/>
          <w:bCs/>
          <w:sz w:val="24"/>
          <w:szCs w:val="24"/>
          <w:rtl/>
        </w:rPr>
        <w:t>אבר</w:t>
      </w:r>
      <w:r w:rsidR="00A80B31" w:rsidRPr="001B2997">
        <w:rPr>
          <w:rFonts w:cs="David"/>
          <w:b/>
          <w:bCs/>
          <w:sz w:val="24"/>
          <w:szCs w:val="24"/>
          <w:rtl/>
        </w:rPr>
        <w:t xml:space="preserve"> </w:t>
      </w:r>
      <w:r w:rsidR="00A80B31" w:rsidRPr="001B2997">
        <w:rPr>
          <w:rFonts w:cs="David" w:hint="cs"/>
          <w:b/>
          <w:bCs/>
          <w:sz w:val="24"/>
          <w:szCs w:val="24"/>
          <w:rtl/>
        </w:rPr>
        <w:t>נ</w:t>
      </w:r>
      <w:r w:rsidR="00A80B31" w:rsidRPr="001B2997">
        <w:rPr>
          <w:rFonts w:cs="David"/>
          <w:b/>
          <w:bCs/>
          <w:sz w:val="24"/>
          <w:szCs w:val="24"/>
          <w:rtl/>
        </w:rPr>
        <w:t xml:space="preserve">' </w:t>
      </w:r>
      <w:r w:rsidR="00A80B31" w:rsidRPr="001B2997">
        <w:rPr>
          <w:rFonts w:cs="David" w:hint="cs"/>
          <w:b/>
          <w:bCs/>
          <w:sz w:val="24"/>
          <w:szCs w:val="24"/>
          <w:rtl/>
        </w:rPr>
        <w:t>מדינת</w:t>
      </w:r>
      <w:r w:rsidR="00A80B31" w:rsidRPr="001B2997">
        <w:rPr>
          <w:rFonts w:cs="David"/>
          <w:b/>
          <w:bCs/>
          <w:sz w:val="24"/>
          <w:szCs w:val="24"/>
          <w:rtl/>
        </w:rPr>
        <w:t xml:space="preserve"> </w:t>
      </w:r>
      <w:r w:rsidR="00A80B31" w:rsidRPr="001B2997">
        <w:rPr>
          <w:rFonts w:cs="David" w:hint="cs"/>
          <w:b/>
          <w:bCs/>
          <w:sz w:val="24"/>
          <w:szCs w:val="24"/>
          <w:rtl/>
        </w:rPr>
        <w:t>ישראל</w:t>
      </w:r>
      <w:r w:rsidR="00A80B31" w:rsidRPr="001B2997">
        <w:rPr>
          <w:rFonts w:cs="David" w:hint="cs"/>
          <w:sz w:val="24"/>
          <w:szCs w:val="24"/>
          <w:rtl/>
        </w:rPr>
        <w:t xml:space="preserve">, פס' 5 כב' </w:t>
      </w:r>
      <w:proofErr w:type="spellStart"/>
      <w:r w:rsidR="00A80B31" w:rsidRPr="001B2997">
        <w:rPr>
          <w:rFonts w:cs="David" w:hint="cs"/>
          <w:sz w:val="24"/>
          <w:szCs w:val="24"/>
          <w:rtl/>
        </w:rPr>
        <w:t>הש</w:t>
      </w:r>
      <w:proofErr w:type="spellEnd"/>
      <w:r w:rsidR="00A80B31" w:rsidRPr="001B2997">
        <w:rPr>
          <w:rFonts w:cs="David" w:hint="cs"/>
          <w:sz w:val="24"/>
          <w:szCs w:val="24"/>
          <w:rtl/>
        </w:rPr>
        <w:t xml:space="preserve">' ברק ארז,  פס' 32-29 כב' </w:t>
      </w:r>
      <w:proofErr w:type="spellStart"/>
      <w:r w:rsidR="00A80B31" w:rsidRPr="001B2997">
        <w:rPr>
          <w:rFonts w:cs="David" w:hint="cs"/>
          <w:sz w:val="24"/>
          <w:szCs w:val="24"/>
          <w:rtl/>
        </w:rPr>
        <w:t>הש</w:t>
      </w:r>
      <w:proofErr w:type="spellEnd"/>
      <w:r w:rsidR="00A80B31" w:rsidRPr="001B2997">
        <w:rPr>
          <w:rFonts w:cs="David" w:hint="cs"/>
          <w:sz w:val="24"/>
          <w:szCs w:val="24"/>
          <w:rtl/>
        </w:rPr>
        <w:t xml:space="preserve">' </w:t>
      </w:r>
      <w:proofErr w:type="spellStart"/>
      <w:r w:rsidR="00A80B31" w:rsidRPr="001B2997">
        <w:rPr>
          <w:rFonts w:cs="David" w:hint="cs"/>
          <w:sz w:val="24"/>
          <w:szCs w:val="24"/>
          <w:rtl/>
        </w:rPr>
        <w:t>דנציגר</w:t>
      </w:r>
      <w:proofErr w:type="spellEnd"/>
      <w:r w:rsidR="00A80B31" w:rsidRPr="001B2997">
        <w:rPr>
          <w:rFonts w:cs="David" w:hint="cs"/>
          <w:sz w:val="24"/>
          <w:szCs w:val="24"/>
          <w:rtl/>
        </w:rPr>
        <w:t xml:space="preserve"> (טרם פורסם, </w:t>
      </w:r>
      <w:r w:rsidR="00A80B31" w:rsidRPr="001B2997">
        <w:rPr>
          <w:rFonts w:cs="David"/>
          <w:sz w:val="24"/>
          <w:szCs w:val="24"/>
          <w:rtl/>
        </w:rPr>
        <w:t>29.10.2014</w:t>
      </w:r>
      <w:r w:rsidR="00A80B31" w:rsidRPr="001B2997">
        <w:rPr>
          <w:rFonts w:cs="David" w:hint="cs"/>
          <w:sz w:val="24"/>
          <w:szCs w:val="24"/>
          <w:rtl/>
        </w:rPr>
        <w:t xml:space="preserve">)). קשר שכזה יימצא כאשר קיימת סמיכות זמנים בין </w:t>
      </w:r>
      <w:r w:rsidR="001B2997" w:rsidRPr="001B2997">
        <w:rPr>
          <w:rFonts w:cs="David" w:hint="cs"/>
          <w:sz w:val="24"/>
          <w:szCs w:val="24"/>
          <w:rtl/>
        </w:rPr>
        <w:t>העב</w:t>
      </w:r>
      <w:r w:rsidR="00A80B31" w:rsidRPr="001B2997">
        <w:rPr>
          <w:rFonts w:cs="David" w:hint="cs"/>
          <w:sz w:val="24"/>
          <w:szCs w:val="24"/>
          <w:rtl/>
        </w:rPr>
        <w:t xml:space="preserve">רות, כאשר </w:t>
      </w:r>
      <w:r w:rsidR="001B2997" w:rsidRPr="001B2997">
        <w:rPr>
          <w:rFonts w:cs="David" w:hint="cs"/>
          <w:sz w:val="24"/>
          <w:szCs w:val="24"/>
          <w:rtl/>
        </w:rPr>
        <w:t>הן חלק ממסכת עבריינית אחת</w:t>
      </w:r>
      <w:r w:rsidR="00010038">
        <w:rPr>
          <w:rFonts w:cs="David" w:hint="cs"/>
          <w:sz w:val="24"/>
          <w:szCs w:val="24"/>
          <w:rtl/>
        </w:rPr>
        <w:t xml:space="preserve"> ו</w:t>
      </w:r>
      <w:r w:rsidR="00A80B31" w:rsidRPr="001B2997">
        <w:rPr>
          <w:rFonts w:cs="David" w:hint="cs"/>
          <w:sz w:val="24"/>
          <w:szCs w:val="24"/>
          <w:rtl/>
        </w:rPr>
        <w:t xml:space="preserve">כאשר </w:t>
      </w:r>
      <w:r w:rsidR="001B2997" w:rsidRPr="001B2997">
        <w:rPr>
          <w:rFonts w:cs="David" w:hint="cs"/>
          <w:sz w:val="24"/>
          <w:szCs w:val="24"/>
          <w:rtl/>
        </w:rPr>
        <w:t xml:space="preserve">העברות </w:t>
      </w:r>
      <w:r w:rsidR="00A80B31" w:rsidRPr="001B2997">
        <w:rPr>
          <w:rFonts w:cs="David" w:hint="cs"/>
          <w:sz w:val="24"/>
          <w:szCs w:val="24"/>
          <w:rtl/>
        </w:rPr>
        <w:t xml:space="preserve">מתאפיינות בדרך ביצוע דומה ובשיטתיות, כל זאת תוך הפעלת שיקול דעת </w:t>
      </w:r>
      <w:r w:rsidR="001B2997" w:rsidRPr="001B2997">
        <w:rPr>
          <w:rFonts w:cs="David" w:hint="cs"/>
          <w:sz w:val="24"/>
          <w:szCs w:val="24"/>
          <w:rtl/>
        </w:rPr>
        <w:t xml:space="preserve">המסור לבית המשפט </w:t>
      </w:r>
      <w:r w:rsidR="00A80B31" w:rsidRPr="001B2997">
        <w:rPr>
          <w:rFonts w:cs="David" w:hint="cs"/>
          <w:sz w:val="24"/>
          <w:szCs w:val="24"/>
          <w:rtl/>
        </w:rPr>
        <w:t xml:space="preserve">בכל מקרה לגופו (ע"פ 2012/17 </w:t>
      </w:r>
      <w:proofErr w:type="spellStart"/>
      <w:r w:rsidR="00A80B31" w:rsidRPr="001B2997">
        <w:rPr>
          <w:rFonts w:cs="David" w:hint="cs"/>
          <w:b/>
          <w:bCs/>
          <w:sz w:val="24"/>
          <w:szCs w:val="24"/>
          <w:rtl/>
        </w:rPr>
        <w:t>קסימובה</w:t>
      </w:r>
      <w:proofErr w:type="spellEnd"/>
      <w:r w:rsidR="00A80B31" w:rsidRPr="001B2997">
        <w:rPr>
          <w:rFonts w:cs="David" w:hint="cs"/>
          <w:b/>
          <w:bCs/>
          <w:sz w:val="24"/>
          <w:szCs w:val="24"/>
          <w:rtl/>
        </w:rPr>
        <w:t xml:space="preserve"> נ' מדינת ישראל</w:t>
      </w:r>
      <w:r w:rsidR="00A80B31" w:rsidRPr="001B2997">
        <w:rPr>
          <w:rFonts w:cs="David" w:hint="cs"/>
          <w:sz w:val="24"/>
          <w:szCs w:val="24"/>
          <w:rtl/>
        </w:rPr>
        <w:t xml:space="preserve">, בפס' 35 (טרם פורסם, 31.7.2018)). </w:t>
      </w:r>
      <w:r w:rsidR="00010038">
        <w:rPr>
          <w:rFonts w:cs="David" w:hint="cs"/>
          <w:sz w:val="24"/>
          <w:szCs w:val="24"/>
          <w:rtl/>
        </w:rPr>
        <w:t>שלושת מעשי הצילום</w:t>
      </w:r>
      <w:r w:rsidR="001B2997" w:rsidRPr="001B2997">
        <w:rPr>
          <w:rFonts w:cs="David" w:hint="cs"/>
          <w:sz w:val="24"/>
          <w:szCs w:val="24"/>
          <w:rtl/>
        </w:rPr>
        <w:t xml:space="preserve"> בוצעו בסמיכות זמנים, הם השתרעו על פני קצת יותר מיממה. הם נעשו באותו אופן, באותו מקום בדיוק ובאותו אמצעי, כך שהחיילות שהיו ברגע נתון </w:t>
      </w:r>
      <w:r w:rsidR="00C93900">
        <w:rPr>
          <w:rFonts w:cs="David" w:hint="cs"/>
          <w:sz w:val="24"/>
          <w:szCs w:val="24"/>
          <w:rtl/>
        </w:rPr>
        <w:t>ב</w:t>
      </w:r>
      <w:r w:rsidR="001B2997" w:rsidRPr="001B2997">
        <w:rPr>
          <w:rFonts w:cs="David" w:hint="cs"/>
          <w:sz w:val="24"/>
          <w:szCs w:val="24"/>
          <w:rtl/>
        </w:rPr>
        <w:t xml:space="preserve">חדר הרחצה צולמו. </w:t>
      </w:r>
      <w:r w:rsidR="001D3D0D">
        <w:rPr>
          <w:rFonts w:cs="David" w:hint="cs"/>
          <w:sz w:val="24"/>
          <w:szCs w:val="24"/>
          <w:rtl/>
        </w:rPr>
        <w:t>מעשה הצגת חלק מהסרטונים לחבריו בוצע אף הוא כהמשך ישיר ובסמיכות זמנים למעשה הצילום השלישי. ה</w:t>
      </w:r>
      <w:r w:rsidR="00C93900">
        <w:rPr>
          <w:rFonts w:cs="David" w:hint="cs"/>
          <w:sz w:val="24"/>
          <w:szCs w:val="24"/>
          <w:rtl/>
        </w:rPr>
        <w:t xml:space="preserve">קשר </w:t>
      </w:r>
      <w:r w:rsidR="001D3D0D">
        <w:rPr>
          <w:rFonts w:cs="David" w:hint="cs"/>
          <w:sz w:val="24"/>
          <w:szCs w:val="24"/>
          <w:rtl/>
        </w:rPr>
        <w:t>ה</w:t>
      </w:r>
      <w:r w:rsidR="00C93900">
        <w:rPr>
          <w:rFonts w:cs="David" w:hint="cs"/>
          <w:sz w:val="24"/>
          <w:szCs w:val="24"/>
          <w:rtl/>
        </w:rPr>
        <w:t xml:space="preserve">ענייני, </w:t>
      </w:r>
      <w:r w:rsidR="001D3D0D">
        <w:rPr>
          <w:rFonts w:cs="David" w:hint="cs"/>
          <w:sz w:val="24"/>
          <w:szCs w:val="24"/>
          <w:rtl/>
        </w:rPr>
        <w:t>ה</w:t>
      </w:r>
      <w:r w:rsidR="00C93900">
        <w:rPr>
          <w:rFonts w:cs="David" w:hint="cs"/>
          <w:sz w:val="24"/>
          <w:szCs w:val="24"/>
          <w:rtl/>
        </w:rPr>
        <w:t>עובדתי ו</w:t>
      </w:r>
      <w:r w:rsidR="001D3D0D">
        <w:rPr>
          <w:rFonts w:cs="David" w:hint="cs"/>
          <w:sz w:val="24"/>
          <w:szCs w:val="24"/>
          <w:rtl/>
        </w:rPr>
        <w:t>הצורני ה</w:t>
      </w:r>
      <w:r w:rsidR="00C93900">
        <w:rPr>
          <w:rFonts w:cs="David" w:hint="cs"/>
          <w:sz w:val="24"/>
          <w:szCs w:val="24"/>
          <w:rtl/>
        </w:rPr>
        <w:t xml:space="preserve">הדוק </w:t>
      </w:r>
      <w:r w:rsidR="001D3D0D">
        <w:rPr>
          <w:rFonts w:cs="David" w:hint="cs"/>
          <w:sz w:val="24"/>
          <w:szCs w:val="24"/>
          <w:rtl/>
        </w:rPr>
        <w:t>ביניהם מצדיק להתבונן עליהם</w:t>
      </w:r>
      <w:r w:rsidR="00C93900">
        <w:rPr>
          <w:rFonts w:cs="David" w:hint="cs"/>
          <w:sz w:val="24"/>
          <w:szCs w:val="24"/>
          <w:rtl/>
        </w:rPr>
        <w:t xml:space="preserve"> כעל אירוע עברייני אחד לצורך קביעת מתחם העונש ההולם (בהקשר דומה ראו </w:t>
      </w:r>
      <w:r w:rsidR="00C93900" w:rsidRPr="00C93900">
        <w:rPr>
          <w:rFonts w:cs="David" w:hint="cs"/>
          <w:sz w:val="24"/>
          <w:szCs w:val="24"/>
          <w:rtl/>
        </w:rPr>
        <w:t xml:space="preserve">ע/40/17 </w:t>
      </w:r>
      <w:r w:rsidR="00C93900" w:rsidRPr="00C93900">
        <w:rPr>
          <w:rFonts w:cs="David" w:hint="cs"/>
          <w:b/>
          <w:bCs/>
          <w:sz w:val="24"/>
          <w:szCs w:val="24"/>
          <w:rtl/>
        </w:rPr>
        <w:t>סגן שרון נ' התובע הצבאי הראשי</w:t>
      </w:r>
      <w:r w:rsidR="00C93900" w:rsidRPr="00C93900">
        <w:rPr>
          <w:rFonts w:cs="David" w:hint="cs"/>
          <w:sz w:val="24"/>
          <w:szCs w:val="24"/>
          <w:rtl/>
        </w:rPr>
        <w:t xml:space="preserve"> (2017)</w:t>
      </w:r>
      <w:r w:rsidR="006248E8">
        <w:rPr>
          <w:rFonts w:cs="David" w:hint="cs"/>
          <w:sz w:val="24"/>
          <w:szCs w:val="24"/>
          <w:rtl/>
        </w:rPr>
        <w:t xml:space="preserve">; </w:t>
      </w:r>
      <w:r w:rsidR="006248E8" w:rsidRPr="006248E8">
        <w:rPr>
          <w:rFonts w:cs="David" w:hint="cs"/>
          <w:sz w:val="24"/>
          <w:szCs w:val="24"/>
          <w:rtl/>
        </w:rPr>
        <w:t xml:space="preserve">ע/6/17 </w:t>
      </w:r>
      <w:r w:rsidR="006248E8" w:rsidRPr="006248E8">
        <w:rPr>
          <w:rFonts w:cs="David" w:hint="cs"/>
          <w:b/>
          <w:bCs/>
          <w:sz w:val="24"/>
          <w:szCs w:val="24"/>
          <w:rtl/>
        </w:rPr>
        <w:t xml:space="preserve">התובע הצבאי הראשי נ' סמל </w:t>
      </w:r>
      <w:proofErr w:type="spellStart"/>
      <w:r w:rsidR="006248E8" w:rsidRPr="006248E8">
        <w:rPr>
          <w:rFonts w:cs="David" w:hint="cs"/>
          <w:b/>
          <w:bCs/>
          <w:sz w:val="24"/>
          <w:szCs w:val="24"/>
          <w:rtl/>
        </w:rPr>
        <w:t>סולימאני</w:t>
      </w:r>
      <w:proofErr w:type="spellEnd"/>
      <w:r w:rsidR="006248E8" w:rsidRPr="006248E8">
        <w:rPr>
          <w:rFonts w:cs="David" w:hint="cs"/>
          <w:sz w:val="24"/>
          <w:szCs w:val="24"/>
          <w:rtl/>
        </w:rPr>
        <w:t xml:space="preserve"> (2017)</w:t>
      </w:r>
      <w:r w:rsidR="00C93900">
        <w:rPr>
          <w:rFonts w:cs="David" w:hint="cs"/>
          <w:sz w:val="24"/>
          <w:szCs w:val="24"/>
          <w:rtl/>
        </w:rPr>
        <w:t>). במאמר מוסגר יצוין</w:t>
      </w:r>
      <w:r w:rsidR="001D3D0D">
        <w:rPr>
          <w:rFonts w:cs="David" w:hint="cs"/>
          <w:sz w:val="24"/>
          <w:szCs w:val="24"/>
          <w:rtl/>
        </w:rPr>
        <w:t>,</w:t>
      </w:r>
      <w:r w:rsidR="00C93900">
        <w:rPr>
          <w:rFonts w:cs="David" w:hint="cs"/>
          <w:sz w:val="24"/>
          <w:szCs w:val="24"/>
          <w:rtl/>
        </w:rPr>
        <w:t xml:space="preserve"> כי </w:t>
      </w:r>
      <w:r w:rsidR="001D3D0D">
        <w:rPr>
          <w:rFonts w:cs="David" w:hint="cs"/>
          <w:sz w:val="24"/>
          <w:szCs w:val="24"/>
          <w:rtl/>
        </w:rPr>
        <w:t>ראיית</w:t>
      </w:r>
      <w:r w:rsidR="00C93900">
        <w:rPr>
          <w:rFonts w:cs="David" w:hint="cs"/>
          <w:sz w:val="24"/>
          <w:szCs w:val="24"/>
          <w:rtl/>
        </w:rPr>
        <w:t xml:space="preserve"> מכלול העברות </w:t>
      </w:r>
      <w:r w:rsidR="0013487B">
        <w:rPr>
          <w:rFonts w:cs="David" w:hint="cs"/>
          <w:sz w:val="24"/>
          <w:szCs w:val="24"/>
          <w:rtl/>
        </w:rPr>
        <w:t>כ</w:t>
      </w:r>
      <w:r w:rsidR="00C93900">
        <w:rPr>
          <w:rFonts w:cs="David" w:hint="cs"/>
          <w:sz w:val="24"/>
          <w:szCs w:val="24"/>
          <w:rtl/>
        </w:rPr>
        <w:t xml:space="preserve">אירוע עברייני אחד לעניין </w:t>
      </w:r>
      <w:r w:rsidR="00C93900" w:rsidRPr="0013487B">
        <w:rPr>
          <w:rFonts w:cs="David" w:hint="cs"/>
          <w:b/>
          <w:bCs/>
          <w:sz w:val="24"/>
          <w:szCs w:val="24"/>
          <w:rtl/>
        </w:rPr>
        <w:t>העונש</w:t>
      </w:r>
      <w:r w:rsidR="00C93900">
        <w:rPr>
          <w:rFonts w:cs="David" w:hint="cs"/>
          <w:sz w:val="24"/>
          <w:szCs w:val="24"/>
          <w:rtl/>
        </w:rPr>
        <w:t xml:space="preserve"> </w:t>
      </w:r>
      <w:r w:rsidR="00C93900" w:rsidRPr="0013487B">
        <w:rPr>
          <w:rFonts w:cs="David" w:hint="cs"/>
          <w:sz w:val="24"/>
          <w:szCs w:val="24"/>
          <w:rtl/>
        </w:rPr>
        <w:t>אינה</w:t>
      </w:r>
      <w:r w:rsidR="00C93900">
        <w:rPr>
          <w:rFonts w:cs="David" w:hint="cs"/>
          <w:sz w:val="24"/>
          <w:szCs w:val="24"/>
          <w:rtl/>
        </w:rPr>
        <w:t xml:space="preserve"> עומדת בסתירה לקביעתנו בהכרעת הדין (פס' 71-67) כי אין פגם בפיצול האישומים ובהתבוננות על כל מעשה כעל עברה בפני עצמה</w:t>
      </w:r>
      <w:r w:rsidR="00DE7646">
        <w:rPr>
          <w:rFonts w:cs="David" w:hint="cs"/>
          <w:sz w:val="24"/>
          <w:szCs w:val="24"/>
          <w:rtl/>
        </w:rPr>
        <w:t xml:space="preserve"> בכתב האישום</w:t>
      </w:r>
      <w:r w:rsidR="00C93900">
        <w:rPr>
          <w:rFonts w:cs="David" w:hint="cs"/>
          <w:sz w:val="24"/>
          <w:szCs w:val="24"/>
          <w:rtl/>
        </w:rPr>
        <w:t xml:space="preserve">. בפסיקת בית המשפט העליון </w:t>
      </w:r>
      <w:r w:rsidR="00DE7646">
        <w:rPr>
          <w:rFonts w:cs="David" w:hint="cs"/>
          <w:sz w:val="24"/>
          <w:szCs w:val="24"/>
          <w:rtl/>
        </w:rPr>
        <w:t xml:space="preserve">הובהר </w:t>
      </w:r>
      <w:r w:rsidR="00C93900">
        <w:rPr>
          <w:rFonts w:cs="David" w:hint="cs"/>
          <w:sz w:val="24"/>
          <w:szCs w:val="24"/>
          <w:rtl/>
        </w:rPr>
        <w:t xml:space="preserve">כי </w:t>
      </w:r>
      <w:r w:rsidR="00DE7646">
        <w:rPr>
          <w:rFonts w:cs="David" w:hint="cs"/>
          <w:sz w:val="24"/>
          <w:szCs w:val="24"/>
          <w:rtl/>
        </w:rPr>
        <w:t>על-אף</w:t>
      </w:r>
      <w:r w:rsidR="00C93900">
        <w:rPr>
          <w:rFonts w:cs="David" w:hint="cs"/>
          <w:sz w:val="24"/>
          <w:szCs w:val="24"/>
          <w:rtl/>
        </w:rPr>
        <w:t xml:space="preserve"> הדמיון בין המבחנים להגדרת המונח "מעשה" </w:t>
      </w:r>
      <w:r w:rsidR="00DE7646">
        <w:rPr>
          <w:rFonts w:cs="David" w:hint="cs"/>
          <w:sz w:val="24"/>
          <w:szCs w:val="24"/>
          <w:rtl/>
        </w:rPr>
        <w:t>(</w:t>
      </w:r>
      <w:r w:rsidR="00C93900">
        <w:rPr>
          <w:rFonts w:cs="David" w:hint="cs"/>
          <w:sz w:val="24"/>
          <w:szCs w:val="24"/>
          <w:rtl/>
        </w:rPr>
        <w:t>סעיף 186 לחוק סדר הדין הפלילי</w:t>
      </w:r>
      <w:r w:rsidR="00DE7646">
        <w:rPr>
          <w:rFonts w:cs="David" w:hint="cs"/>
          <w:sz w:val="24"/>
          <w:szCs w:val="24"/>
          <w:rtl/>
        </w:rPr>
        <w:t>)</w:t>
      </w:r>
      <w:r w:rsidR="00C93900">
        <w:rPr>
          <w:rFonts w:cs="David" w:hint="cs"/>
          <w:sz w:val="24"/>
          <w:szCs w:val="24"/>
          <w:rtl/>
        </w:rPr>
        <w:t xml:space="preserve"> </w:t>
      </w:r>
      <w:r w:rsidR="00DE7646">
        <w:rPr>
          <w:rFonts w:cs="David" w:hint="cs"/>
          <w:sz w:val="24"/>
          <w:szCs w:val="24"/>
          <w:rtl/>
        </w:rPr>
        <w:t>ל</w:t>
      </w:r>
      <w:r w:rsidR="00C93900">
        <w:rPr>
          <w:rFonts w:cs="David" w:hint="cs"/>
          <w:sz w:val="24"/>
          <w:szCs w:val="24"/>
          <w:rtl/>
        </w:rPr>
        <w:t xml:space="preserve">מונח "אירוע" </w:t>
      </w:r>
      <w:r w:rsidR="00DE7646">
        <w:rPr>
          <w:rFonts w:cs="David" w:hint="cs"/>
          <w:sz w:val="24"/>
          <w:szCs w:val="24"/>
          <w:rtl/>
        </w:rPr>
        <w:t>ש</w:t>
      </w:r>
      <w:r w:rsidR="00C93900">
        <w:rPr>
          <w:rFonts w:cs="David" w:hint="cs"/>
          <w:sz w:val="24"/>
          <w:szCs w:val="24"/>
          <w:rtl/>
        </w:rPr>
        <w:t>ב</w:t>
      </w:r>
      <w:r w:rsidR="00DE7646">
        <w:rPr>
          <w:rFonts w:cs="David" w:hint="cs"/>
          <w:sz w:val="24"/>
          <w:szCs w:val="24"/>
          <w:rtl/>
        </w:rPr>
        <w:t>תיקון 113 ל</w:t>
      </w:r>
      <w:r w:rsidR="00C93900">
        <w:rPr>
          <w:rFonts w:cs="David" w:hint="cs"/>
          <w:sz w:val="24"/>
          <w:szCs w:val="24"/>
          <w:rtl/>
        </w:rPr>
        <w:t xml:space="preserve">חוק העונשין, יש ליישמם בפריזמה שונה, של התוצאה </w:t>
      </w:r>
      <w:proofErr w:type="spellStart"/>
      <w:r w:rsidR="00C93900">
        <w:rPr>
          <w:rFonts w:cs="David" w:hint="cs"/>
          <w:sz w:val="24"/>
          <w:szCs w:val="24"/>
          <w:rtl/>
        </w:rPr>
        <w:t>העונשית</w:t>
      </w:r>
      <w:proofErr w:type="spellEnd"/>
      <w:r w:rsidR="00C93900">
        <w:rPr>
          <w:rFonts w:cs="David" w:hint="cs"/>
          <w:sz w:val="24"/>
          <w:szCs w:val="24"/>
          <w:rtl/>
        </w:rPr>
        <w:t xml:space="preserve"> הנגזרת מהם, כך שהמונח "אירוע" רחב מהמונח "מעשה" ויכול שיכלול מספר מעשים, כבמקרה דנן (ענין </w:t>
      </w:r>
      <w:r w:rsidR="00C93900" w:rsidRPr="00C93900">
        <w:rPr>
          <w:rFonts w:cs="David" w:hint="cs"/>
          <w:b/>
          <w:bCs/>
          <w:sz w:val="24"/>
          <w:szCs w:val="24"/>
          <w:rtl/>
        </w:rPr>
        <w:t xml:space="preserve">ג'אבר </w:t>
      </w:r>
      <w:r w:rsidR="00C93900">
        <w:rPr>
          <w:rFonts w:cs="David" w:hint="cs"/>
          <w:sz w:val="24"/>
          <w:szCs w:val="24"/>
          <w:rtl/>
        </w:rPr>
        <w:t xml:space="preserve">לעיל, בפס' 28-26 כב' </w:t>
      </w:r>
      <w:proofErr w:type="spellStart"/>
      <w:r w:rsidR="00C93900">
        <w:rPr>
          <w:rFonts w:cs="David" w:hint="cs"/>
          <w:sz w:val="24"/>
          <w:szCs w:val="24"/>
          <w:rtl/>
        </w:rPr>
        <w:t>הש</w:t>
      </w:r>
      <w:proofErr w:type="spellEnd"/>
      <w:r w:rsidR="00C93900">
        <w:rPr>
          <w:rFonts w:cs="David" w:hint="cs"/>
          <w:sz w:val="24"/>
          <w:szCs w:val="24"/>
          <w:rtl/>
        </w:rPr>
        <w:t xml:space="preserve">' </w:t>
      </w:r>
      <w:proofErr w:type="spellStart"/>
      <w:r w:rsidR="00C93900">
        <w:rPr>
          <w:rFonts w:cs="David" w:hint="cs"/>
          <w:sz w:val="24"/>
          <w:szCs w:val="24"/>
          <w:rtl/>
        </w:rPr>
        <w:t>דנציגר</w:t>
      </w:r>
      <w:proofErr w:type="spellEnd"/>
      <w:r w:rsidR="00C93900">
        <w:rPr>
          <w:rFonts w:cs="David" w:hint="cs"/>
          <w:sz w:val="24"/>
          <w:szCs w:val="24"/>
          <w:rtl/>
        </w:rPr>
        <w:t xml:space="preserve">, בפס' 2-1 כב' </w:t>
      </w:r>
      <w:proofErr w:type="spellStart"/>
      <w:r w:rsidR="00C93900">
        <w:rPr>
          <w:rFonts w:cs="David" w:hint="cs"/>
          <w:sz w:val="24"/>
          <w:szCs w:val="24"/>
          <w:rtl/>
        </w:rPr>
        <w:t>הש</w:t>
      </w:r>
      <w:proofErr w:type="spellEnd"/>
      <w:r w:rsidR="00C93900">
        <w:rPr>
          <w:rFonts w:cs="David" w:hint="cs"/>
          <w:sz w:val="24"/>
          <w:szCs w:val="24"/>
          <w:rtl/>
        </w:rPr>
        <w:t xml:space="preserve">' ברק ארז). </w:t>
      </w:r>
    </w:p>
    <w:p w14:paraId="6056F1D5" w14:textId="77777777" w:rsidR="00C93900" w:rsidRPr="00DE7646" w:rsidRDefault="009D48CE" w:rsidP="00B23546">
      <w:pPr>
        <w:autoSpaceDE w:val="0"/>
        <w:autoSpaceDN w:val="0"/>
        <w:spacing w:after="0" w:line="360" w:lineRule="auto"/>
        <w:ind w:left="360"/>
        <w:jc w:val="both"/>
        <w:rPr>
          <w:rFonts w:cs="David"/>
          <w:sz w:val="24"/>
          <w:szCs w:val="24"/>
        </w:rPr>
      </w:pPr>
      <w:r w:rsidRPr="00DE7646">
        <w:rPr>
          <w:rFonts w:cs="David" w:hint="cs"/>
          <w:sz w:val="24"/>
          <w:szCs w:val="24"/>
          <w:rtl/>
        </w:rPr>
        <w:t xml:space="preserve">נפנה לבחינת מתחם הענש ההולם </w:t>
      </w:r>
      <w:r w:rsidR="000C44A3" w:rsidRPr="00DE7646">
        <w:rPr>
          <w:rFonts w:cs="David" w:hint="cs"/>
          <w:sz w:val="24"/>
          <w:szCs w:val="24"/>
          <w:rtl/>
        </w:rPr>
        <w:t>ל</w:t>
      </w:r>
      <w:r w:rsidRPr="00DE7646">
        <w:rPr>
          <w:rFonts w:cs="David" w:hint="cs"/>
          <w:sz w:val="24"/>
          <w:szCs w:val="24"/>
          <w:rtl/>
        </w:rPr>
        <w:t>אירוע העברייני שלפנינו</w:t>
      </w:r>
      <w:r w:rsidR="0013487B" w:rsidRPr="00DE7646">
        <w:rPr>
          <w:rFonts w:cs="David" w:hint="cs"/>
          <w:sz w:val="24"/>
          <w:szCs w:val="24"/>
          <w:rtl/>
        </w:rPr>
        <w:t xml:space="preserve">. </w:t>
      </w:r>
    </w:p>
    <w:p w14:paraId="02885871" w14:textId="77777777" w:rsidR="009D48CE" w:rsidRPr="00DE7646" w:rsidRDefault="009D48CE" w:rsidP="009D48CE">
      <w:pPr>
        <w:autoSpaceDE w:val="0"/>
        <w:autoSpaceDN w:val="0"/>
        <w:spacing w:after="0" w:line="360" w:lineRule="auto"/>
        <w:ind w:left="360"/>
        <w:jc w:val="both"/>
        <w:rPr>
          <w:rFonts w:cs="David"/>
          <w:sz w:val="24"/>
          <w:szCs w:val="24"/>
        </w:rPr>
      </w:pPr>
    </w:p>
    <w:p w14:paraId="43B59548" w14:textId="77777777" w:rsidR="000E37FE" w:rsidRDefault="000E37FE" w:rsidP="000E37FE">
      <w:pPr>
        <w:autoSpaceDE w:val="0"/>
        <w:autoSpaceDN w:val="0"/>
        <w:spacing w:after="0" w:line="360" w:lineRule="auto"/>
        <w:jc w:val="both"/>
        <w:rPr>
          <w:rFonts w:cs="David"/>
          <w:b/>
          <w:bCs/>
          <w:sz w:val="24"/>
          <w:szCs w:val="24"/>
          <w:rtl/>
        </w:rPr>
      </w:pPr>
      <w:r>
        <w:rPr>
          <w:rFonts w:cs="David" w:hint="cs"/>
          <w:b/>
          <w:bCs/>
          <w:sz w:val="24"/>
          <w:szCs w:val="24"/>
          <w:rtl/>
        </w:rPr>
        <w:t>מתחם העונש ההולם</w:t>
      </w:r>
    </w:p>
    <w:p w14:paraId="282CC7C6" w14:textId="77777777" w:rsidR="005579F4" w:rsidRDefault="00C0342D" w:rsidP="0093234E">
      <w:pPr>
        <w:numPr>
          <w:ilvl w:val="0"/>
          <w:numId w:val="9"/>
        </w:numPr>
        <w:tabs>
          <w:tab w:val="num" w:pos="386"/>
        </w:tabs>
        <w:autoSpaceDE w:val="0"/>
        <w:autoSpaceDN w:val="0"/>
        <w:spacing w:after="0" w:line="360" w:lineRule="auto"/>
        <w:ind w:left="360"/>
        <w:jc w:val="both"/>
        <w:rPr>
          <w:rFonts w:cs="David"/>
          <w:sz w:val="24"/>
          <w:szCs w:val="24"/>
        </w:rPr>
      </w:pPr>
      <w:r w:rsidRPr="005579F4">
        <w:rPr>
          <w:rFonts w:cs="David" w:hint="cs"/>
          <w:sz w:val="24"/>
          <w:szCs w:val="24"/>
          <w:rtl/>
        </w:rPr>
        <w:t>במעשי</w:t>
      </w:r>
      <w:r w:rsidR="0099214A" w:rsidRPr="005579F4">
        <w:rPr>
          <w:rFonts w:cs="David" w:hint="cs"/>
          <w:sz w:val="24"/>
          <w:szCs w:val="24"/>
          <w:rtl/>
        </w:rPr>
        <w:t xml:space="preserve"> </w:t>
      </w:r>
      <w:r w:rsidRPr="005579F4">
        <w:rPr>
          <w:rFonts w:cs="David" w:hint="cs"/>
          <w:sz w:val="24"/>
          <w:szCs w:val="24"/>
          <w:rtl/>
        </w:rPr>
        <w:t xml:space="preserve">צילום החיילות והצגת חלק מהסרטונים לאחרים, </w:t>
      </w:r>
      <w:r w:rsidR="00683371" w:rsidRPr="005579F4">
        <w:rPr>
          <w:rFonts w:cs="David" w:hint="cs"/>
          <w:sz w:val="24"/>
          <w:szCs w:val="24"/>
          <w:rtl/>
        </w:rPr>
        <w:t xml:space="preserve">פגע הנאשם פגיעה קשה בערכים חברתיים מוגנים הנוגעים לזכויותיהן </w:t>
      </w:r>
      <w:r w:rsidR="0099214A" w:rsidRPr="005579F4">
        <w:rPr>
          <w:rFonts w:cs="David" w:hint="cs"/>
          <w:sz w:val="24"/>
          <w:szCs w:val="24"/>
          <w:rtl/>
        </w:rPr>
        <w:t xml:space="preserve">הבסיסיות </w:t>
      </w:r>
      <w:r w:rsidR="00683371" w:rsidRPr="005579F4">
        <w:rPr>
          <w:rFonts w:cs="David" w:hint="cs"/>
          <w:sz w:val="24"/>
          <w:szCs w:val="24"/>
          <w:rtl/>
        </w:rPr>
        <w:t>של נפגעות העברה</w:t>
      </w:r>
      <w:r w:rsidR="0099214A" w:rsidRPr="005579F4">
        <w:rPr>
          <w:rFonts w:cs="David" w:hint="cs"/>
          <w:sz w:val="24"/>
          <w:szCs w:val="24"/>
          <w:rtl/>
        </w:rPr>
        <w:t xml:space="preserve">. </w:t>
      </w:r>
      <w:r w:rsidR="005579F4" w:rsidRPr="005579F4">
        <w:rPr>
          <w:rFonts w:cs="David" w:hint="cs"/>
          <w:sz w:val="24"/>
          <w:szCs w:val="24"/>
          <w:rtl/>
        </w:rPr>
        <w:t>מעבר</w:t>
      </w:r>
      <w:r w:rsidR="0099214A" w:rsidRPr="005579F4">
        <w:rPr>
          <w:rFonts w:cs="David" w:hint="cs"/>
          <w:sz w:val="24"/>
          <w:szCs w:val="24"/>
          <w:rtl/>
        </w:rPr>
        <w:t xml:space="preserve"> </w:t>
      </w:r>
      <w:r w:rsidR="005579F4" w:rsidRPr="005579F4">
        <w:rPr>
          <w:rFonts w:cs="David" w:hint="cs"/>
          <w:sz w:val="24"/>
          <w:szCs w:val="24"/>
          <w:rtl/>
        </w:rPr>
        <w:t>ל</w:t>
      </w:r>
      <w:r w:rsidR="0099214A" w:rsidRPr="005579F4">
        <w:rPr>
          <w:rFonts w:cs="David" w:hint="cs"/>
          <w:sz w:val="24"/>
          <w:szCs w:val="24"/>
          <w:rtl/>
        </w:rPr>
        <w:t>פגיעה האישית בחי</w:t>
      </w:r>
      <w:r w:rsidR="006A64D9">
        <w:rPr>
          <w:rFonts w:cs="David" w:hint="cs"/>
          <w:sz w:val="24"/>
          <w:szCs w:val="24"/>
          <w:rtl/>
        </w:rPr>
        <w:t>י</w:t>
      </w:r>
      <w:r w:rsidR="0099214A" w:rsidRPr="005579F4">
        <w:rPr>
          <w:rFonts w:cs="David" w:hint="cs"/>
          <w:sz w:val="24"/>
          <w:szCs w:val="24"/>
          <w:rtl/>
        </w:rPr>
        <w:t xml:space="preserve">לות המצולמות, </w:t>
      </w:r>
      <w:r w:rsidR="005579F4" w:rsidRPr="005579F4">
        <w:rPr>
          <w:rFonts w:cs="David" w:hint="cs"/>
          <w:sz w:val="24"/>
          <w:szCs w:val="24"/>
          <w:rtl/>
        </w:rPr>
        <w:t>גלומה במעשים מעין אלה</w:t>
      </w:r>
      <w:r w:rsidR="008A0089">
        <w:rPr>
          <w:rFonts w:cs="David" w:hint="cs"/>
          <w:sz w:val="24"/>
          <w:szCs w:val="24"/>
          <w:rtl/>
        </w:rPr>
        <w:t>,</w:t>
      </w:r>
      <w:r w:rsidR="005579F4" w:rsidRPr="005579F4">
        <w:rPr>
          <w:rFonts w:cs="David" w:hint="cs"/>
          <w:sz w:val="24"/>
          <w:szCs w:val="24"/>
          <w:rtl/>
        </w:rPr>
        <w:t xml:space="preserve"> גם פגיעה</w:t>
      </w:r>
      <w:r w:rsidR="00683371" w:rsidRPr="005579F4">
        <w:rPr>
          <w:rFonts w:cs="David" w:hint="cs"/>
          <w:sz w:val="24"/>
          <w:szCs w:val="24"/>
          <w:rtl/>
        </w:rPr>
        <w:t xml:space="preserve"> </w:t>
      </w:r>
      <w:r w:rsidR="0099214A" w:rsidRPr="005579F4">
        <w:rPr>
          <w:rFonts w:cs="David" w:hint="cs"/>
          <w:sz w:val="24"/>
          <w:szCs w:val="24"/>
          <w:rtl/>
        </w:rPr>
        <w:t>ב</w:t>
      </w:r>
      <w:r w:rsidR="00683371" w:rsidRPr="005579F4">
        <w:rPr>
          <w:rFonts w:cs="David" w:hint="cs"/>
          <w:sz w:val="24"/>
          <w:szCs w:val="24"/>
          <w:rtl/>
        </w:rPr>
        <w:t>ערכים חברתיים כלליי</w:t>
      </w:r>
      <w:r w:rsidR="005579F4" w:rsidRPr="005579F4">
        <w:rPr>
          <w:rFonts w:cs="David" w:hint="cs"/>
          <w:sz w:val="24"/>
          <w:szCs w:val="24"/>
          <w:rtl/>
        </w:rPr>
        <w:t xml:space="preserve">ם החשובים לכינונה של חברה. מעשים אלה שמתבצעים במסגרת השירות הצבאי חותרים גם תחת עקרונות </w:t>
      </w:r>
      <w:r w:rsidR="006A64D9">
        <w:rPr>
          <w:rFonts w:cs="David" w:hint="cs"/>
          <w:sz w:val="24"/>
          <w:szCs w:val="24"/>
          <w:rtl/>
        </w:rPr>
        <w:t>ה</w:t>
      </w:r>
      <w:r w:rsidR="005579F4" w:rsidRPr="005579F4">
        <w:rPr>
          <w:rFonts w:cs="David" w:hint="cs"/>
          <w:sz w:val="24"/>
          <w:szCs w:val="24"/>
          <w:rtl/>
        </w:rPr>
        <w:t xml:space="preserve">יסוד של השירות </w:t>
      </w:r>
      <w:r w:rsidR="006A64D9">
        <w:rPr>
          <w:rFonts w:cs="David" w:hint="cs"/>
          <w:sz w:val="24"/>
          <w:szCs w:val="24"/>
          <w:rtl/>
        </w:rPr>
        <w:t xml:space="preserve">המשותף </w:t>
      </w:r>
      <w:r w:rsidR="005579F4" w:rsidRPr="005579F4">
        <w:rPr>
          <w:rFonts w:cs="David" w:hint="cs"/>
          <w:sz w:val="24"/>
          <w:szCs w:val="24"/>
          <w:rtl/>
        </w:rPr>
        <w:t>ו</w:t>
      </w:r>
      <w:r w:rsidR="0093234E">
        <w:rPr>
          <w:rFonts w:cs="David" w:hint="cs"/>
          <w:sz w:val="24"/>
          <w:szCs w:val="24"/>
          <w:rtl/>
        </w:rPr>
        <w:t xml:space="preserve">פוגעים </w:t>
      </w:r>
      <w:r w:rsidR="005579F4" w:rsidRPr="005579F4">
        <w:rPr>
          <w:rFonts w:cs="David" w:hint="cs"/>
          <w:sz w:val="24"/>
          <w:szCs w:val="24"/>
          <w:rtl/>
        </w:rPr>
        <w:t xml:space="preserve">בערכי רוח צה"ל. </w:t>
      </w:r>
      <w:r w:rsidR="006A64D9">
        <w:rPr>
          <w:rFonts w:cs="David" w:hint="cs"/>
          <w:sz w:val="24"/>
          <w:szCs w:val="24"/>
          <w:rtl/>
        </w:rPr>
        <w:t>נבאר זאת להלן.</w:t>
      </w:r>
    </w:p>
    <w:p w14:paraId="58F8AE86" w14:textId="77777777" w:rsidR="00683371" w:rsidRPr="007A23A8" w:rsidRDefault="00683371" w:rsidP="000275FC">
      <w:pPr>
        <w:numPr>
          <w:ilvl w:val="0"/>
          <w:numId w:val="9"/>
        </w:numPr>
        <w:tabs>
          <w:tab w:val="num" w:pos="386"/>
        </w:tabs>
        <w:autoSpaceDE w:val="0"/>
        <w:autoSpaceDN w:val="0"/>
        <w:spacing w:after="0" w:line="360" w:lineRule="auto"/>
        <w:ind w:left="360"/>
        <w:jc w:val="both"/>
        <w:rPr>
          <w:rFonts w:cs="David"/>
          <w:sz w:val="24"/>
          <w:szCs w:val="24"/>
          <w:rtl/>
        </w:rPr>
      </w:pPr>
      <w:r w:rsidRPr="005579F4">
        <w:rPr>
          <w:rFonts w:cs="David" w:hint="cs"/>
          <w:sz w:val="24"/>
          <w:szCs w:val="24"/>
          <w:rtl/>
        </w:rPr>
        <w:t xml:space="preserve">זכות </w:t>
      </w:r>
      <w:r w:rsidRPr="005579F4">
        <w:rPr>
          <w:rFonts w:cs="David" w:hint="cs"/>
          <w:b/>
          <w:bCs/>
          <w:sz w:val="24"/>
          <w:szCs w:val="24"/>
          <w:rtl/>
        </w:rPr>
        <w:t>אנושית בסיסית</w:t>
      </w:r>
      <w:r w:rsidRPr="005579F4">
        <w:rPr>
          <w:rFonts w:cs="David" w:hint="cs"/>
          <w:sz w:val="24"/>
          <w:szCs w:val="24"/>
          <w:rtl/>
        </w:rPr>
        <w:t xml:space="preserve"> של כל אדם, היא הזכות </w:t>
      </w:r>
      <w:r w:rsidRPr="005579F4">
        <w:rPr>
          <w:rFonts w:cs="David" w:hint="cs"/>
          <w:b/>
          <w:bCs/>
          <w:sz w:val="24"/>
          <w:szCs w:val="24"/>
          <w:rtl/>
        </w:rPr>
        <w:t>לכבוד, לפרטיות ולצנעת הפרט</w:t>
      </w:r>
      <w:r w:rsidRPr="005579F4">
        <w:rPr>
          <w:rFonts w:cs="David" w:hint="cs"/>
          <w:sz w:val="24"/>
          <w:szCs w:val="24"/>
          <w:rtl/>
        </w:rPr>
        <w:t xml:space="preserve">. </w:t>
      </w:r>
      <w:r w:rsidR="006A64D9">
        <w:rPr>
          <w:rFonts w:cs="David" w:hint="cs"/>
          <w:sz w:val="24"/>
          <w:szCs w:val="24"/>
          <w:rtl/>
        </w:rPr>
        <w:t xml:space="preserve">הזכות לפרטיות זכתה למעמד חוקתי במשפט הישראלי. </w:t>
      </w:r>
      <w:r w:rsidR="00C0342D" w:rsidRPr="005579F4">
        <w:rPr>
          <w:rFonts w:cs="David" w:hint="cs"/>
          <w:sz w:val="24"/>
          <w:szCs w:val="24"/>
          <w:rtl/>
        </w:rPr>
        <w:t>ב</w:t>
      </w:r>
      <w:r w:rsidR="006A64D9">
        <w:rPr>
          <w:rFonts w:cs="David" w:hint="cs"/>
          <w:sz w:val="24"/>
          <w:szCs w:val="24"/>
          <w:rtl/>
        </w:rPr>
        <w:t>סעיף 7 ל</w:t>
      </w:r>
      <w:r w:rsidR="00C0342D" w:rsidRPr="005579F4">
        <w:rPr>
          <w:rFonts w:cs="David" w:hint="cs"/>
          <w:sz w:val="24"/>
          <w:szCs w:val="24"/>
          <w:rtl/>
        </w:rPr>
        <w:t xml:space="preserve">חוק יסוד: כבוד האדם וחירותו </w:t>
      </w:r>
      <w:r w:rsidR="006A64D9">
        <w:rPr>
          <w:rFonts w:cs="David" w:hint="cs"/>
          <w:sz w:val="24"/>
          <w:szCs w:val="24"/>
          <w:rtl/>
        </w:rPr>
        <w:t>נקבע כי "</w:t>
      </w:r>
      <w:r w:rsidR="006A64D9" w:rsidRPr="006A64D9">
        <w:rPr>
          <w:rFonts w:cs="David" w:hint="cs"/>
          <w:sz w:val="24"/>
          <w:szCs w:val="24"/>
          <w:rtl/>
        </w:rPr>
        <w:t>כל</w:t>
      </w:r>
      <w:r w:rsidR="006A64D9" w:rsidRPr="006A64D9">
        <w:rPr>
          <w:rFonts w:cs="David"/>
          <w:sz w:val="24"/>
          <w:szCs w:val="24"/>
          <w:rtl/>
        </w:rPr>
        <w:t xml:space="preserve"> </w:t>
      </w:r>
      <w:r w:rsidR="006A64D9" w:rsidRPr="006A64D9">
        <w:rPr>
          <w:rFonts w:cs="David" w:hint="cs"/>
          <w:sz w:val="24"/>
          <w:szCs w:val="24"/>
          <w:rtl/>
        </w:rPr>
        <w:t>אדם</w:t>
      </w:r>
      <w:r w:rsidR="006A64D9" w:rsidRPr="006A64D9">
        <w:rPr>
          <w:rFonts w:cs="David"/>
          <w:sz w:val="24"/>
          <w:szCs w:val="24"/>
          <w:rtl/>
        </w:rPr>
        <w:t xml:space="preserve"> </w:t>
      </w:r>
      <w:r w:rsidR="006A64D9" w:rsidRPr="006A64D9">
        <w:rPr>
          <w:rFonts w:cs="David" w:hint="cs"/>
          <w:sz w:val="24"/>
          <w:szCs w:val="24"/>
          <w:rtl/>
        </w:rPr>
        <w:t>זכאי</w:t>
      </w:r>
      <w:r w:rsidR="006A64D9" w:rsidRPr="006A64D9">
        <w:rPr>
          <w:rFonts w:cs="David"/>
          <w:sz w:val="24"/>
          <w:szCs w:val="24"/>
          <w:rtl/>
        </w:rPr>
        <w:t xml:space="preserve"> </w:t>
      </w:r>
      <w:r w:rsidR="006A64D9" w:rsidRPr="006A64D9">
        <w:rPr>
          <w:rFonts w:cs="David" w:hint="cs"/>
          <w:sz w:val="24"/>
          <w:szCs w:val="24"/>
          <w:rtl/>
        </w:rPr>
        <w:t>לפרטיות</w:t>
      </w:r>
      <w:r w:rsidR="006A64D9" w:rsidRPr="006A64D9">
        <w:rPr>
          <w:rFonts w:cs="David"/>
          <w:sz w:val="24"/>
          <w:szCs w:val="24"/>
          <w:rtl/>
        </w:rPr>
        <w:t xml:space="preserve"> </w:t>
      </w:r>
      <w:r w:rsidR="006A64D9" w:rsidRPr="006A64D9">
        <w:rPr>
          <w:rFonts w:cs="David" w:hint="cs"/>
          <w:sz w:val="24"/>
          <w:szCs w:val="24"/>
          <w:rtl/>
        </w:rPr>
        <w:t>ולצנעת</w:t>
      </w:r>
      <w:r w:rsidR="006A64D9" w:rsidRPr="006A64D9">
        <w:rPr>
          <w:rFonts w:cs="David"/>
          <w:sz w:val="24"/>
          <w:szCs w:val="24"/>
          <w:rtl/>
        </w:rPr>
        <w:t xml:space="preserve"> </w:t>
      </w:r>
      <w:r w:rsidR="006A64D9" w:rsidRPr="006A64D9">
        <w:rPr>
          <w:rFonts w:cs="David" w:hint="cs"/>
          <w:sz w:val="24"/>
          <w:szCs w:val="24"/>
          <w:rtl/>
        </w:rPr>
        <w:t>חייו</w:t>
      </w:r>
      <w:r w:rsidR="006A64D9">
        <w:rPr>
          <w:rFonts w:cs="David" w:hint="cs"/>
          <w:sz w:val="24"/>
          <w:szCs w:val="24"/>
          <w:rtl/>
        </w:rPr>
        <w:t>", נקבע כי "</w:t>
      </w:r>
      <w:r w:rsidR="006A64D9" w:rsidRPr="006A64D9">
        <w:rPr>
          <w:rFonts w:cs="David" w:hint="cs"/>
          <w:sz w:val="24"/>
          <w:szCs w:val="24"/>
          <w:rtl/>
        </w:rPr>
        <w:t>אין</w:t>
      </w:r>
      <w:r w:rsidR="006A64D9" w:rsidRPr="006A64D9">
        <w:rPr>
          <w:rFonts w:cs="David"/>
          <w:sz w:val="24"/>
          <w:szCs w:val="24"/>
          <w:rtl/>
        </w:rPr>
        <w:t xml:space="preserve"> </w:t>
      </w:r>
      <w:r w:rsidR="006A64D9" w:rsidRPr="006A64D9">
        <w:rPr>
          <w:rFonts w:cs="David" w:hint="cs"/>
          <w:sz w:val="24"/>
          <w:szCs w:val="24"/>
          <w:rtl/>
        </w:rPr>
        <w:t>נכנסים</w:t>
      </w:r>
      <w:r w:rsidR="006A64D9" w:rsidRPr="006A64D9">
        <w:rPr>
          <w:rFonts w:cs="David"/>
          <w:sz w:val="24"/>
          <w:szCs w:val="24"/>
          <w:rtl/>
        </w:rPr>
        <w:t xml:space="preserve"> </w:t>
      </w:r>
      <w:r w:rsidR="006A64D9" w:rsidRPr="006A64D9">
        <w:rPr>
          <w:rFonts w:cs="David" w:hint="cs"/>
          <w:sz w:val="24"/>
          <w:szCs w:val="24"/>
          <w:rtl/>
        </w:rPr>
        <w:t>לרשות</w:t>
      </w:r>
      <w:r w:rsidR="006A64D9" w:rsidRPr="006A64D9">
        <w:rPr>
          <w:rFonts w:cs="David"/>
          <w:sz w:val="24"/>
          <w:szCs w:val="24"/>
          <w:rtl/>
        </w:rPr>
        <w:t xml:space="preserve"> </w:t>
      </w:r>
      <w:r w:rsidR="006A64D9" w:rsidRPr="006A64D9">
        <w:rPr>
          <w:rFonts w:cs="David" w:hint="cs"/>
          <w:sz w:val="24"/>
          <w:szCs w:val="24"/>
          <w:rtl/>
        </w:rPr>
        <w:t>היחיד</w:t>
      </w:r>
      <w:r w:rsidR="006A64D9" w:rsidRPr="006A64D9">
        <w:rPr>
          <w:rFonts w:cs="David"/>
          <w:sz w:val="24"/>
          <w:szCs w:val="24"/>
          <w:rtl/>
        </w:rPr>
        <w:t xml:space="preserve"> </w:t>
      </w:r>
      <w:r w:rsidR="006A64D9" w:rsidRPr="006A64D9">
        <w:rPr>
          <w:rFonts w:cs="David" w:hint="cs"/>
          <w:sz w:val="24"/>
          <w:szCs w:val="24"/>
          <w:rtl/>
        </w:rPr>
        <w:t>של</w:t>
      </w:r>
      <w:r w:rsidR="006A64D9" w:rsidRPr="006A64D9">
        <w:rPr>
          <w:rFonts w:cs="David"/>
          <w:sz w:val="24"/>
          <w:szCs w:val="24"/>
          <w:rtl/>
        </w:rPr>
        <w:t xml:space="preserve"> </w:t>
      </w:r>
      <w:r w:rsidR="006A64D9" w:rsidRPr="006A64D9">
        <w:rPr>
          <w:rFonts w:cs="David" w:hint="cs"/>
          <w:sz w:val="24"/>
          <w:szCs w:val="24"/>
          <w:rtl/>
        </w:rPr>
        <w:t>אדם</w:t>
      </w:r>
      <w:r w:rsidR="006A64D9" w:rsidRPr="006A64D9">
        <w:rPr>
          <w:rFonts w:cs="David"/>
          <w:sz w:val="24"/>
          <w:szCs w:val="24"/>
          <w:rtl/>
        </w:rPr>
        <w:t xml:space="preserve"> </w:t>
      </w:r>
      <w:r w:rsidR="006A64D9" w:rsidRPr="006A64D9">
        <w:rPr>
          <w:rFonts w:cs="David" w:hint="cs"/>
          <w:sz w:val="24"/>
          <w:szCs w:val="24"/>
          <w:rtl/>
        </w:rPr>
        <w:t>שלא</w:t>
      </w:r>
      <w:r w:rsidR="006A64D9" w:rsidRPr="006A64D9">
        <w:rPr>
          <w:rFonts w:cs="David"/>
          <w:sz w:val="24"/>
          <w:szCs w:val="24"/>
          <w:rtl/>
        </w:rPr>
        <w:t xml:space="preserve"> </w:t>
      </w:r>
      <w:r w:rsidR="006A64D9" w:rsidRPr="006A64D9">
        <w:rPr>
          <w:rFonts w:cs="David" w:hint="cs"/>
          <w:sz w:val="24"/>
          <w:szCs w:val="24"/>
          <w:rtl/>
        </w:rPr>
        <w:t>בהסכמתו</w:t>
      </w:r>
      <w:r w:rsidR="006A64D9">
        <w:rPr>
          <w:rFonts w:cs="David" w:hint="cs"/>
          <w:sz w:val="24"/>
          <w:szCs w:val="24"/>
          <w:rtl/>
        </w:rPr>
        <w:t>"</w:t>
      </w:r>
      <w:r w:rsidR="00C0342D" w:rsidRPr="005579F4">
        <w:rPr>
          <w:rFonts w:cs="David" w:hint="cs"/>
          <w:sz w:val="24"/>
          <w:szCs w:val="24"/>
          <w:rtl/>
        </w:rPr>
        <w:t xml:space="preserve">. בחוק הגנת הפרטיות, </w:t>
      </w:r>
      <w:r w:rsidR="006A64D9">
        <w:rPr>
          <w:rFonts w:cs="David" w:hint="cs"/>
          <w:sz w:val="24"/>
          <w:szCs w:val="24"/>
          <w:rtl/>
        </w:rPr>
        <w:t>הוגדרה פגיעה בפרטיות</w:t>
      </w:r>
      <w:r w:rsidR="00C0342D" w:rsidRPr="005579F4">
        <w:rPr>
          <w:rFonts w:cs="David" w:hint="cs"/>
          <w:sz w:val="24"/>
          <w:szCs w:val="24"/>
          <w:rtl/>
        </w:rPr>
        <w:t xml:space="preserve">, בין היתר, </w:t>
      </w:r>
      <w:r w:rsidR="005579F4">
        <w:rPr>
          <w:rFonts w:cs="David" w:hint="cs"/>
          <w:sz w:val="24"/>
          <w:szCs w:val="24"/>
          <w:rtl/>
        </w:rPr>
        <w:t>כ</w:t>
      </w:r>
      <w:r w:rsidR="002323A1" w:rsidRPr="005579F4">
        <w:rPr>
          <w:rFonts w:cs="David" w:hint="cs"/>
          <w:sz w:val="24"/>
          <w:szCs w:val="24"/>
          <w:rtl/>
        </w:rPr>
        <w:t xml:space="preserve">מעשה </w:t>
      </w:r>
      <w:r w:rsidR="00C0342D" w:rsidRPr="005579F4">
        <w:rPr>
          <w:rFonts w:cs="David" w:hint="cs"/>
          <w:sz w:val="24"/>
          <w:szCs w:val="24"/>
          <w:rtl/>
        </w:rPr>
        <w:t xml:space="preserve">צילום של אדם כאשר הוא ברשות היחיד. הזכות לפרטיות הוגדרה, כבר בסוף המאה ה- 19, כזכותו של אדם </w:t>
      </w:r>
      <w:r w:rsidR="007A23A8">
        <w:rPr>
          <w:rFonts w:cs="David" w:hint="cs"/>
          <w:sz w:val="24"/>
          <w:szCs w:val="24"/>
          <w:rtl/>
        </w:rPr>
        <w:t>"</w:t>
      </w:r>
      <w:r w:rsidR="00C0342D" w:rsidRPr="005579F4">
        <w:rPr>
          <w:rFonts w:cs="David" w:hint="cs"/>
          <w:sz w:val="24"/>
          <w:szCs w:val="24"/>
          <w:rtl/>
        </w:rPr>
        <w:t>להיעזב לנפשו</w:t>
      </w:r>
      <w:r w:rsidR="007A23A8">
        <w:rPr>
          <w:rFonts w:cs="David" w:hint="cs"/>
          <w:sz w:val="24"/>
          <w:szCs w:val="24"/>
          <w:rtl/>
        </w:rPr>
        <w:t>"</w:t>
      </w:r>
      <w:r w:rsidR="00C0342D" w:rsidRPr="005579F4">
        <w:rPr>
          <w:rFonts w:cs="David" w:hint="cs"/>
          <w:sz w:val="24"/>
          <w:szCs w:val="24"/>
          <w:rtl/>
        </w:rPr>
        <w:t xml:space="preserve"> </w:t>
      </w:r>
      <w:r w:rsidR="002323A1" w:rsidRPr="005579F4">
        <w:rPr>
          <w:rFonts w:cs="David" w:hint="cs"/>
          <w:sz w:val="24"/>
          <w:szCs w:val="24"/>
          <w:rtl/>
        </w:rPr>
        <w:t>(</w:t>
      </w:r>
      <w:r w:rsidR="00C0342D" w:rsidRPr="005579F4">
        <w:rPr>
          <w:rFonts w:asciiTheme="majorBidi" w:hAnsiTheme="majorBidi" w:cstheme="majorBidi"/>
          <w:sz w:val="20"/>
          <w:szCs w:val="20"/>
        </w:rPr>
        <w:t xml:space="preserve">S.D. Warren &amp; L.D. Brandeis "The Right to Privacy" </w:t>
      </w:r>
      <w:proofErr w:type="spellStart"/>
      <w:r w:rsidR="00C0342D" w:rsidRPr="005579F4">
        <w:rPr>
          <w:rFonts w:asciiTheme="majorBidi" w:hAnsiTheme="majorBidi" w:cstheme="majorBidi"/>
          <w:sz w:val="20"/>
          <w:szCs w:val="20"/>
        </w:rPr>
        <w:t>Harward</w:t>
      </w:r>
      <w:proofErr w:type="spellEnd"/>
      <w:r w:rsidR="00C0342D" w:rsidRPr="005579F4">
        <w:rPr>
          <w:rFonts w:asciiTheme="majorBidi" w:hAnsiTheme="majorBidi" w:cstheme="majorBidi"/>
          <w:sz w:val="20"/>
          <w:szCs w:val="20"/>
        </w:rPr>
        <w:t xml:space="preserve"> Law Review 4 193-220 (1890)</w:t>
      </w:r>
      <w:r w:rsidR="00C0342D" w:rsidRPr="005579F4">
        <w:rPr>
          <w:rFonts w:cs="David" w:hint="cs"/>
          <w:sz w:val="24"/>
          <w:szCs w:val="24"/>
          <w:rtl/>
        </w:rPr>
        <w:t xml:space="preserve">). </w:t>
      </w:r>
      <w:r w:rsidR="006A64D9">
        <w:rPr>
          <w:rFonts w:cs="David" w:hint="cs"/>
          <w:sz w:val="24"/>
          <w:szCs w:val="24"/>
          <w:rtl/>
        </w:rPr>
        <w:t>בפסיקת בית המשפט העליון נקבע כי "</w:t>
      </w:r>
      <w:r w:rsidR="006A64D9" w:rsidRPr="006A64D9">
        <w:rPr>
          <w:rFonts w:cs="David" w:hint="cs"/>
          <w:sz w:val="24"/>
          <w:szCs w:val="24"/>
          <w:rtl/>
        </w:rPr>
        <w:t>זכות</w:t>
      </w:r>
      <w:r w:rsidR="006A64D9" w:rsidRPr="006A64D9">
        <w:rPr>
          <w:rFonts w:cs="David"/>
          <w:sz w:val="24"/>
          <w:szCs w:val="24"/>
          <w:rtl/>
        </w:rPr>
        <w:t xml:space="preserve"> </w:t>
      </w:r>
      <w:r w:rsidR="006A64D9" w:rsidRPr="006A64D9">
        <w:rPr>
          <w:rFonts w:cs="David" w:hint="cs"/>
          <w:sz w:val="24"/>
          <w:szCs w:val="24"/>
          <w:rtl/>
        </w:rPr>
        <w:t>הפרטיות</w:t>
      </w:r>
      <w:r w:rsidR="006A64D9" w:rsidRPr="006A64D9">
        <w:rPr>
          <w:rFonts w:cs="David"/>
          <w:sz w:val="24"/>
          <w:szCs w:val="24"/>
          <w:rtl/>
        </w:rPr>
        <w:t xml:space="preserve"> </w:t>
      </w:r>
      <w:r w:rsidR="006A64D9" w:rsidRPr="006A64D9">
        <w:rPr>
          <w:rFonts w:cs="David" w:hint="cs"/>
          <w:sz w:val="24"/>
          <w:szCs w:val="24"/>
          <w:rtl/>
        </w:rPr>
        <w:t>מותחת</w:t>
      </w:r>
      <w:r w:rsidR="006A64D9" w:rsidRPr="006A64D9">
        <w:rPr>
          <w:rFonts w:cs="David"/>
          <w:sz w:val="24"/>
          <w:szCs w:val="24"/>
          <w:rtl/>
        </w:rPr>
        <w:t xml:space="preserve"> </w:t>
      </w:r>
      <w:r w:rsidR="006A64D9" w:rsidRPr="006A64D9">
        <w:rPr>
          <w:rFonts w:cs="David" w:hint="cs"/>
          <w:sz w:val="24"/>
          <w:szCs w:val="24"/>
          <w:rtl/>
        </w:rPr>
        <w:t>את</w:t>
      </w:r>
      <w:r w:rsidR="006A64D9" w:rsidRPr="006A64D9">
        <w:rPr>
          <w:rFonts w:cs="David"/>
          <w:sz w:val="24"/>
          <w:szCs w:val="24"/>
          <w:rtl/>
        </w:rPr>
        <w:t xml:space="preserve"> </w:t>
      </w:r>
      <w:r w:rsidR="006A64D9" w:rsidRPr="006A64D9">
        <w:rPr>
          <w:rFonts w:cs="David" w:hint="cs"/>
          <w:sz w:val="24"/>
          <w:szCs w:val="24"/>
          <w:rtl/>
        </w:rPr>
        <w:t>הקו</w:t>
      </w:r>
      <w:r w:rsidR="006A64D9" w:rsidRPr="006A64D9">
        <w:rPr>
          <w:rFonts w:cs="David"/>
          <w:sz w:val="24"/>
          <w:szCs w:val="24"/>
          <w:rtl/>
        </w:rPr>
        <w:t xml:space="preserve"> </w:t>
      </w:r>
      <w:r w:rsidR="006A64D9" w:rsidRPr="006A64D9">
        <w:rPr>
          <w:rFonts w:cs="David" w:hint="cs"/>
          <w:sz w:val="24"/>
          <w:szCs w:val="24"/>
          <w:rtl/>
        </w:rPr>
        <w:t>בין</w:t>
      </w:r>
      <w:r w:rsidR="006A64D9" w:rsidRPr="006A64D9">
        <w:rPr>
          <w:rFonts w:cs="David"/>
          <w:sz w:val="24"/>
          <w:szCs w:val="24"/>
          <w:rtl/>
        </w:rPr>
        <w:t xml:space="preserve"> </w:t>
      </w:r>
      <w:r w:rsidR="006A64D9" w:rsidRPr="006A64D9">
        <w:rPr>
          <w:rFonts w:cs="David" w:hint="cs"/>
          <w:sz w:val="24"/>
          <w:szCs w:val="24"/>
          <w:rtl/>
        </w:rPr>
        <w:t>הפרט</w:t>
      </w:r>
      <w:r w:rsidR="006A64D9" w:rsidRPr="006A64D9">
        <w:rPr>
          <w:rFonts w:cs="David"/>
          <w:sz w:val="24"/>
          <w:szCs w:val="24"/>
          <w:rtl/>
        </w:rPr>
        <w:t xml:space="preserve"> </w:t>
      </w:r>
      <w:r w:rsidR="006A64D9" w:rsidRPr="006A64D9">
        <w:rPr>
          <w:rFonts w:cs="David" w:hint="cs"/>
          <w:sz w:val="24"/>
          <w:szCs w:val="24"/>
          <w:rtl/>
        </w:rPr>
        <w:t>לבין</w:t>
      </w:r>
      <w:r w:rsidR="006A64D9" w:rsidRPr="006A64D9">
        <w:rPr>
          <w:rFonts w:cs="David"/>
          <w:sz w:val="24"/>
          <w:szCs w:val="24"/>
          <w:rtl/>
        </w:rPr>
        <w:t xml:space="preserve"> </w:t>
      </w:r>
      <w:r w:rsidR="006A64D9" w:rsidRPr="006A64D9">
        <w:rPr>
          <w:rFonts w:cs="David" w:hint="cs"/>
          <w:sz w:val="24"/>
          <w:szCs w:val="24"/>
          <w:rtl/>
        </w:rPr>
        <w:t>הכלל</w:t>
      </w:r>
      <w:r w:rsidR="006A64D9" w:rsidRPr="006A64D9">
        <w:rPr>
          <w:rFonts w:cs="David"/>
          <w:sz w:val="24"/>
          <w:szCs w:val="24"/>
          <w:rtl/>
        </w:rPr>
        <w:t xml:space="preserve">, </w:t>
      </w:r>
      <w:r w:rsidR="006A64D9" w:rsidRPr="006A64D9">
        <w:rPr>
          <w:rFonts w:cs="David" w:hint="cs"/>
          <w:sz w:val="24"/>
          <w:szCs w:val="24"/>
          <w:rtl/>
        </w:rPr>
        <w:t>בין</w:t>
      </w:r>
      <w:r w:rsidR="006A64D9" w:rsidRPr="006A64D9">
        <w:rPr>
          <w:rFonts w:cs="David"/>
          <w:sz w:val="24"/>
          <w:szCs w:val="24"/>
          <w:rtl/>
        </w:rPr>
        <w:t xml:space="preserve"> </w:t>
      </w:r>
      <w:r w:rsidR="006A64D9">
        <w:rPr>
          <w:rFonts w:cs="David" w:hint="cs"/>
          <w:sz w:val="24"/>
          <w:szCs w:val="24"/>
          <w:rtl/>
        </w:rPr>
        <w:t>'</w:t>
      </w:r>
      <w:r w:rsidR="006A64D9" w:rsidRPr="006A64D9">
        <w:rPr>
          <w:rFonts w:cs="David" w:hint="cs"/>
          <w:sz w:val="24"/>
          <w:szCs w:val="24"/>
          <w:rtl/>
        </w:rPr>
        <w:t>האני</w:t>
      </w:r>
      <w:r w:rsidR="006A64D9">
        <w:rPr>
          <w:rFonts w:cs="David" w:hint="cs"/>
          <w:sz w:val="24"/>
          <w:szCs w:val="24"/>
          <w:rtl/>
        </w:rPr>
        <w:t>'</w:t>
      </w:r>
      <w:r w:rsidR="006A64D9" w:rsidRPr="006A64D9">
        <w:rPr>
          <w:rFonts w:cs="David"/>
          <w:sz w:val="24"/>
          <w:szCs w:val="24"/>
          <w:rtl/>
        </w:rPr>
        <w:t xml:space="preserve"> </w:t>
      </w:r>
      <w:r w:rsidR="006A64D9" w:rsidRPr="006A64D9">
        <w:rPr>
          <w:rFonts w:cs="David" w:hint="cs"/>
          <w:sz w:val="24"/>
          <w:szCs w:val="24"/>
          <w:rtl/>
        </w:rPr>
        <w:t>לבין</w:t>
      </w:r>
      <w:r w:rsidR="006A64D9" w:rsidRPr="006A64D9">
        <w:rPr>
          <w:rFonts w:cs="David"/>
          <w:sz w:val="24"/>
          <w:szCs w:val="24"/>
          <w:rtl/>
        </w:rPr>
        <w:t xml:space="preserve"> </w:t>
      </w:r>
      <w:r w:rsidR="006A64D9" w:rsidRPr="006A64D9">
        <w:rPr>
          <w:rFonts w:cs="David" w:hint="cs"/>
          <w:sz w:val="24"/>
          <w:szCs w:val="24"/>
          <w:rtl/>
        </w:rPr>
        <w:t>החברה</w:t>
      </w:r>
      <w:r w:rsidR="006A64D9" w:rsidRPr="006A64D9">
        <w:rPr>
          <w:rFonts w:cs="David"/>
          <w:sz w:val="24"/>
          <w:szCs w:val="24"/>
          <w:rtl/>
        </w:rPr>
        <w:t xml:space="preserve">. </w:t>
      </w:r>
      <w:r w:rsidR="006A64D9" w:rsidRPr="006A64D9">
        <w:rPr>
          <w:rFonts w:cs="David" w:hint="cs"/>
          <w:sz w:val="24"/>
          <w:szCs w:val="24"/>
          <w:rtl/>
        </w:rPr>
        <w:t>היא</w:t>
      </w:r>
      <w:r w:rsidR="006A64D9" w:rsidRPr="006A64D9">
        <w:rPr>
          <w:rFonts w:cs="David"/>
          <w:sz w:val="24"/>
          <w:szCs w:val="24"/>
          <w:rtl/>
        </w:rPr>
        <w:t xml:space="preserve"> </w:t>
      </w:r>
      <w:r w:rsidR="006A64D9" w:rsidRPr="006A64D9">
        <w:rPr>
          <w:rFonts w:cs="David" w:hint="cs"/>
          <w:sz w:val="24"/>
          <w:szCs w:val="24"/>
          <w:rtl/>
        </w:rPr>
        <w:t>משרטטת</w:t>
      </w:r>
      <w:r w:rsidR="006A64D9" w:rsidRPr="006A64D9">
        <w:rPr>
          <w:rFonts w:cs="David"/>
          <w:sz w:val="24"/>
          <w:szCs w:val="24"/>
          <w:rtl/>
        </w:rPr>
        <w:t xml:space="preserve"> </w:t>
      </w:r>
      <w:proofErr w:type="spellStart"/>
      <w:r w:rsidR="006A64D9" w:rsidRPr="006A64D9">
        <w:rPr>
          <w:rFonts w:cs="David" w:hint="cs"/>
          <w:sz w:val="24"/>
          <w:szCs w:val="24"/>
          <w:rtl/>
        </w:rPr>
        <w:t>מיתחם</w:t>
      </w:r>
      <w:proofErr w:type="spellEnd"/>
      <w:r w:rsidR="006A64D9" w:rsidRPr="006A64D9">
        <w:rPr>
          <w:rFonts w:cs="David"/>
          <w:sz w:val="24"/>
          <w:szCs w:val="24"/>
          <w:rtl/>
        </w:rPr>
        <w:t xml:space="preserve"> </w:t>
      </w:r>
      <w:r w:rsidR="006A64D9" w:rsidRPr="006A64D9">
        <w:rPr>
          <w:rFonts w:cs="David" w:hint="cs"/>
          <w:sz w:val="24"/>
          <w:szCs w:val="24"/>
          <w:rtl/>
        </w:rPr>
        <w:t>אשר</w:t>
      </w:r>
      <w:r w:rsidR="006A64D9" w:rsidRPr="006A64D9">
        <w:rPr>
          <w:rFonts w:cs="David"/>
          <w:sz w:val="24"/>
          <w:szCs w:val="24"/>
          <w:rtl/>
        </w:rPr>
        <w:t xml:space="preserve"> </w:t>
      </w:r>
      <w:r w:rsidR="006A64D9" w:rsidRPr="006A64D9">
        <w:rPr>
          <w:rFonts w:cs="David" w:hint="cs"/>
          <w:sz w:val="24"/>
          <w:szCs w:val="24"/>
          <w:rtl/>
        </w:rPr>
        <w:t>בו</w:t>
      </w:r>
      <w:r w:rsidR="006A64D9" w:rsidRPr="006A64D9">
        <w:rPr>
          <w:rFonts w:cs="David"/>
          <w:sz w:val="24"/>
          <w:szCs w:val="24"/>
          <w:rtl/>
        </w:rPr>
        <w:t xml:space="preserve"> </w:t>
      </w:r>
      <w:r w:rsidR="006A64D9" w:rsidRPr="006A64D9">
        <w:rPr>
          <w:rFonts w:cs="David" w:hint="cs"/>
          <w:sz w:val="24"/>
          <w:szCs w:val="24"/>
          <w:rtl/>
        </w:rPr>
        <w:t>מניחים</w:t>
      </w:r>
      <w:r w:rsidR="006A64D9" w:rsidRPr="006A64D9">
        <w:rPr>
          <w:rFonts w:cs="David"/>
          <w:sz w:val="24"/>
          <w:szCs w:val="24"/>
          <w:rtl/>
        </w:rPr>
        <w:t xml:space="preserve"> </w:t>
      </w:r>
      <w:r w:rsidR="006A64D9" w:rsidRPr="006A64D9">
        <w:rPr>
          <w:rFonts w:cs="David" w:hint="cs"/>
          <w:sz w:val="24"/>
          <w:szCs w:val="24"/>
          <w:rtl/>
        </w:rPr>
        <w:t>את</w:t>
      </w:r>
      <w:r w:rsidR="006A64D9" w:rsidRPr="006A64D9">
        <w:rPr>
          <w:rFonts w:cs="David"/>
          <w:sz w:val="24"/>
          <w:szCs w:val="24"/>
          <w:rtl/>
        </w:rPr>
        <w:t xml:space="preserve"> </w:t>
      </w:r>
      <w:r w:rsidR="006A64D9" w:rsidRPr="006A64D9">
        <w:rPr>
          <w:rFonts w:cs="David" w:hint="cs"/>
          <w:sz w:val="24"/>
          <w:szCs w:val="24"/>
          <w:rtl/>
        </w:rPr>
        <w:t>הפרט</w:t>
      </w:r>
      <w:r w:rsidR="006A64D9" w:rsidRPr="006A64D9">
        <w:rPr>
          <w:rFonts w:cs="David"/>
          <w:sz w:val="24"/>
          <w:szCs w:val="24"/>
          <w:rtl/>
        </w:rPr>
        <w:t xml:space="preserve"> </w:t>
      </w:r>
      <w:r w:rsidR="006A64D9" w:rsidRPr="006A64D9">
        <w:rPr>
          <w:rFonts w:cs="David" w:hint="cs"/>
          <w:sz w:val="24"/>
          <w:szCs w:val="24"/>
          <w:rtl/>
        </w:rPr>
        <w:lastRenderedPageBreak/>
        <w:t>לנפשו</w:t>
      </w:r>
      <w:r w:rsidR="006A64D9" w:rsidRPr="006A64D9">
        <w:rPr>
          <w:rFonts w:cs="David"/>
          <w:sz w:val="24"/>
          <w:szCs w:val="24"/>
          <w:rtl/>
        </w:rPr>
        <w:t xml:space="preserve">, </w:t>
      </w:r>
      <w:r w:rsidR="006A64D9" w:rsidRPr="006A64D9">
        <w:rPr>
          <w:rFonts w:cs="David" w:hint="cs"/>
          <w:sz w:val="24"/>
          <w:szCs w:val="24"/>
          <w:rtl/>
        </w:rPr>
        <w:t>לפיתוח</w:t>
      </w:r>
      <w:r w:rsidR="006A64D9" w:rsidRPr="006A64D9">
        <w:rPr>
          <w:rFonts w:cs="David"/>
          <w:sz w:val="24"/>
          <w:szCs w:val="24"/>
          <w:rtl/>
        </w:rPr>
        <w:t xml:space="preserve"> </w:t>
      </w:r>
      <w:r w:rsidR="006A64D9">
        <w:rPr>
          <w:rFonts w:cs="David" w:hint="cs"/>
          <w:sz w:val="24"/>
          <w:szCs w:val="24"/>
          <w:rtl/>
        </w:rPr>
        <w:t>'</w:t>
      </w:r>
      <w:r w:rsidR="006A64D9" w:rsidRPr="006A64D9">
        <w:rPr>
          <w:rFonts w:cs="David" w:hint="cs"/>
          <w:sz w:val="24"/>
          <w:szCs w:val="24"/>
          <w:rtl/>
        </w:rPr>
        <w:t>האני</w:t>
      </w:r>
      <w:r w:rsidR="006A64D9">
        <w:rPr>
          <w:rFonts w:cs="David" w:hint="cs"/>
          <w:sz w:val="24"/>
          <w:szCs w:val="24"/>
          <w:rtl/>
        </w:rPr>
        <w:t>'</w:t>
      </w:r>
      <w:r w:rsidR="006A64D9" w:rsidRPr="006A64D9">
        <w:rPr>
          <w:rFonts w:cs="David"/>
          <w:sz w:val="24"/>
          <w:szCs w:val="24"/>
          <w:rtl/>
        </w:rPr>
        <w:t xml:space="preserve"> </w:t>
      </w:r>
      <w:r w:rsidR="006A64D9" w:rsidRPr="006A64D9">
        <w:rPr>
          <w:rFonts w:cs="David" w:hint="cs"/>
          <w:sz w:val="24"/>
          <w:szCs w:val="24"/>
          <w:rtl/>
        </w:rPr>
        <w:t>שלו</w:t>
      </w:r>
      <w:r w:rsidR="006A64D9" w:rsidRPr="006A64D9">
        <w:rPr>
          <w:rFonts w:cs="David"/>
          <w:sz w:val="24"/>
          <w:szCs w:val="24"/>
          <w:rtl/>
        </w:rPr>
        <w:t xml:space="preserve">, </w:t>
      </w:r>
      <w:r w:rsidR="006A64D9" w:rsidRPr="006A64D9">
        <w:rPr>
          <w:rFonts w:cs="David" w:hint="cs"/>
          <w:sz w:val="24"/>
          <w:szCs w:val="24"/>
          <w:rtl/>
        </w:rPr>
        <w:t>בלא</w:t>
      </w:r>
      <w:r w:rsidR="006A64D9" w:rsidRPr="006A64D9">
        <w:rPr>
          <w:rFonts w:cs="David"/>
          <w:sz w:val="24"/>
          <w:szCs w:val="24"/>
          <w:rtl/>
        </w:rPr>
        <w:t xml:space="preserve"> </w:t>
      </w:r>
      <w:r w:rsidR="006A64D9" w:rsidRPr="006A64D9">
        <w:rPr>
          <w:rFonts w:cs="David" w:hint="cs"/>
          <w:sz w:val="24"/>
          <w:szCs w:val="24"/>
          <w:rtl/>
        </w:rPr>
        <w:t>מעורבות</w:t>
      </w:r>
      <w:r w:rsidR="006A64D9" w:rsidRPr="006A64D9">
        <w:rPr>
          <w:rFonts w:cs="David"/>
          <w:sz w:val="24"/>
          <w:szCs w:val="24"/>
          <w:rtl/>
        </w:rPr>
        <w:t xml:space="preserve"> </w:t>
      </w:r>
      <w:r w:rsidR="006A64D9" w:rsidRPr="006A64D9">
        <w:rPr>
          <w:rFonts w:cs="David" w:hint="cs"/>
          <w:sz w:val="24"/>
          <w:szCs w:val="24"/>
          <w:rtl/>
        </w:rPr>
        <w:t>של</w:t>
      </w:r>
      <w:r w:rsidR="006A64D9" w:rsidRPr="006A64D9">
        <w:rPr>
          <w:rFonts w:cs="David"/>
          <w:sz w:val="24"/>
          <w:szCs w:val="24"/>
          <w:rtl/>
        </w:rPr>
        <w:t xml:space="preserve"> </w:t>
      </w:r>
      <w:r w:rsidR="006A64D9" w:rsidRPr="006A64D9">
        <w:rPr>
          <w:rFonts w:cs="David" w:hint="cs"/>
          <w:sz w:val="24"/>
          <w:szCs w:val="24"/>
          <w:rtl/>
        </w:rPr>
        <w:t>הזולת</w:t>
      </w:r>
      <w:r w:rsidR="006A64D9">
        <w:rPr>
          <w:rFonts w:cs="David" w:hint="cs"/>
          <w:sz w:val="24"/>
          <w:szCs w:val="24"/>
          <w:rtl/>
        </w:rPr>
        <w:t xml:space="preserve">" </w:t>
      </w:r>
      <w:r w:rsidR="006A64D9" w:rsidRPr="006A64D9">
        <w:rPr>
          <w:rFonts w:cs="David" w:hint="cs"/>
          <w:sz w:val="24"/>
          <w:szCs w:val="24"/>
          <w:rtl/>
        </w:rPr>
        <w:t>(בג</w:t>
      </w:r>
      <w:r w:rsidR="006A64D9" w:rsidRPr="006A64D9">
        <w:rPr>
          <w:rFonts w:cs="David"/>
          <w:sz w:val="24"/>
          <w:szCs w:val="24"/>
          <w:rtl/>
        </w:rPr>
        <w:t>"</w:t>
      </w:r>
      <w:r w:rsidR="006A64D9" w:rsidRPr="006A64D9">
        <w:rPr>
          <w:rFonts w:cs="David" w:hint="cs"/>
          <w:sz w:val="24"/>
          <w:szCs w:val="24"/>
          <w:rtl/>
        </w:rPr>
        <w:t>ץ</w:t>
      </w:r>
      <w:r w:rsidR="006A64D9" w:rsidRPr="006A64D9">
        <w:rPr>
          <w:rFonts w:cs="David"/>
          <w:sz w:val="24"/>
          <w:szCs w:val="24"/>
          <w:rtl/>
        </w:rPr>
        <w:t xml:space="preserve"> 2481/93 </w:t>
      </w:r>
      <w:r w:rsidR="006A64D9" w:rsidRPr="006A64D9">
        <w:rPr>
          <w:rFonts w:cs="David" w:hint="cs"/>
          <w:b/>
          <w:bCs/>
          <w:sz w:val="24"/>
          <w:szCs w:val="24"/>
          <w:rtl/>
        </w:rPr>
        <w:t>דיין</w:t>
      </w:r>
      <w:r w:rsidR="006A64D9" w:rsidRPr="006A64D9">
        <w:rPr>
          <w:rFonts w:cs="David"/>
          <w:b/>
          <w:bCs/>
          <w:sz w:val="24"/>
          <w:szCs w:val="24"/>
          <w:rtl/>
        </w:rPr>
        <w:t xml:space="preserve"> </w:t>
      </w:r>
      <w:r w:rsidR="006A64D9" w:rsidRPr="006A64D9">
        <w:rPr>
          <w:rFonts w:cs="David" w:hint="cs"/>
          <w:b/>
          <w:bCs/>
          <w:sz w:val="24"/>
          <w:szCs w:val="24"/>
          <w:rtl/>
        </w:rPr>
        <w:t>נ</w:t>
      </w:r>
      <w:r w:rsidR="006A64D9" w:rsidRPr="006A64D9">
        <w:rPr>
          <w:rFonts w:cs="David"/>
          <w:b/>
          <w:bCs/>
          <w:sz w:val="24"/>
          <w:szCs w:val="24"/>
          <w:rtl/>
        </w:rPr>
        <w:t xml:space="preserve">' </w:t>
      </w:r>
      <w:r w:rsidR="006A64D9" w:rsidRPr="006A64D9">
        <w:rPr>
          <w:rFonts w:cs="David" w:hint="cs"/>
          <w:b/>
          <w:bCs/>
          <w:sz w:val="24"/>
          <w:szCs w:val="24"/>
          <w:rtl/>
        </w:rPr>
        <w:t>ניצב</w:t>
      </w:r>
      <w:r w:rsidR="006A64D9" w:rsidRPr="006A64D9">
        <w:rPr>
          <w:rFonts w:cs="David"/>
          <w:b/>
          <w:bCs/>
          <w:sz w:val="24"/>
          <w:szCs w:val="24"/>
          <w:rtl/>
        </w:rPr>
        <w:t xml:space="preserve"> </w:t>
      </w:r>
      <w:r w:rsidR="006A64D9" w:rsidRPr="006A64D9">
        <w:rPr>
          <w:rFonts w:cs="David" w:hint="cs"/>
          <w:b/>
          <w:bCs/>
          <w:sz w:val="24"/>
          <w:szCs w:val="24"/>
          <w:rtl/>
        </w:rPr>
        <w:t>יהודה</w:t>
      </w:r>
      <w:r w:rsidR="006A64D9" w:rsidRPr="006A64D9">
        <w:rPr>
          <w:rFonts w:cs="David"/>
          <w:b/>
          <w:bCs/>
          <w:sz w:val="24"/>
          <w:szCs w:val="24"/>
          <w:rtl/>
        </w:rPr>
        <w:t xml:space="preserve"> </w:t>
      </w:r>
      <w:r w:rsidR="006A64D9" w:rsidRPr="006A64D9">
        <w:rPr>
          <w:rFonts w:cs="David" w:hint="cs"/>
          <w:b/>
          <w:bCs/>
          <w:sz w:val="24"/>
          <w:szCs w:val="24"/>
          <w:rtl/>
        </w:rPr>
        <w:t>וילק</w:t>
      </w:r>
      <w:r w:rsidR="006A64D9" w:rsidRPr="006A64D9">
        <w:rPr>
          <w:rFonts w:cs="David" w:hint="cs"/>
          <w:sz w:val="24"/>
          <w:szCs w:val="24"/>
          <w:rtl/>
        </w:rPr>
        <w:t>, פ</w:t>
      </w:r>
      <w:r w:rsidR="006A64D9" w:rsidRPr="006A64D9">
        <w:rPr>
          <w:rFonts w:cs="David"/>
          <w:sz w:val="24"/>
          <w:szCs w:val="24"/>
          <w:rtl/>
        </w:rPr>
        <w:t>"</w:t>
      </w:r>
      <w:r w:rsidR="006A64D9" w:rsidRPr="006A64D9">
        <w:rPr>
          <w:rFonts w:cs="David" w:hint="cs"/>
          <w:sz w:val="24"/>
          <w:szCs w:val="24"/>
          <w:rtl/>
        </w:rPr>
        <w:t>ד</w:t>
      </w:r>
      <w:r w:rsidR="006A64D9" w:rsidRPr="006A64D9">
        <w:rPr>
          <w:rFonts w:cs="David"/>
          <w:sz w:val="24"/>
          <w:szCs w:val="24"/>
          <w:rtl/>
        </w:rPr>
        <w:t xml:space="preserve"> </w:t>
      </w:r>
      <w:r w:rsidR="006A64D9" w:rsidRPr="006A64D9">
        <w:rPr>
          <w:rFonts w:cs="David" w:hint="cs"/>
          <w:sz w:val="24"/>
          <w:szCs w:val="24"/>
          <w:rtl/>
        </w:rPr>
        <w:t>מח</w:t>
      </w:r>
      <w:r w:rsidR="006A64D9" w:rsidRPr="006A64D9">
        <w:rPr>
          <w:rFonts w:cs="David"/>
          <w:sz w:val="24"/>
          <w:szCs w:val="24"/>
          <w:rtl/>
        </w:rPr>
        <w:t>(2) 456, 469-470</w:t>
      </w:r>
      <w:r w:rsidR="006A64D9" w:rsidRPr="006A64D9">
        <w:rPr>
          <w:rFonts w:cs="David" w:hint="cs"/>
          <w:sz w:val="24"/>
          <w:szCs w:val="24"/>
          <w:rtl/>
        </w:rPr>
        <w:t xml:space="preserve"> (1994))</w:t>
      </w:r>
      <w:r w:rsidR="007A23A8">
        <w:rPr>
          <w:rFonts w:cs="David" w:hint="cs"/>
          <w:sz w:val="24"/>
          <w:szCs w:val="24"/>
          <w:rtl/>
        </w:rPr>
        <w:t>;</w:t>
      </w:r>
      <w:r w:rsidR="006A64D9">
        <w:rPr>
          <w:rFonts w:cs="David" w:hint="cs"/>
          <w:sz w:val="24"/>
          <w:szCs w:val="24"/>
          <w:rtl/>
        </w:rPr>
        <w:t xml:space="preserve"> </w:t>
      </w:r>
      <w:r w:rsidR="007A23A8">
        <w:rPr>
          <w:rFonts w:cs="David" w:hint="cs"/>
          <w:sz w:val="24"/>
          <w:szCs w:val="24"/>
          <w:rtl/>
        </w:rPr>
        <w:t xml:space="preserve">ממנה נובעת זכותו של אדם שלא להיות מוטרד בצנעת חייו על ידי אחרים (ע"א 1211/96 </w:t>
      </w:r>
      <w:r w:rsidR="007A23A8" w:rsidRPr="007A23A8">
        <w:rPr>
          <w:rFonts w:cs="David" w:hint="cs"/>
          <w:b/>
          <w:bCs/>
          <w:sz w:val="24"/>
          <w:szCs w:val="24"/>
          <w:rtl/>
        </w:rPr>
        <w:t xml:space="preserve">כהן נ' נשיונל </w:t>
      </w:r>
      <w:proofErr w:type="spellStart"/>
      <w:r w:rsidR="007A23A8" w:rsidRPr="007A23A8">
        <w:rPr>
          <w:rFonts w:cs="David" w:hint="cs"/>
          <w:b/>
          <w:bCs/>
          <w:sz w:val="24"/>
          <w:szCs w:val="24"/>
          <w:rtl/>
        </w:rPr>
        <w:t>קונסלטנטס</w:t>
      </w:r>
      <w:proofErr w:type="spellEnd"/>
      <w:r w:rsidR="007A23A8">
        <w:rPr>
          <w:rFonts w:cs="David" w:hint="cs"/>
          <w:sz w:val="24"/>
          <w:szCs w:val="24"/>
          <w:rtl/>
        </w:rPr>
        <w:t xml:space="preserve">, פ"ד נב(1) 481, 500 (1998)). תכליתה להגן על זהותו של אדם ולשמר מתחם של הגנה מסביב לגופו, </w:t>
      </w:r>
      <w:r w:rsidR="00D21986">
        <w:rPr>
          <w:rFonts w:cs="David" w:hint="cs"/>
          <w:sz w:val="24"/>
          <w:szCs w:val="24"/>
          <w:rtl/>
        </w:rPr>
        <w:t>ל</w:t>
      </w:r>
      <w:r w:rsidR="007A23A8">
        <w:rPr>
          <w:rFonts w:cs="David" w:hint="cs"/>
          <w:sz w:val="24"/>
          <w:szCs w:val="24"/>
          <w:rtl/>
        </w:rPr>
        <w:t>אורח חייו ו</w:t>
      </w:r>
      <w:r w:rsidR="00D21986">
        <w:rPr>
          <w:rFonts w:cs="David" w:hint="cs"/>
          <w:sz w:val="24"/>
          <w:szCs w:val="24"/>
          <w:rtl/>
        </w:rPr>
        <w:t>ל</w:t>
      </w:r>
      <w:r w:rsidR="007A23A8">
        <w:rPr>
          <w:rFonts w:cs="David" w:hint="cs"/>
          <w:sz w:val="24"/>
          <w:szCs w:val="24"/>
          <w:rtl/>
        </w:rPr>
        <w:t xml:space="preserve">מעשיו האינטימיים (תהילה שוורץ </w:t>
      </w:r>
      <w:proofErr w:type="spellStart"/>
      <w:r w:rsidR="007A23A8">
        <w:rPr>
          <w:rFonts w:cs="David" w:hint="cs"/>
          <w:sz w:val="24"/>
          <w:szCs w:val="24"/>
          <w:rtl/>
        </w:rPr>
        <w:t>אלטשולר</w:t>
      </w:r>
      <w:proofErr w:type="spellEnd"/>
      <w:r w:rsidR="007A23A8">
        <w:rPr>
          <w:rFonts w:cs="David" w:hint="cs"/>
          <w:sz w:val="24"/>
          <w:szCs w:val="24"/>
          <w:rtl/>
        </w:rPr>
        <w:t xml:space="preserve"> </w:t>
      </w:r>
      <w:r w:rsidR="007A23A8" w:rsidRPr="007A23A8">
        <w:rPr>
          <w:rFonts w:cs="David" w:hint="cs"/>
          <w:b/>
          <w:bCs/>
          <w:sz w:val="24"/>
          <w:szCs w:val="24"/>
          <w:rtl/>
        </w:rPr>
        <w:t>פרטיות בעידן של שינוי</w:t>
      </w:r>
      <w:r w:rsidR="007A23A8">
        <w:rPr>
          <w:rFonts w:cs="David" w:hint="cs"/>
          <w:sz w:val="24"/>
          <w:szCs w:val="24"/>
          <w:rtl/>
        </w:rPr>
        <w:t xml:space="preserve"> 11 (המכון הישראלי לדמוקרטיה, 2012)). </w:t>
      </w:r>
      <w:r w:rsidR="000275FC">
        <w:rPr>
          <w:rFonts w:cs="David" w:hint="cs"/>
          <w:sz w:val="24"/>
          <w:szCs w:val="24"/>
          <w:rtl/>
        </w:rPr>
        <w:t xml:space="preserve">במעשי הצילום </w:t>
      </w:r>
      <w:r w:rsidR="00D21986">
        <w:rPr>
          <w:rFonts w:cs="David" w:hint="cs"/>
          <w:sz w:val="24"/>
          <w:szCs w:val="24"/>
          <w:rtl/>
        </w:rPr>
        <w:t>פגע הנאשם</w:t>
      </w:r>
      <w:r w:rsidRPr="007A23A8">
        <w:rPr>
          <w:rFonts w:cs="David" w:hint="cs"/>
          <w:sz w:val="24"/>
          <w:szCs w:val="24"/>
          <w:rtl/>
        </w:rPr>
        <w:t xml:space="preserve"> בכבודן</w:t>
      </w:r>
      <w:r w:rsidR="00D21986">
        <w:rPr>
          <w:rFonts w:cs="David" w:hint="cs"/>
          <w:sz w:val="24"/>
          <w:szCs w:val="24"/>
          <w:rtl/>
        </w:rPr>
        <w:t xml:space="preserve"> של נפגעות העברה</w:t>
      </w:r>
      <w:r w:rsidRPr="007A23A8">
        <w:rPr>
          <w:rFonts w:cs="David" w:hint="cs"/>
          <w:sz w:val="24"/>
          <w:szCs w:val="24"/>
          <w:rtl/>
        </w:rPr>
        <w:t>, בפרטיות</w:t>
      </w:r>
      <w:r w:rsidR="00B76AD2">
        <w:rPr>
          <w:rFonts w:cs="David" w:hint="cs"/>
          <w:sz w:val="24"/>
          <w:szCs w:val="24"/>
          <w:rtl/>
        </w:rPr>
        <w:t xml:space="preserve">ן, באוטונומיה </w:t>
      </w:r>
      <w:r w:rsidR="00D21986">
        <w:rPr>
          <w:rFonts w:cs="David" w:hint="cs"/>
          <w:sz w:val="24"/>
          <w:szCs w:val="24"/>
          <w:rtl/>
        </w:rPr>
        <w:t>שלהן על גופן ועל צנעתן ובתחושת הביטחון האישי שלהן</w:t>
      </w:r>
      <w:r w:rsidRPr="007A23A8">
        <w:rPr>
          <w:rFonts w:cs="David" w:hint="cs"/>
          <w:sz w:val="24"/>
          <w:szCs w:val="24"/>
          <w:rtl/>
        </w:rPr>
        <w:t>.</w:t>
      </w:r>
      <w:r w:rsidR="003F1CC4">
        <w:rPr>
          <w:rFonts w:cs="David" w:hint="cs"/>
          <w:sz w:val="24"/>
          <w:szCs w:val="24"/>
          <w:rtl/>
        </w:rPr>
        <w:t xml:space="preserve"> היבט חומרה מיוחד נעוץ בשיתוף הסרטונים עם אחרים</w:t>
      </w:r>
      <w:r w:rsidR="000275FC">
        <w:rPr>
          <w:rFonts w:cs="David" w:hint="cs"/>
          <w:sz w:val="24"/>
          <w:szCs w:val="24"/>
          <w:rtl/>
        </w:rPr>
        <w:t>.</w:t>
      </w:r>
      <w:r w:rsidR="003F1CC4">
        <w:rPr>
          <w:rFonts w:cs="David" w:hint="cs"/>
          <w:sz w:val="24"/>
          <w:szCs w:val="24"/>
          <w:rtl/>
        </w:rPr>
        <w:t xml:space="preserve"> </w:t>
      </w:r>
      <w:r w:rsidR="000275FC">
        <w:rPr>
          <w:rFonts w:cs="David" w:hint="cs"/>
          <w:sz w:val="24"/>
          <w:szCs w:val="24"/>
          <w:rtl/>
        </w:rPr>
        <w:t xml:space="preserve">בשיתוף זה יש </w:t>
      </w:r>
      <w:r w:rsidR="003F1CC4">
        <w:rPr>
          <w:rFonts w:cs="David" w:hint="cs"/>
          <w:sz w:val="24"/>
          <w:szCs w:val="24"/>
          <w:rtl/>
        </w:rPr>
        <w:t xml:space="preserve">כדי להעמיק </w:t>
      </w:r>
      <w:r w:rsidR="000275FC">
        <w:rPr>
          <w:rFonts w:cs="David" w:hint="cs"/>
          <w:sz w:val="24"/>
          <w:szCs w:val="24"/>
          <w:rtl/>
        </w:rPr>
        <w:t xml:space="preserve">את הביזוי האנושי של המצולם, את שלילת האוטונומיה שלו ואת השליטה בגופו (ע"פ 5090/18 </w:t>
      </w:r>
      <w:r w:rsidR="000275FC" w:rsidRPr="000275FC">
        <w:rPr>
          <w:rFonts w:cs="David" w:hint="cs"/>
          <w:b/>
          <w:bCs/>
          <w:sz w:val="24"/>
          <w:szCs w:val="24"/>
          <w:rtl/>
        </w:rPr>
        <w:t>מדינת ישראל נ' פלוני</w:t>
      </w:r>
      <w:r w:rsidR="000275FC">
        <w:rPr>
          <w:rFonts w:cs="David" w:hint="cs"/>
          <w:sz w:val="24"/>
          <w:szCs w:val="24"/>
          <w:rtl/>
        </w:rPr>
        <w:t xml:space="preserve">, בפס' 10 (טרם פורסם, 18.11.2018)). </w:t>
      </w:r>
    </w:p>
    <w:p w14:paraId="574C4257" w14:textId="1F5EDB31" w:rsidR="00B76AD2" w:rsidRDefault="002B4CDA" w:rsidP="00B76AD2">
      <w:pPr>
        <w:autoSpaceDE w:val="0"/>
        <w:autoSpaceDN w:val="0"/>
        <w:spacing w:after="0" w:line="360" w:lineRule="auto"/>
        <w:ind w:left="360"/>
        <w:jc w:val="both"/>
        <w:rPr>
          <w:rFonts w:cs="David"/>
          <w:sz w:val="24"/>
          <w:szCs w:val="24"/>
          <w:rtl/>
        </w:rPr>
      </w:pPr>
      <w:r w:rsidRPr="002C093D">
        <w:rPr>
          <w:rFonts w:cs="David" w:hint="cs"/>
          <w:sz w:val="24"/>
          <w:szCs w:val="24"/>
          <w:rtl/>
        </w:rPr>
        <w:t>מעשי תיעוד</w:t>
      </w:r>
      <w:r w:rsidR="00D21986" w:rsidRPr="002C093D">
        <w:rPr>
          <w:rFonts w:cs="David" w:hint="cs"/>
          <w:sz w:val="24"/>
          <w:szCs w:val="24"/>
          <w:rtl/>
        </w:rPr>
        <w:t xml:space="preserve"> אדם ברשות היחיד </w:t>
      </w:r>
      <w:r w:rsidRPr="002C093D">
        <w:rPr>
          <w:rFonts w:cs="David" w:hint="cs"/>
          <w:sz w:val="24"/>
          <w:szCs w:val="24"/>
          <w:rtl/>
        </w:rPr>
        <w:t>במערומיו</w:t>
      </w:r>
      <w:r w:rsidR="000275FC">
        <w:rPr>
          <w:rFonts w:cs="David" w:hint="cs"/>
          <w:sz w:val="24"/>
          <w:szCs w:val="24"/>
          <w:rtl/>
        </w:rPr>
        <w:t>,</w:t>
      </w:r>
      <w:r w:rsidRPr="002C093D">
        <w:rPr>
          <w:rFonts w:cs="David" w:hint="cs"/>
          <w:sz w:val="24"/>
          <w:szCs w:val="24"/>
          <w:rtl/>
        </w:rPr>
        <w:t xml:space="preserve"> </w:t>
      </w:r>
      <w:r w:rsidR="00D21986" w:rsidRPr="002C093D">
        <w:rPr>
          <w:rFonts w:cs="David" w:hint="cs"/>
          <w:sz w:val="24"/>
          <w:szCs w:val="24"/>
          <w:rtl/>
        </w:rPr>
        <w:t>בלא ידיעתו</w:t>
      </w:r>
      <w:r w:rsidR="000275FC">
        <w:rPr>
          <w:rFonts w:cs="David" w:hint="cs"/>
          <w:sz w:val="24"/>
          <w:szCs w:val="24"/>
          <w:rtl/>
        </w:rPr>
        <w:t>,</w:t>
      </w:r>
      <w:r w:rsidRPr="002C093D">
        <w:rPr>
          <w:rFonts w:cs="David" w:hint="cs"/>
          <w:sz w:val="24"/>
          <w:szCs w:val="24"/>
          <w:rtl/>
        </w:rPr>
        <w:t xml:space="preserve"> </w:t>
      </w:r>
      <w:r w:rsidR="00D21986" w:rsidRPr="002C093D">
        <w:rPr>
          <w:rFonts w:cs="David" w:hint="cs"/>
          <w:sz w:val="24"/>
          <w:szCs w:val="24"/>
          <w:rtl/>
        </w:rPr>
        <w:t>ושיתוף ממצאי התיעוד</w:t>
      </w:r>
      <w:r w:rsidR="00D21986">
        <w:rPr>
          <w:rFonts w:cs="David" w:hint="cs"/>
          <w:sz w:val="24"/>
          <w:szCs w:val="24"/>
          <w:rtl/>
        </w:rPr>
        <w:t xml:space="preserve"> עם אחרים, </w:t>
      </w:r>
      <w:r>
        <w:rPr>
          <w:rFonts w:cs="David" w:hint="cs"/>
          <w:sz w:val="24"/>
          <w:szCs w:val="24"/>
          <w:rtl/>
        </w:rPr>
        <w:t xml:space="preserve">מערערים את המרקם החברתי </w:t>
      </w:r>
      <w:r w:rsidR="000275FC">
        <w:rPr>
          <w:rFonts w:cs="David" w:hint="cs"/>
          <w:sz w:val="24"/>
          <w:szCs w:val="24"/>
          <w:rtl/>
        </w:rPr>
        <w:t xml:space="preserve">הכללי </w:t>
      </w:r>
      <w:r>
        <w:rPr>
          <w:rFonts w:cs="David" w:hint="cs"/>
          <w:sz w:val="24"/>
          <w:szCs w:val="24"/>
          <w:rtl/>
        </w:rPr>
        <w:t>וא</w:t>
      </w:r>
      <w:r w:rsidR="000275FC">
        <w:rPr>
          <w:rFonts w:cs="David" w:hint="cs"/>
          <w:sz w:val="24"/>
          <w:szCs w:val="24"/>
          <w:rtl/>
        </w:rPr>
        <w:t>ת ההתייחסות אל כל אדם, ללא שיוך מגדרי, בכבוד</w:t>
      </w:r>
      <w:r>
        <w:rPr>
          <w:rFonts w:cs="David" w:hint="cs"/>
          <w:sz w:val="24"/>
          <w:szCs w:val="24"/>
          <w:rtl/>
        </w:rPr>
        <w:t xml:space="preserve">. </w:t>
      </w:r>
      <w:r w:rsidR="00B76AD2">
        <w:rPr>
          <w:rFonts w:cs="David" w:hint="cs"/>
          <w:sz w:val="24"/>
          <w:szCs w:val="24"/>
          <w:rtl/>
        </w:rPr>
        <w:t xml:space="preserve">הטיב לשקף פגיעה </w:t>
      </w:r>
      <w:r w:rsidR="00B76AD2" w:rsidRPr="00B76AD2">
        <w:rPr>
          <w:rFonts w:cs="David" w:hint="cs"/>
          <w:b/>
          <w:bCs/>
          <w:sz w:val="24"/>
          <w:szCs w:val="24"/>
          <w:rtl/>
        </w:rPr>
        <w:t>חברתית</w:t>
      </w:r>
      <w:r w:rsidR="00B76AD2">
        <w:rPr>
          <w:rFonts w:cs="David" w:hint="cs"/>
          <w:sz w:val="24"/>
          <w:szCs w:val="24"/>
          <w:rtl/>
        </w:rPr>
        <w:t xml:space="preserve"> קשה זו, סמ"ר אור, אותו חייל שחשד בכך שהנאשם צילם חיילות במקלחות ותיאר את הקושי והכאב שהסב לו הדבר (ראו פס' 26.4 בהכרעת הדין). </w:t>
      </w:r>
    </w:p>
    <w:p w14:paraId="2399E085" w14:textId="77777777" w:rsidR="002B4CDA" w:rsidRDefault="000275FC" w:rsidP="00B76AD2">
      <w:pPr>
        <w:autoSpaceDE w:val="0"/>
        <w:autoSpaceDN w:val="0"/>
        <w:spacing w:after="0" w:line="360" w:lineRule="auto"/>
        <w:ind w:left="360"/>
        <w:jc w:val="both"/>
        <w:rPr>
          <w:rFonts w:cs="David"/>
          <w:sz w:val="24"/>
          <w:szCs w:val="24"/>
          <w:rtl/>
        </w:rPr>
      </w:pPr>
      <w:r>
        <w:rPr>
          <w:rFonts w:cs="David" w:hint="cs"/>
          <w:sz w:val="24"/>
          <w:szCs w:val="24"/>
          <w:rtl/>
        </w:rPr>
        <w:t xml:space="preserve">שעה שנעשים מעשי הצילום כלפי נשים </w:t>
      </w:r>
      <w:r w:rsidR="002B4CDA">
        <w:rPr>
          <w:rFonts w:cs="David" w:hint="cs"/>
          <w:sz w:val="24"/>
          <w:szCs w:val="24"/>
          <w:rtl/>
        </w:rPr>
        <w:t xml:space="preserve">הם פוגעים בערך </w:t>
      </w:r>
      <w:r w:rsidR="002B4CDA" w:rsidRPr="002C093D">
        <w:rPr>
          <w:rFonts w:cs="David" w:hint="cs"/>
          <w:b/>
          <w:bCs/>
          <w:sz w:val="24"/>
          <w:szCs w:val="24"/>
          <w:rtl/>
        </w:rPr>
        <w:t>השוויון</w:t>
      </w:r>
      <w:r w:rsidR="002B4CDA">
        <w:rPr>
          <w:rFonts w:cs="David" w:hint="cs"/>
          <w:sz w:val="24"/>
          <w:szCs w:val="24"/>
          <w:rtl/>
        </w:rPr>
        <w:t xml:space="preserve">. מעשים אלה מבטאים התייחסות אל המצולמות כאל </w:t>
      </w:r>
      <w:r w:rsidR="002B4CDA" w:rsidRPr="002C093D">
        <w:rPr>
          <w:rFonts w:cs="David" w:hint="cs"/>
          <w:b/>
          <w:bCs/>
          <w:sz w:val="24"/>
          <w:szCs w:val="24"/>
          <w:rtl/>
        </w:rPr>
        <w:t xml:space="preserve">אובייקט או חפץ </w:t>
      </w:r>
      <w:r w:rsidR="002B4CDA" w:rsidRPr="002B39A8">
        <w:rPr>
          <w:rFonts w:cs="David" w:hint="cs"/>
          <w:sz w:val="24"/>
          <w:szCs w:val="24"/>
          <w:rtl/>
        </w:rPr>
        <w:t>לסיפוק</w:t>
      </w:r>
      <w:r w:rsidR="002B39A8">
        <w:rPr>
          <w:rFonts w:cs="David" w:hint="cs"/>
          <w:sz w:val="24"/>
          <w:szCs w:val="24"/>
          <w:rtl/>
        </w:rPr>
        <w:t xml:space="preserve"> צרכיו האישיים </w:t>
      </w:r>
      <w:r>
        <w:rPr>
          <w:rFonts w:cs="David" w:hint="cs"/>
          <w:sz w:val="24"/>
          <w:szCs w:val="24"/>
          <w:rtl/>
        </w:rPr>
        <w:t xml:space="preserve">של המצלם </w:t>
      </w:r>
      <w:r w:rsidR="002B39A8">
        <w:rPr>
          <w:rFonts w:cs="David" w:hint="cs"/>
          <w:sz w:val="24"/>
          <w:szCs w:val="24"/>
          <w:rtl/>
        </w:rPr>
        <w:t>חלף ההקפדה בכבודן</w:t>
      </w:r>
      <w:r w:rsidR="00B76AD2">
        <w:rPr>
          <w:rFonts w:cs="David" w:hint="cs"/>
          <w:sz w:val="24"/>
          <w:szCs w:val="24"/>
          <w:rtl/>
        </w:rPr>
        <w:t xml:space="preserve"> ובכיבוד זכויותיהן</w:t>
      </w:r>
      <w:r w:rsidR="002B39A8">
        <w:rPr>
          <w:rFonts w:cs="David" w:hint="cs"/>
          <w:sz w:val="24"/>
          <w:szCs w:val="24"/>
          <w:rtl/>
        </w:rPr>
        <w:t xml:space="preserve">. </w:t>
      </w:r>
      <w:r w:rsidR="002B4CDA" w:rsidRPr="002B39A8">
        <w:rPr>
          <w:rFonts w:cs="David" w:hint="cs"/>
          <w:sz w:val="24"/>
          <w:szCs w:val="24"/>
          <w:rtl/>
        </w:rPr>
        <w:t xml:space="preserve"> </w:t>
      </w:r>
    </w:p>
    <w:p w14:paraId="61470AC8" w14:textId="77777777" w:rsidR="000C7E60" w:rsidRDefault="002B4CDA" w:rsidP="00B76AD2">
      <w:pPr>
        <w:autoSpaceDE w:val="0"/>
        <w:autoSpaceDN w:val="0"/>
        <w:spacing w:after="0" w:line="360" w:lineRule="auto"/>
        <w:ind w:left="360"/>
        <w:jc w:val="both"/>
        <w:rPr>
          <w:rFonts w:cs="David"/>
          <w:sz w:val="24"/>
          <w:szCs w:val="24"/>
          <w:rtl/>
        </w:rPr>
      </w:pPr>
      <w:r>
        <w:rPr>
          <w:rFonts w:cs="David" w:hint="cs"/>
          <w:sz w:val="24"/>
          <w:szCs w:val="24"/>
          <w:rtl/>
        </w:rPr>
        <w:t xml:space="preserve">ההקשר </w:t>
      </w:r>
      <w:r w:rsidRPr="002C093D">
        <w:rPr>
          <w:rFonts w:cs="David" w:hint="cs"/>
          <w:b/>
          <w:bCs/>
          <w:sz w:val="24"/>
          <w:szCs w:val="24"/>
          <w:rtl/>
        </w:rPr>
        <w:t>הצבאי הייחודי</w:t>
      </w:r>
      <w:r>
        <w:rPr>
          <w:rFonts w:cs="David" w:hint="cs"/>
          <w:sz w:val="24"/>
          <w:szCs w:val="24"/>
          <w:rtl/>
        </w:rPr>
        <w:t>, מוסיף אף הוא בנסיבות העניי</w:t>
      </w:r>
      <w:r w:rsidR="002C093D">
        <w:rPr>
          <w:rFonts w:cs="David" w:hint="cs"/>
          <w:sz w:val="24"/>
          <w:szCs w:val="24"/>
          <w:rtl/>
        </w:rPr>
        <w:t xml:space="preserve">ן נופך של </w:t>
      </w:r>
      <w:r w:rsidR="002C093D" w:rsidRPr="002C093D">
        <w:rPr>
          <w:rFonts w:cs="David" w:hint="cs"/>
          <w:b/>
          <w:bCs/>
          <w:sz w:val="24"/>
          <w:szCs w:val="24"/>
          <w:rtl/>
        </w:rPr>
        <w:t>חומרה</w:t>
      </w:r>
      <w:r w:rsidR="002C093D">
        <w:rPr>
          <w:rFonts w:cs="David" w:hint="cs"/>
          <w:sz w:val="24"/>
          <w:szCs w:val="24"/>
          <w:rtl/>
        </w:rPr>
        <w:t xml:space="preserve"> לדברים (למשקלם של </w:t>
      </w:r>
      <w:r>
        <w:rPr>
          <w:rFonts w:cs="David" w:hint="cs"/>
          <w:sz w:val="24"/>
          <w:szCs w:val="24"/>
          <w:rtl/>
        </w:rPr>
        <w:t xml:space="preserve"> </w:t>
      </w:r>
      <w:r w:rsidR="002C093D" w:rsidRPr="002C093D">
        <w:rPr>
          <w:rFonts w:cs="David" w:hint="cs"/>
          <w:sz w:val="24"/>
          <w:szCs w:val="24"/>
          <w:rtl/>
        </w:rPr>
        <w:t>מאפייני</w:t>
      </w:r>
      <w:r w:rsidR="002C093D" w:rsidRPr="002C093D">
        <w:rPr>
          <w:rFonts w:cs="David"/>
          <w:sz w:val="24"/>
          <w:szCs w:val="24"/>
          <w:rtl/>
        </w:rPr>
        <w:t xml:space="preserve"> </w:t>
      </w:r>
      <w:r w:rsidR="002C093D" w:rsidRPr="002C093D">
        <w:rPr>
          <w:rFonts w:cs="David" w:hint="cs"/>
          <w:sz w:val="24"/>
          <w:szCs w:val="24"/>
          <w:rtl/>
        </w:rPr>
        <w:t>המסגרת</w:t>
      </w:r>
      <w:r w:rsidR="002C093D" w:rsidRPr="002C093D">
        <w:rPr>
          <w:rFonts w:cs="David"/>
          <w:sz w:val="24"/>
          <w:szCs w:val="24"/>
          <w:rtl/>
        </w:rPr>
        <w:t xml:space="preserve"> </w:t>
      </w:r>
      <w:r w:rsidR="002C093D" w:rsidRPr="002C093D">
        <w:rPr>
          <w:rFonts w:cs="David" w:hint="cs"/>
          <w:sz w:val="24"/>
          <w:szCs w:val="24"/>
          <w:rtl/>
        </w:rPr>
        <w:t>הצבאית</w:t>
      </w:r>
      <w:r w:rsidR="002C093D" w:rsidRPr="002C093D">
        <w:rPr>
          <w:rFonts w:cs="David"/>
          <w:sz w:val="24"/>
          <w:szCs w:val="24"/>
          <w:rtl/>
        </w:rPr>
        <w:t xml:space="preserve">, </w:t>
      </w:r>
      <w:r w:rsidR="002C093D" w:rsidRPr="002C093D">
        <w:rPr>
          <w:rFonts w:cs="David" w:hint="cs"/>
          <w:sz w:val="24"/>
          <w:szCs w:val="24"/>
          <w:rtl/>
        </w:rPr>
        <w:t>ייחודיותה</w:t>
      </w:r>
      <w:r w:rsidR="002C093D" w:rsidRPr="002C093D">
        <w:rPr>
          <w:rFonts w:cs="David"/>
          <w:sz w:val="24"/>
          <w:szCs w:val="24"/>
          <w:rtl/>
        </w:rPr>
        <w:t xml:space="preserve"> </w:t>
      </w:r>
      <w:r w:rsidR="002C093D" w:rsidRPr="002C093D">
        <w:rPr>
          <w:rFonts w:cs="David" w:hint="cs"/>
          <w:sz w:val="24"/>
          <w:szCs w:val="24"/>
          <w:rtl/>
        </w:rPr>
        <w:t>ודרישותיה</w:t>
      </w:r>
      <w:r w:rsidR="002C093D" w:rsidRPr="002C093D">
        <w:rPr>
          <w:rFonts w:cs="David"/>
          <w:sz w:val="24"/>
          <w:szCs w:val="24"/>
          <w:rtl/>
        </w:rPr>
        <w:t xml:space="preserve"> </w:t>
      </w:r>
      <w:r w:rsidR="002C093D" w:rsidRPr="002C093D">
        <w:rPr>
          <w:rFonts w:cs="David" w:hint="cs"/>
          <w:sz w:val="24"/>
          <w:szCs w:val="24"/>
          <w:rtl/>
        </w:rPr>
        <w:t>במלאכת</w:t>
      </w:r>
      <w:r w:rsidR="002C093D" w:rsidRPr="002C093D">
        <w:rPr>
          <w:rFonts w:cs="David"/>
          <w:sz w:val="24"/>
          <w:szCs w:val="24"/>
          <w:rtl/>
        </w:rPr>
        <w:t xml:space="preserve"> </w:t>
      </w:r>
      <w:r w:rsidR="002C093D" w:rsidRPr="002C093D">
        <w:rPr>
          <w:rFonts w:cs="David" w:hint="cs"/>
          <w:sz w:val="24"/>
          <w:szCs w:val="24"/>
          <w:rtl/>
        </w:rPr>
        <w:t>הענישה</w:t>
      </w:r>
      <w:r w:rsidR="00B76AD2">
        <w:rPr>
          <w:rFonts w:cs="David" w:hint="cs"/>
          <w:sz w:val="24"/>
          <w:szCs w:val="24"/>
          <w:rtl/>
        </w:rPr>
        <w:t>,</w:t>
      </w:r>
      <w:r w:rsidR="002C093D">
        <w:rPr>
          <w:rFonts w:cs="David" w:hint="cs"/>
          <w:sz w:val="24"/>
          <w:szCs w:val="24"/>
          <w:rtl/>
        </w:rPr>
        <w:t xml:space="preserve"> ראו </w:t>
      </w:r>
      <w:proofErr w:type="spellStart"/>
      <w:r w:rsidR="002C093D" w:rsidRPr="002C093D">
        <w:rPr>
          <w:rFonts w:cs="David" w:hint="cs"/>
          <w:sz w:val="24"/>
          <w:szCs w:val="24"/>
          <w:rtl/>
        </w:rPr>
        <w:t>רע</w:t>
      </w:r>
      <w:r w:rsidR="002C093D" w:rsidRPr="002C093D">
        <w:rPr>
          <w:rFonts w:cs="David"/>
          <w:sz w:val="24"/>
          <w:szCs w:val="24"/>
          <w:rtl/>
        </w:rPr>
        <w:t>"</w:t>
      </w:r>
      <w:r w:rsidR="002C093D" w:rsidRPr="002C093D">
        <w:rPr>
          <w:rFonts w:cs="David" w:hint="cs"/>
          <w:sz w:val="24"/>
          <w:szCs w:val="24"/>
          <w:rtl/>
        </w:rPr>
        <w:t>פ</w:t>
      </w:r>
      <w:proofErr w:type="spellEnd"/>
      <w:r w:rsidR="002C093D" w:rsidRPr="002C093D">
        <w:rPr>
          <w:rFonts w:cs="David"/>
          <w:sz w:val="24"/>
          <w:szCs w:val="24"/>
          <w:rtl/>
        </w:rPr>
        <w:t xml:space="preserve"> 391/17 </w:t>
      </w:r>
      <w:r w:rsidR="002C093D" w:rsidRPr="002C093D">
        <w:rPr>
          <w:rFonts w:cs="David" w:hint="cs"/>
          <w:b/>
          <w:bCs/>
          <w:sz w:val="24"/>
          <w:szCs w:val="24"/>
          <w:rtl/>
        </w:rPr>
        <w:t>פלוני</w:t>
      </w:r>
      <w:r w:rsidR="002C093D" w:rsidRPr="002C093D">
        <w:rPr>
          <w:rFonts w:cs="David"/>
          <w:b/>
          <w:bCs/>
          <w:sz w:val="24"/>
          <w:szCs w:val="24"/>
          <w:rtl/>
        </w:rPr>
        <w:t xml:space="preserve"> </w:t>
      </w:r>
      <w:r w:rsidR="002C093D" w:rsidRPr="002C093D">
        <w:rPr>
          <w:rFonts w:cs="David" w:hint="cs"/>
          <w:b/>
          <w:bCs/>
          <w:sz w:val="24"/>
          <w:szCs w:val="24"/>
          <w:rtl/>
        </w:rPr>
        <w:t>נ</w:t>
      </w:r>
      <w:r w:rsidR="002C093D" w:rsidRPr="002C093D">
        <w:rPr>
          <w:rFonts w:cs="David"/>
          <w:b/>
          <w:bCs/>
          <w:sz w:val="24"/>
          <w:szCs w:val="24"/>
          <w:rtl/>
        </w:rPr>
        <w:t xml:space="preserve">' </w:t>
      </w:r>
      <w:r w:rsidR="002C093D" w:rsidRPr="002C093D">
        <w:rPr>
          <w:rFonts w:cs="David" w:hint="cs"/>
          <w:b/>
          <w:bCs/>
          <w:sz w:val="24"/>
          <w:szCs w:val="24"/>
          <w:rtl/>
        </w:rPr>
        <w:t>התובעת</w:t>
      </w:r>
      <w:r w:rsidR="002C093D" w:rsidRPr="002C093D">
        <w:rPr>
          <w:rFonts w:cs="David"/>
          <w:b/>
          <w:bCs/>
          <w:sz w:val="24"/>
          <w:szCs w:val="24"/>
          <w:rtl/>
        </w:rPr>
        <w:t xml:space="preserve"> </w:t>
      </w:r>
      <w:r w:rsidR="002C093D" w:rsidRPr="002C093D">
        <w:rPr>
          <w:rFonts w:cs="David" w:hint="cs"/>
          <w:b/>
          <w:bCs/>
          <w:sz w:val="24"/>
          <w:szCs w:val="24"/>
          <w:rtl/>
        </w:rPr>
        <w:t>הצבאית</w:t>
      </w:r>
      <w:r w:rsidR="002C093D" w:rsidRPr="002C093D">
        <w:rPr>
          <w:rFonts w:cs="David"/>
          <w:b/>
          <w:bCs/>
          <w:sz w:val="24"/>
          <w:szCs w:val="24"/>
          <w:rtl/>
        </w:rPr>
        <w:t xml:space="preserve"> </w:t>
      </w:r>
      <w:r w:rsidR="002C093D" w:rsidRPr="002C093D">
        <w:rPr>
          <w:rFonts w:cs="David" w:hint="cs"/>
          <w:b/>
          <w:bCs/>
          <w:sz w:val="24"/>
          <w:szCs w:val="24"/>
          <w:rtl/>
        </w:rPr>
        <w:t>הראשית</w:t>
      </w:r>
      <w:r w:rsidR="002C093D">
        <w:rPr>
          <w:rFonts w:cs="David" w:hint="cs"/>
          <w:sz w:val="24"/>
          <w:szCs w:val="24"/>
          <w:rtl/>
        </w:rPr>
        <w:t xml:space="preserve">, בפס' 12 (טרם פורסם, 15.1.2017)). </w:t>
      </w:r>
      <w:r>
        <w:rPr>
          <w:rFonts w:cs="David" w:hint="cs"/>
          <w:sz w:val="24"/>
          <w:szCs w:val="24"/>
          <w:rtl/>
        </w:rPr>
        <w:t xml:space="preserve">חיילי וחיילות צה"ל נמצאים במסגרת הצבאית מכוח </w:t>
      </w:r>
      <w:r w:rsidRPr="002C093D">
        <w:rPr>
          <w:rFonts w:cs="David" w:hint="cs"/>
          <w:b/>
          <w:bCs/>
          <w:sz w:val="24"/>
          <w:szCs w:val="24"/>
          <w:rtl/>
        </w:rPr>
        <w:t>חובת השירות</w:t>
      </w:r>
      <w:r>
        <w:rPr>
          <w:rFonts w:cs="David" w:hint="cs"/>
          <w:sz w:val="24"/>
          <w:szCs w:val="24"/>
          <w:rtl/>
        </w:rPr>
        <w:t xml:space="preserve"> על פי חוק. </w:t>
      </w:r>
      <w:r w:rsidR="002C093D">
        <w:rPr>
          <w:rFonts w:cs="David" w:hint="cs"/>
          <w:sz w:val="24"/>
          <w:szCs w:val="24"/>
          <w:rtl/>
        </w:rPr>
        <w:t xml:space="preserve">מעשי הנאשם עומדים בניגוד מוחלט לכללי השילוב ראוי בצה"ל. הביזוי וההשפלה הנובעים ממעשיו </w:t>
      </w:r>
      <w:r w:rsidR="00B76AD2">
        <w:rPr>
          <w:rFonts w:cs="David" w:hint="cs"/>
          <w:sz w:val="24"/>
          <w:szCs w:val="24"/>
          <w:rtl/>
        </w:rPr>
        <w:t xml:space="preserve">של הנאשם </w:t>
      </w:r>
      <w:r w:rsidR="002C093D">
        <w:rPr>
          <w:rFonts w:cs="David" w:hint="cs"/>
          <w:sz w:val="24"/>
          <w:szCs w:val="24"/>
          <w:rtl/>
        </w:rPr>
        <w:t>ביחס ל</w:t>
      </w:r>
      <w:r w:rsidR="008A0089">
        <w:rPr>
          <w:rFonts w:cs="David" w:hint="cs"/>
          <w:sz w:val="24"/>
          <w:szCs w:val="24"/>
          <w:rtl/>
        </w:rPr>
        <w:t>חיילות ה</w:t>
      </w:r>
      <w:r w:rsidR="002C093D">
        <w:rPr>
          <w:rFonts w:cs="David" w:hint="cs"/>
          <w:sz w:val="24"/>
          <w:szCs w:val="24"/>
          <w:rtl/>
        </w:rPr>
        <w:t>מצ</w:t>
      </w:r>
      <w:r w:rsidR="008A0089">
        <w:rPr>
          <w:rFonts w:cs="David" w:hint="cs"/>
          <w:sz w:val="24"/>
          <w:szCs w:val="24"/>
          <w:rtl/>
        </w:rPr>
        <w:t>ו</w:t>
      </w:r>
      <w:r w:rsidR="002C093D">
        <w:rPr>
          <w:rFonts w:cs="David" w:hint="cs"/>
          <w:sz w:val="24"/>
          <w:szCs w:val="24"/>
          <w:rtl/>
        </w:rPr>
        <w:t xml:space="preserve">למות </w:t>
      </w:r>
      <w:r w:rsidR="008A0089">
        <w:rPr>
          <w:rFonts w:cs="David" w:hint="cs"/>
          <w:sz w:val="24"/>
          <w:szCs w:val="24"/>
          <w:rtl/>
        </w:rPr>
        <w:t>מערערים</w:t>
      </w:r>
      <w:r w:rsidR="002C093D">
        <w:rPr>
          <w:rFonts w:cs="David" w:hint="cs"/>
          <w:sz w:val="24"/>
          <w:szCs w:val="24"/>
          <w:rtl/>
        </w:rPr>
        <w:t xml:space="preserve"> את יחסי האמון, ה</w:t>
      </w:r>
      <w:r>
        <w:rPr>
          <w:rFonts w:cs="David" w:hint="cs"/>
          <w:sz w:val="24"/>
          <w:szCs w:val="24"/>
          <w:rtl/>
        </w:rPr>
        <w:t xml:space="preserve">אחווה </w:t>
      </w:r>
      <w:r w:rsidR="002C093D">
        <w:rPr>
          <w:rFonts w:cs="David" w:hint="cs"/>
          <w:sz w:val="24"/>
          <w:szCs w:val="24"/>
          <w:rtl/>
        </w:rPr>
        <w:t>וה</w:t>
      </w:r>
      <w:r>
        <w:rPr>
          <w:rFonts w:cs="David" w:hint="cs"/>
          <w:sz w:val="24"/>
          <w:szCs w:val="24"/>
          <w:rtl/>
        </w:rPr>
        <w:t>רעות</w:t>
      </w:r>
      <w:r w:rsidR="002C093D">
        <w:rPr>
          <w:rFonts w:cs="David" w:hint="cs"/>
          <w:sz w:val="24"/>
          <w:szCs w:val="24"/>
          <w:rtl/>
        </w:rPr>
        <w:t xml:space="preserve"> שראוי שישררו בין החיילות והחיילים המשרתים כתף אל כתף ביחידות הצבאיות (ראו ע/ 55/06 </w:t>
      </w:r>
      <w:r w:rsidR="002C093D" w:rsidRPr="002C093D">
        <w:rPr>
          <w:rFonts w:cs="David" w:hint="cs"/>
          <w:b/>
          <w:bCs/>
          <w:sz w:val="24"/>
          <w:szCs w:val="24"/>
          <w:rtl/>
        </w:rPr>
        <w:t>התובע הצבאי הראשי נ' טור' גבאי</w:t>
      </w:r>
      <w:r w:rsidR="002C093D">
        <w:rPr>
          <w:rFonts w:cs="David" w:hint="cs"/>
          <w:sz w:val="24"/>
          <w:szCs w:val="24"/>
          <w:rtl/>
        </w:rPr>
        <w:t>, בפס' 7 (2006)). המעשים פוגעים גם ב</w:t>
      </w:r>
      <w:r>
        <w:rPr>
          <w:rFonts w:cs="David" w:hint="cs"/>
          <w:sz w:val="24"/>
          <w:szCs w:val="24"/>
          <w:rtl/>
        </w:rPr>
        <w:t>משמעת</w:t>
      </w:r>
      <w:r w:rsidR="002C093D">
        <w:rPr>
          <w:rFonts w:cs="David" w:hint="cs"/>
          <w:sz w:val="24"/>
          <w:szCs w:val="24"/>
          <w:rtl/>
        </w:rPr>
        <w:t xml:space="preserve"> ובסדר הצבאיים</w:t>
      </w:r>
      <w:r w:rsidR="000C7E60">
        <w:rPr>
          <w:rFonts w:cs="David" w:hint="cs"/>
          <w:sz w:val="24"/>
          <w:szCs w:val="24"/>
          <w:rtl/>
        </w:rPr>
        <w:t>, ה</w:t>
      </w:r>
      <w:r w:rsidR="000275FC">
        <w:rPr>
          <w:rFonts w:cs="David" w:hint="cs"/>
          <w:sz w:val="24"/>
          <w:szCs w:val="24"/>
          <w:rtl/>
        </w:rPr>
        <w:t>ם</w:t>
      </w:r>
      <w:r w:rsidR="000C7E60">
        <w:rPr>
          <w:rFonts w:cs="David" w:hint="cs"/>
          <w:sz w:val="24"/>
          <w:szCs w:val="24"/>
          <w:rtl/>
        </w:rPr>
        <w:t xml:space="preserve"> פוגעים בתדמית השירות הצבאי,</w:t>
      </w:r>
      <w:r w:rsidR="002C093D">
        <w:rPr>
          <w:rFonts w:cs="David" w:hint="cs"/>
          <w:sz w:val="24"/>
          <w:szCs w:val="24"/>
          <w:rtl/>
        </w:rPr>
        <w:t xml:space="preserve"> </w:t>
      </w:r>
      <w:r w:rsidR="00B76AD2">
        <w:rPr>
          <w:rFonts w:cs="David" w:hint="cs"/>
          <w:sz w:val="24"/>
          <w:szCs w:val="24"/>
          <w:rtl/>
        </w:rPr>
        <w:t xml:space="preserve">הם פוגעים באמון משפחות החיילים והציבור במסגרת הצבאית, </w:t>
      </w:r>
      <w:r w:rsidR="002C093D">
        <w:rPr>
          <w:rFonts w:cs="David" w:hint="cs"/>
          <w:sz w:val="24"/>
          <w:szCs w:val="24"/>
          <w:rtl/>
        </w:rPr>
        <w:t xml:space="preserve">ובכוחם לערער ולפגוע בתפקוד חיילי </w:t>
      </w:r>
      <w:r w:rsidR="000275FC">
        <w:rPr>
          <w:rFonts w:cs="David" w:hint="cs"/>
          <w:sz w:val="24"/>
          <w:szCs w:val="24"/>
          <w:rtl/>
        </w:rPr>
        <w:t>וחיילות צה"ל</w:t>
      </w:r>
      <w:r>
        <w:rPr>
          <w:rFonts w:cs="David" w:hint="cs"/>
          <w:sz w:val="24"/>
          <w:szCs w:val="24"/>
          <w:rtl/>
        </w:rPr>
        <w:t xml:space="preserve">. </w:t>
      </w:r>
    </w:p>
    <w:p w14:paraId="7D758AE5" w14:textId="77777777" w:rsidR="006248E8" w:rsidRPr="003F1CC4" w:rsidRDefault="000C7E60" w:rsidP="003F1CC4">
      <w:pPr>
        <w:numPr>
          <w:ilvl w:val="0"/>
          <w:numId w:val="9"/>
        </w:numPr>
        <w:tabs>
          <w:tab w:val="num" w:pos="386"/>
        </w:tabs>
        <w:autoSpaceDE w:val="0"/>
        <w:autoSpaceDN w:val="0"/>
        <w:spacing w:after="0" w:line="360" w:lineRule="auto"/>
        <w:ind w:left="360"/>
        <w:jc w:val="both"/>
        <w:rPr>
          <w:rFonts w:cs="David"/>
          <w:sz w:val="24"/>
          <w:szCs w:val="24"/>
        </w:rPr>
      </w:pPr>
      <w:r w:rsidRPr="000C7E60">
        <w:rPr>
          <w:rFonts w:cs="David" w:hint="cs"/>
          <w:sz w:val="24"/>
          <w:szCs w:val="24"/>
          <w:rtl/>
        </w:rPr>
        <w:t>מעגלי פגיעה אלה הן בערכים אינדיווידואליים הנוגעים לזכויות נפגעי העברה הן בערכים חברתיים וצבאיים כלליים, הביאה לאימוצה</w:t>
      </w:r>
      <w:r>
        <w:rPr>
          <w:rFonts w:cs="David" w:hint="cs"/>
          <w:sz w:val="24"/>
          <w:szCs w:val="24"/>
          <w:rtl/>
        </w:rPr>
        <w:t xml:space="preserve"> של מדיניות ענישה מכבידה הכוללת הטלת חודשי מאסר לריצוי בפועל בכליאה ממשית</w:t>
      </w:r>
      <w:r w:rsidR="0092205D">
        <w:rPr>
          <w:rFonts w:cs="David" w:hint="cs"/>
          <w:sz w:val="24"/>
          <w:szCs w:val="24"/>
          <w:rtl/>
        </w:rPr>
        <w:t xml:space="preserve">. </w:t>
      </w:r>
      <w:r w:rsidR="00DA2FFA">
        <w:rPr>
          <w:rFonts w:cs="David" w:hint="cs"/>
          <w:sz w:val="24"/>
          <w:szCs w:val="24"/>
          <w:rtl/>
        </w:rPr>
        <w:t xml:space="preserve">בעניין </w:t>
      </w:r>
      <w:r w:rsidR="00DA2FFA" w:rsidRPr="00DA2FFA">
        <w:rPr>
          <w:rFonts w:cs="David" w:hint="cs"/>
          <w:b/>
          <w:bCs/>
          <w:sz w:val="24"/>
          <w:szCs w:val="24"/>
          <w:rtl/>
        </w:rPr>
        <w:t>שרון</w:t>
      </w:r>
      <w:r w:rsidR="00DA2FFA">
        <w:rPr>
          <w:rFonts w:cs="David" w:hint="cs"/>
          <w:sz w:val="24"/>
          <w:szCs w:val="24"/>
          <w:rtl/>
        </w:rPr>
        <w:t xml:space="preserve">, קצין בדרגת סגן, הורשע על פי </w:t>
      </w:r>
      <w:r w:rsidR="00DA2FFA" w:rsidRPr="00B76AD2">
        <w:rPr>
          <w:rFonts w:cs="David" w:hint="cs"/>
          <w:b/>
          <w:bCs/>
          <w:sz w:val="24"/>
          <w:szCs w:val="24"/>
          <w:rtl/>
        </w:rPr>
        <w:t>הודאתו</w:t>
      </w:r>
      <w:r w:rsidR="00DA2FFA">
        <w:rPr>
          <w:rFonts w:cs="David" w:hint="cs"/>
          <w:sz w:val="24"/>
          <w:szCs w:val="24"/>
          <w:rtl/>
        </w:rPr>
        <w:t xml:space="preserve"> במעשי צילום </w:t>
      </w:r>
      <w:r w:rsidR="000275FC">
        <w:rPr>
          <w:rFonts w:cs="David" w:hint="cs"/>
          <w:sz w:val="24"/>
          <w:szCs w:val="24"/>
          <w:rtl/>
        </w:rPr>
        <w:t xml:space="preserve">רבים של </w:t>
      </w:r>
      <w:r w:rsidR="00DA2FFA">
        <w:rPr>
          <w:rFonts w:cs="David" w:hint="cs"/>
          <w:sz w:val="24"/>
          <w:szCs w:val="24"/>
          <w:rtl/>
        </w:rPr>
        <w:t>חיילות במקלחות ובחדרי מגוריהן באמצעות מכשיר הטלפון הנייד שלו (נו</w:t>
      </w:r>
      <w:r w:rsidR="00B76AD2">
        <w:rPr>
          <w:rFonts w:cs="David" w:hint="cs"/>
          <w:sz w:val="24"/>
          <w:szCs w:val="24"/>
          <w:rtl/>
        </w:rPr>
        <w:t>ּ</w:t>
      </w:r>
      <w:r w:rsidR="00DA2FFA">
        <w:rPr>
          <w:rFonts w:cs="David" w:hint="cs"/>
          <w:sz w:val="24"/>
          <w:szCs w:val="24"/>
          <w:rtl/>
        </w:rPr>
        <w:t>ה</w:t>
      </w:r>
      <w:r w:rsidR="00B76AD2">
        <w:rPr>
          <w:rFonts w:cs="David" w:hint="cs"/>
          <w:sz w:val="24"/>
          <w:szCs w:val="24"/>
          <w:rtl/>
        </w:rPr>
        <w:t>ַ</w:t>
      </w:r>
      <w:r w:rsidR="00DA2FFA">
        <w:rPr>
          <w:rFonts w:cs="David" w:hint="cs"/>
          <w:sz w:val="24"/>
          <w:szCs w:val="24"/>
          <w:rtl/>
        </w:rPr>
        <w:t>ל הליך</w:t>
      </w:r>
      <w:r w:rsidR="00DA2FFA" w:rsidRPr="00DA2FFA">
        <w:rPr>
          <w:rFonts w:cs="David" w:hint="cs"/>
          <w:sz w:val="24"/>
          <w:szCs w:val="24"/>
          <w:rtl/>
        </w:rPr>
        <w:t xml:space="preserve"> </w:t>
      </w:r>
      <w:r w:rsidR="00DA2FFA">
        <w:rPr>
          <w:rFonts w:cs="David" w:hint="cs"/>
          <w:sz w:val="24"/>
          <w:szCs w:val="24"/>
          <w:rtl/>
        </w:rPr>
        <w:t xml:space="preserve">שמיקודו בשאלה המשפטית בלבד האם מגלמים המעשים עברה של מעשה מגונה). סגן שרון חדל ממעשיו מיוזמתו ואת הסרטונים לא שיתף עם אחרים. נקבע מתחם ענישה של 7-4 חודשי מאסר והוטלו עליו ארבעה חודשי מאסר וחצי לריצוי בפועל (ע/40/17 </w:t>
      </w:r>
      <w:r w:rsidR="00DA2FFA" w:rsidRPr="00DA2FFA">
        <w:rPr>
          <w:rFonts w:cs="David" w:hint="cs"/>
          <w:b/>
          <w:bCs/>
          <w:sz w:val="24"/>
          <w:szCs w:val="24"/>
          <w:rtl/>
        </w:rPr>
        <w:t>סגן שרון נ' התובע הצבאי הראשי</w:t>
      </w:r>
      <w:r w:rsidR="00DA2FFA">
        <w:rPr>
          <w:rFonts w:cs="David" w:hint="cs"/>
          <w:sz w:val="24"/>
          <w:szCs w:val="24"/>
          <w:rtl/>
        </w:rPr>
        <w:t xml:space="preserve"> (2017)). </w:t>
      </w:r>
      <w:r w:rsidR="006248E8" w:rsidRPr="006248E8">
        <w:rPr>
          <w:rFonts w:cs="David" w:hint="cs"/>
          <w:sz w:val="24"/>
          <w:szCs w:val="24"/>
          <w:rtl/>
        </w:rPr>
        <w:t xml:space="preserve">בעניין </w:t>
      </w:r>
      <w:proofErr w:type="spellStart"/>
      <w:r w:rsidR="006248E8" w:rsidRPr="006248E8">
        <w:rPr>
          <w:rFonts w:cs="David" w:hint="cs"/>
          <w:b/>
          <w:bCs/>
          <w:sz w:val="24"/>
          <w:szCs w:val="24"/>
          <w:rtl/>
        </w:rPr>
        <w:t>סולימני</w:t>
      </w:r>
      <w:proofErr w:type="spellEnd"/>
      <w:r w:rsidR="006248E8" w:rsidRPr="006248E8">
        <w:rPr>
          <w:rFonts w:cs="David" w:hint="cs"/>
          <w:sz w:val="24"/>
          <w:szCs w:val="24"/>
          <w:rtl/>
        </w:rPr>
        <w:t xml:space="preserve"> </w:t>
      </w:r>
      <w:r w:rsidR="006248E8">
        <w:rPr>
          <w:rFonts w:cs="David" w:hint="cs"/>
          <w:sz w:val="24"/>
          <w:szCs w:val="24"/>
          <w:rtl/>
        </w:rPr>
        <w:t xml:space="preserve">התקבל ערעור התביעה הצבאית </w:t>
      </w:r>
      <w:r w:rsidR="006248E8" w:rsidRPr="006248E8">
        <w:rPr>
          <w:rFonts w:cs="David" w:hint="cs"/>
          <w:b/>
          <w:bCs/>
          <w:sz w:val="24"/>
          <w:szCs w:val="24"/>
          <w:rtl/>
        </w:rPr>
        <w:t>והוחמר</w:t>
      </w:r>
      <w:r w:rsidR="006248E8">
        <w:rPr>
          <w:rFonts w:cs="David" w:hint="cs"/>
          <w:sz w:val="24"/>
          <w:szCs w:val="24"/>
          <w:rtl/>
        </w:rPr>
        <w:t xml:space="preserve"> עונשו של</w:t>
      </w:r>
      <w:r w:rsidR="006248E8" w:rsidRPr="006248E8">
        <w:rPr>
          <w:rFonts w:cs="David" w:hint="cs"/>
          <w:sz w:val="24"/>
          <w:szCs w:val="24"/>
          <w:rtl/>
        </w:rPr>
        <w:t xml:space="preserve"> חייל בדרגת </w:t>
      </w:r>
      <w:r w:rsidR="006248E8" w:rsidRPr="006248E8">
        <w:rPr>
          <w:rFonts w:cs="David" w:hint="cs"/>
          <w:b/>
          <w:bCs/>
          <w:sz w:val="24"/>
          <w:szCs w:val="24"/>
          <w:rtl/>
        </w:rPr>
        <w:t>סמל</w:t>
      </w:r>
      <w:r w:rsidR="006248E8">
        <w:rPr>
          <w:rFonts w:cs="David" w:hint="cs"/>
          <w:sz w:val="24"/>
          <w:szCs w:val="24"/>
          <w:rtl/>
        </w:rPr>
        <w:t xml:space="preserve">, שהורשע על סמך </w:t>
      </w:r>
      <w:r w:rsidR="006248E8" w:rsidRPr="006248E8">
        <w:rPr>
          <w:rFonts w:cs="David" w:hint="cs"/>
          <w:b/>
          <w:bCs/>
          <w:sz w:val="24"/>
          <w:szCs w:val="24"/>
          <w:rtl/>
        </w:rPr>
        <w:t>הודאתו</w:t>
      </w:r>
      <w:r w:rsidR="006248E8">
        <w:rPr>
          <w:rFonts w:cs="David" w:hint="cs"/>
          <w:sz w:val="24"/>
          <w:szCs w:val="24"/>
          <w:rtl/>
        </w:rPr>
        <w:t xml:space="preserve">, </w:t>
      </w:r>
      <w:r w:rsidR="006248E8" w:rsidRPr="006248E8">
        <w:rPr>
          <w:rFonts w:cs="David" w:hint="cs"/>
          <w:sz w:val="24"/>
          <w:szCs w:val="24"/>
          <w:rtl/>
        </w:rPr>
        <w:t>בחמש עברות של מעשים מגונים בגין צילום שבע חיילות באמצעות הטלפון הנייד שלו, בעת ששהו בחדרי מגוריהן כשהן בעירום מלא או חלקי</w:t>
      </w:r>
      <w:r w:rsidR="006248E8">
        <w:rPr>
          <w:rFonts w:cs="David" w:hint="cs"/>
          <w:sz w:val="24"/>
          <w:szCs w:val="24"/>
          <w:rtl/>
        </w:rPr>
        <w:t>.</w:t>
      </w:r>
      <w:r w:rsidR="006248E8" w:rsidRPr="006248E8">
        <w:rPr>
          <w:rFonts w:cs="David" w:hint="cs"/>
          <w:sz w:val="24"/>
          <w:szCs w:val="24"/>
          <w:rtl/>
        </w:rPr>
        <w:t xml:space="preserve"> </w:t>
      </w:r>
      <w:r w:rsidR="009A4E40">
        <w:rPr>
          <w:rFonts w:cs="David" w:hint="cs"/>
          <w:sz w:val="24"/>
          <w:szCs w:val="24"/>
          <w:rtl/>
        </w:rPr>
        <w:t xml:space="preserve">באותו ענין לא שותפו הסרטונים בפועל עם אחרים. </w:t>
      </w:r>
      <w:r w:rsidR="006248E8" w:rsidRPr="006248E8">
        <w:rPr>
          <w:rFonts w:cs="David" w:hint="cs"/>
          <w:sz w:val="24"/>
          <w:szCs w:val="24"/>
          <w:rtl/>
        </w:rPr>
        <w:t>הו</w:t>
      </w:r>
      <w:r w:rsidR="009A4E40">
        <w:rPr>
          <w:rFonts w:cs="David" w:hint="cs"/>
          <w:sz w:val="24"/>
          <w:szCs w:val="24"/>
          <w:rtl/>
        </w:rPr>
        <w:t>טלו</w:t>
      </w:r>
      <w:r w:rsidR="006248E8" w:rsidRPr="006248E8">
        <w:rPr>
          <w:rFonts w:cs="David" w:hint="cs"/>
          <w:sz w:val="24"/>
          <w:szCs w:val="24"/>
          <w:rtl/>
        </w:rPr>
        <w:t xml:space="preserve"> עליו, בלא </w:t>
      </w:r>
      <w:r w:rsidR="009A4E40">
        <w:rPr>
          <w:rFonts w:cs="David" w:hint="cs"/>
          <w:sz w:val="24"/>
          <w:szCs w:val="24"/>
          <w:rtl/>
        </w:rPr>
        <w:t>מיצוי</w:t>
      </w:r>
      <w:r w:rsidR="006248E8" w:rsidRPr="006248E8">
        <w:rPr>
          <w:rFonts w:cs="David" w:hint="cs"/>
          <w:sz w:val="24"/>
          <w:szCs w:val="24"/>
          <w:rtl/>
        </w:rPr>
        <w:t xml:space="preserve"> מלוא חומרת </w:t>
      </w:r>
      <w:r w:rsidR="006248E8" w:rsidRPr="006248E8">
        <w:rPr>
          <w:rFonts w:cs="David" w:hint="cs"/>
          <w:sz w:val="24"/>
          <w:szCs w:val="24"/>
          <w:rtl/>
        </w:rPr>
        <w:lastRenderedPageBreak/>
        <w:t xml:space="preserve">הדין (כמקובל </w:t>
      </w:r>
      <w:r w:rsidR="006248E8">
        <w:rPr>
          <w:rFonts w:cs="David" w:hint="cs"/>
          <w:sz w:val="24"/>
          <w:szCs w:val="24"/>
          <w:rtl/>
        </w:rPr>
        <w:t>בקבלת ערעור תביעה בביה"ד לערעורים</w:t>
      </w:r>
      <w:r w:rsidR="006248E8" w:rsidRPr="006248E8">
        <w:rPr>
          <w:rFonts w:cs="David" w:hint="cs"/>
          <w:sz w:val="24"/>
          <w:szCs w:val="24"/>
          <w:rtl/>
        </w:rPr>
        <w:t xml:space="preserve">) שלושה חודשי מאסר לריצוי בפועל, כך ששני חודשים מתוכו ירוצו בכליאה ממשית והיתרה </w:t>
      </w:r>
      <w:r w:rsidR="006248E8">
        <w:rPr>
          <w:rFonts w:cs="David" w:hint="cs"/>
          <w:sz w:val="24"/>
          <w:szCs w:val="24"/>
          <w:rtl/>
        </w:rPr>
        <w:t>ב</w:t>
      </w:r>
      <w:r w:rsidR="006248E8" w:rsidRPr="006248E8">
        <w:rPr>
          <w:rFonts w:cs="David" w:hint="cs"/>
          <w:sz w:val="24"/>
          <w:szCs w:val="24"/>
          <w:rtl/>
        </w:rPr>
        <w:t xml:space="preserve">עבודה צבאית (ע/6/17 </w:t>
      </w:r>
      <w:r w:rsidR="006248E8" w:rsidRPr="006248E8">
        <w:rPr>
          <w:rFonts w:cs="David" w:hint="cs"/>
          <w:b/>
          <w:bCs/>
          <w:sz w:val="24"/>
          <w:szCs w:val="24"/>
          <w:rtl/>
        </w:rPr>
        <w:t xml:space="preserve">התובע הצבאי הראשי נ' סמל </w:t>
      </w:r>
      <w:proofErr w:type="spellStart"/>
      <w:r w:rsidR="006248E8" w:rsidRPr="006248E8">
        <w:rPr>
          <w:rFonts w:cs="David" w:hint="cs"/>
          <w:b/>
          <w:bCs/>
          <w:sz w:val="24"/>
          <w:szCs w:val="24"/>
          <w:rtl/>
        </w:rPr>
        <w:t>סולימאני</w:t>
      </w:r>
      <w:proofErr w:type="spellEnd"/>
      <w:r w:rsidR="006248E8" w:rsidRPr="006248E8">
        <w:rPr>
          <w:rFonts w:cs="David" w:hint="cs"/>
          <w:sz w:val="24"/>
          <w:szCs w:val="24"/>
          <w:rtl/>
        </w:rPr>
        <w:t xml:space="preserve"> (2017)); בעניין </w:t>
      </w:r>
      <w:r w:rsidR="006248E8" w:rsidRPr="009A4E40">
        <w:rPr>
          <w:rFonts w:cs="David" w:hint="cs"/>
          <w:b/>
          <w:bCs/>
          <w:sz w:val="24"/>
          <w:szCs w:val="24"/>
          <w:rtl/>
        </w:rPr>
        <w:t>מולה</w:t>
      </w:r>
      <w:r w:rsidR="006248E8" w:rsidRPr="006248E8">
        <w:rPr>
          <w:rFonts w:cs="David" w:hint="cs"/>
          <w:sz w:val="24"/>
          <w:szCs w:val="24"/>
          <w:rtl/>
        </w:rPr>
        <w:t xml:space="preserve"> </w:t>
      </w:r>
      <w:r w:rsidR="009A4E40">
        <w:rPr>
          <w:rFonts w:cs="David" w:hint="cs"/>
          <w:sz w:val="24"/>
          <w:szCs w:val="24"/>
          <w:rtl/>
        </w:rPr>
        <w:t xml:space="preserve">הורשע </w:t>
      </w:r>
      <w:r w:rsidR="006248E8" w:rsidRPr="006248E8">
        <w:rPr>
          <w:rFonts w:cs="David" w:hint="cs"/>
          <w:sz w:val="24"/>
          <w:szCs w:val="24"/>
          <w:rtl/>
        </w:rPr>
        <w:t xml:space="preserve">חייל בדרגת סמל במעשה בודד של צילום חיילת באמצעות מכשיר הטלפון הנייד שלו בעת שהתקלחה, נקבע כי מתחם העונש ההולם הוא 45 ימי מאסר בעבודה צבאית עד שלושה חודשי מאסר לריצוי בפועל בכליאה ממשית, ונגזרו עליו 45 ימי מאסר לריצוי בפועל. על מעורב נוסף בפרשה שצילם שתי חיילות בעת שהתקלחו והפיץ את הסרטון הוטלו </w:t>
      </w:r>
      <w:r w:rsidR="006248E8" w:rsidRPr="009A4E40">
        <w:rPr>
          <w:rFonts w:cs="David" w:hint="cs"/>
          <w:b/>
          <w:bCs/>
          <w:sz w:val="24"/>
          <w:szCs w:val="24"/>
          <w:rtl/>
        </w:rPr>
        <w:t>במסגרת הסדר טיעון</w:t>
      </w:r>
      <w:r w:rsidR="006248E8" w:rsidRPr="006248E8">
        <w:rPr>
          <w:rFonts w:cs="David" w:hint="cs"/>
          <w:sz w:val="24"/>
          <w:szCs w:val="24"/>
          <w:rtl/>
        </w:rPr>
        <w:t xml:space="preserve"> חמישה חודשי מאסר לריצוי בפועל (ע/37/15 </w:t>
      </w:r>
      <w:r w:rsidR="006248E8" w:rsidRPr="009A4E40">
        <w:rPr>
          <w:rFonts w:cs="David" w:hint="cs"/>
          <w:b/>
          <w:bCs/>
          <w:sz w:val="24"/>
          <w:szCs w:val="24"/>
          <w:rtl/>
        </w:rPr>
        <w:t>סמל מולה נ' התובע הצבאי הראשי</w:t>
      </w:r>
      <w:r w:rsidR="006248E8" w:rsidRPr="006248E8">
        <w:rPr>
          <w:rFonts w:cs="David" w:hint="cs"/>
          <w:sz w:val="24"/>
          <w:szCs w:val="24"/>
          <w:rtl/>
        </w:rPr>
        <w:t xml:space="preserve"> (2015)); </w:t>
      </w:r>
      <w:r w:rsidR="00642022">
        <w:rPr>
          <w:rFonts w:cs="David" w:hint="cs"/>
          <w:sz w:val="24"/>
          <w:szCs w:val="24"/>
          <w:rtl/>
        </w:rPr>
        <w:t xml:space="preserve">על </w:t>
      </w:r>
      <w:r w:rsidR="006248E8" w:rsidRPr="006248E8">
        <w:rPr>
          <w:rFonts w:cs="David" w:hint="cs"/>
          <w:sz w:val="24"/>
          <w:szCs w:val="24"/>
          <w:rtl/>
        </w:rPr>
        <w:t>קצין צה"ל ש</w:t>
      </w:r>
      <w:r w:rsidR="00642022">
        <w:rPr>
          <w:rFonts w:cs="David" w:hint="cs"/>
          <w:sz w:val="24"/>
          <w:szCs w:val="24"/>
          <w:rtl/>
        </w:rPr>
        <w:t xml:space="preserve">בין היתר </w:t>
      </w:r>
      <w:r w:rsidR="006248E8" w:rsidRPr="006248E8">
        <w:rPr>
          <w:rFonts w:cs="David" w:hint="cs"/>
          <w:sz w:val="24"/>
          <w:szCs w:val="24"/>
          <w:rtl/>
        </w:rPr>
        <w:t xml:space="preserve">צילם נשים בתאי מדידה, </w:t>
      </w:r>
      <w:r w:rsidR="00642022">
        <w:rPr>
          <w:rFonts w:cs="David" w:hint="cs"/>
          <w:sz w:val="24"/>
          <w:szCs w:val="24"/>
          <w:rtl/>
        </w:rPr>
        <w:t xml:space="preserve">הוטלו </w:t>
      </w:r>
      <w:r w:rsidR="00642022" w:rsidRPr="006248E8">
        <w:rPr>
          <w:rFonts w:cs="David" w:hint="cs"/>
          <w:sz w:val="24"/>
          <w:szCs w:val="24"/>
          <w:rtl/>
        </w:rPr>
        <w:t>מספר חודשי</w:t>
      </w:r>
      <w:r w:rsidR="00642022">
        <w:rPr>
          <w:rFonts w:cs="David" w:hint="cs"/>
          <w:sz w:val="24"/>
          <w:szCs w:val="24"/>
          <w:rtl/>
        </w:rPr>
        <w:t xml:space="preserve"> מאסר</w:t>
      </w:r>
      <w:r w:rsidR="00642022" w:rsidRPr="006248E8">
        <w:rPr>
          <w:rFonts w:cs="David" w:hint="cs"/>
          <w:sz w:val="24"/>
          <w:szCs w:val="24"/>
          <w:rtl/>
        </w:rPr>
        <w:t xml:space="preserve"> בכליאה ממשית </w:t>
      </w:r>
      <w:r w:rsidR="00642022">
        <w:rPr>
          <w:rFonts w:cs="David" w:hint="cs"/>
          <w:sz w:val="24"/>
          <w:szCs w:val="24"/>
          <w:rtl/>
        </w:rPr>
        <w:t>(</w:t>
      </w:r>
      <w:r w:rsidR="006248E8" w:rsidRPr="006248E8">
        <w:rPr>
          <w:rFonts w:cs="David" w:hint="cs"/>
          <w:sz w:val="24"/>
          <w:szCs w:val="24"/>
          <w:rtl/>
        </w:rPr>
        <w:t xml:space="preserve">ת"פ (ת"א) 5183-11-12  </w:t>
      </w:r>
      <w:r w:rsidR="006248E8" w:rsidRPr="003F1CC4">
        <w:rPr>
          <w:rFonts w:cs="David" w:hint="cs"/>
          <w:b/>
          <w:bCs/>
          <w:sz w:val="24"/>
          <w:szCs w:val="24"/>
          <w:rtl/>
        </w:rPr>
        <w:t>מדינת ישראל נ' בן ארצי</w:t>
      </w:r>
      <w:r w:rsidR="006248E8" w:rsidRPr="006248E8">
        <w:rPr>
          <w:rFonts w:cs="David" w:hint="cs"/>
          <w:sz w:val="24"/>
          <w:szCs w:val="24"/>
          <w:rtl/>
        </w:rPr>
        <w:t xml:space="preserve"> (טרם פורסם, 17.5.2016)</w:t>
      </w:r>
      <w:r w:rsidR="00642022">
        <w:rPr>
          <w:rFonts w:cs="David" w:hint="cs"/>
          <w:sz w:val="24"/>
          <w:szCs w:val="24"/>
          <w:rtl/>
        </w:rPr>
        <w:t>)</w:t>
      </w:r>
      <w:r w:rsidR="006248E8" w:rsidRPr="006248E8">
        <w:rPr>
          <w:rFonts w:cs="David" w:hint="cs"/>
          <w:sz w:val="24"/>
          <w:szCs w:val="24"/>
          <w:rtl/>
        </w:rPr>
        <w:t>.</w:t>
      </w:r>
    </w:p>
    <w:p w14:paraId="215E7724" w14:textId="77777777" w:rsidR="00007D79" w:rsidRDefault="00ED2992" w:rsidP="00B76AD2">
      <w:pPr>
        <w:numPr>
          <w:ilvl w:val="0"/>
          <w:numId w:val="9"/>
        </w:numPr>
        <w:tabs>
          <w:tab w:val="num" w:pos="386"/>
        </w:tabs>
        <w:autoSpaceDE w:val="0"/>
        <w:autoSpaceDN w:val="0"/>
        <w:spacing w:after="0" w:line="360" w:lineRule="auto"/>
        <w:ind w:left="360"/>
        <w:jc w:val="both"/>
        <w:rPr>
          <w:rFonts w:cs="David"/>
          <w:sz w:val="24"/>
          <w:szCs w:val="24"/>
        </w:rPr>
      </w:pPr>
      <w:r w:rsidRPr="002B39A8">
        <w:rPr>
          <w:rFonts w:cs="David" w:hint="cs"/>
          <w:sz w:val="24"/>
          <w:szCs w:val="24"/>
          <w:rtl/>
        </w:rPr>
        <w:t xml:space="preserve">נסיבות </w:t>
      </w:r>
      <w:r w:rsidR="008A0089" w:rsidRPr="002B39A8">
        <w:rPr>
          <w:rFonts w:cs="David" w:hint="cs"/>
          <w:sz w:val="24"/>
          <w:szCs w:val="24"/>
          <w:rtl/>
        </w:rPr>
        <w:t>ביצוע העב</w:t>
      </w:r>
      <w:r w:rsidRPr="002B39A8">
        <w:rPr>
          <w:rFonts w:cs="David" w:hint="cs"/>
          <w:sz w:val="24"/>
          <w:szCs w:val="24"/>
          <w:rtl/>
        </w:rPr>
        <w:t>רה</w:t>
      </w:r>
      <w:r w:rsidR="008A0089" w:rsidRPr="002B39A8">
        <w:rPr>
          <w:rFonts w:cs="David" w:hint="cs"/>
          <w:sz w:val="24"/>
          <w:szCs w:val="24"/>
          <w:rtl/>
        </w:rPr>
        <w:t>,</w:t>
      </w:r>
      <w:r w:rsidR="008A0089">
        <w:rPr>
          <w:rFonts w:cs="David" w:hint="cs"/>
          <w:sz w:val="24"/>
          <w:szCs w:val="24"/>
          <w:rtl/>
        </w:rPr>
        <w:t xml:space="preserve"> כעולה מהכ</w:t>
      </w:r>
      <w:r w:rsidR="002B39A8">
        <w:rPr>
          <w:rFonts w:cs="David" w:hint="cs"/>
          <w:sz w:val="24"/>
          <w:szCs w:val="24"/>
          <w:rtl/>
        </w:rPr>
        <w:t>רעת הדין</w:t>
      </w:r>
      <w:r w:rsidR="008A0089">
        <w:rPr>
          <w:rFonts w:cs="David" w:hint="cs"/>
          <w:sz w:val="24"/>
          <w:szCs w:val="24"/>
          <w:rtl/>
        </w:rPr>
        <w:t xml:space="preserve">, מלמדות על מי שגמלה בלבו החלטה לנצל את הגישה לחלון המקלחת ביחידה, באופן </w:t>
      </w:r>
      <w:r w:rsidR="008A0089" w:rsidRPr="0092205D">
        <w:rPr>
          <w:rFonts w:cs="David" w:hint="cs"/>
          <w:b/>
          <w:bCs/>
          <w:sz w:val="24"/>
          <w:szCs w:val="24"/>
          <w:rtl/>
        </w:rPr>
        <w:t>חוזר ונשנה</w:t>
      </w:r>
      <w:r w:rsidR="008A0089">
        <w:rPr>
          <w:rFonts w:cs="David" w:hint="cs"/>
          <w:sz w:val="24"/>
          <w:szCs w:val="24"/>
          <w:rtl/>
        </w:rPr>
        <w:t>, שלוש פעמים</w:t>
      </w:r>
      <w:r w:rsidR="00E07A79">
        <w:rPr>
          <w:rFonts w:cs="David" w:hint="cs"/>
          <w:sz w:val="24"/>
          <w:szCs w:val="24"/>
          <w:rtl/>
        </w:rPr>
        <w:t xml:space="preserve"> לצילום מספר לא ידוע של סרטונים</w:t>
      </w:r>
      <w:r w:rsidR="002B39A8">
        <w:rPr>
          <w:rFonts w:cs="David" w:hint="cs"/>
          <w:sz w:val="24"/>
          <w:szCs w:val="24"/>
          <w:rtl/>
        </w:rPr>
        <w:t>.</w:t>
      </w:r>
      <w:r w:rsidR="008A0089">
        <w:rPr>
          <w:rFonts w:cs="David" w:hint="cs"/>
          <w:sz w:val="24"/>
          <w:szCs w:val="24"/>
          <w:rtl/>
        </w:rPr>
        <w:t xml:space="preserve"> מפעם לפעם </w:t>
      </w:r>
      <w:r w:rsidR="008A0089" w:rsidRPr="0092205D">
        <w:rPr>
          <w:rFonts w:cs="David" w:hint="cs"/>
          <w:b/>
          <w:bCs/>
          <w:sz w:val="24"/>
          <w:szCs w:val="24"/>
          <w:rtl/>
        </w:rPr>
        <w:t>שיפר את זווית הראיה</w:t>
      </w:r>
      <w:r w:rsidR="008A0089">
        <w:rPr>
          <w:rFonts w:cs="David" w:hint="cs"/>
          <w:sz w:val="24"/>
          <w:szCs w:val="24"/>
          <w:rtl/>
        </w:rPr>
        <w:t xml:space="preserve">, </w:t>
      </w:r>
      <w:r w:rsidR="002B39A8">
        <w:rPr>
          <w:rFonts w:cs="David" w:hint="cs"/>
          <w:sz w:val="24"/>
          <w:szCs w:val="24"/>
          <w:rtl/>
        </w:rPr>
        <w:t xml:space="preserve">תחילה הזיז את הרשת, בהמשך הביא כיסא ועמד עליו, לבסוף </w:t>
      </w:r>
      <w:r w:rsidR="008A0089">
        <w:rPr>
          <w:rFonts w:cs="David" w:hint="cs"/>
          <w:sz w:val="24"/>
          <w:szCs w:val="24"/>
          <w:rtl/>
        </w:rPr>
        <w:t xml:space="preserve">שב למקום על מנת </w:t>
      </w:r>
      <w:r w:rsidR="002B39A8">
        <w:rPr>
          <w:rFonts w:cs="David" w:hint="cs"/>
          <w:sz w:val="24"/>
          <w:szCs w:val="24"/>
          <w:rtl/>
        </w:rPr>
        <w:t>ל</w:t>
      </w:r>
      <w:r w:rsidR="008A0089">
        <w:rPr>
          <w:rFonts w:cs="David" w:hint="cs"/>
          <w:sz w:val="24"/>
          <w:szCs w:val="24"/>
          <w:rtl/>
        </w:rPr>
        <w:t>חזות בעוד</w:t>
      </w:r>
      <w:r w:rsidR="002B39A8">
        <w:rPr>
          <w:rFonts w:cs="David" w:hint="cs"/>
          <w:sz w:val="24"/>
          <w:szCs w:val="24"/>
          <w:rtl/>
        </w:rPr>
        <w:t xml:space="preserve"> </w:t>
      </w:r>
      <w:r w:rsidR="008A0089">
        <w:rPr>
          <w:rFonts w:cs="David" w:hint="cs"/>
          <w:sz w:val="24"/>
          <w:szCs w:val="24"/>
          <w:rtl/>
        </w:rPr>
        <w:t>חיילו</w:t>
      </w:r>
      <w:r w:rsidR="002B39A8">
        <w:rPr>
          <w:rFonts w:cs="David" w:hint="cs"/>
          <w:sz w:val="24"/>
          <w:szCs w:val="24"/>
          <w:rtl/>
        </w:rPr>
        <w:t>ת</w:t>
      </w:r>
      <w:r w:rsidR="008A0089">
        <w:rPr>
          <w:rFonts w:cs="David" w:hint="cs"/>
          <w:sz w:val="24"/>
          <w:szCs w:val="24"/>
          <w:rtl/>
        </w:rPr>
        <w:t xml:space="preserve"> מתקלחות</w:t>
      </w:r>
      <w:r w:rsidR="00BA6BC4">
        <w:rPr>
          <w:rFonts w:cs="David" w:hint="cs"/>
          <w:sz w:val="24"/>
          <w:szCs w:val="24"/>
          <w:rtl/>
        </w:rPr>
        <w:t xml:space="preserve"> (פס' 47 להכרעת הדין)</w:t>
      </w:r>
      <w:r w:rsidR="002B39A8">
        <w:rPr>
          <w:rFonts w:cs="David" w:hint="cs"/>
          <w:sz w:val="24"/>
          <w:szCs w:val="24"/>
          <w:rtl/>
        </w:rPr>
        <w:t xml:space="preserve">. הנאשם כיוון את עדשת המצלמה בטלפון הסלולרי שלו לחדר הרחצה, והיה שווה נפש ביחס </w:t>
      </w:r>
      <w:r w:rsidR="00441565">
        <w:rPr>
          <w:rFonts w:cs="David" w:hint="cs"/>
          <w:sz w:val="24"/>
          <w:szCs w:val="24"/>
          <w:rtl/>
        </w:rPr>
        <w:t xml:space="preserve">לשאלה מי מהחיילות תיקלט בה, הוא עשה זאת </w:t>
      </w:r>
      <w:r w:rsidR="00441565" w:rsidRPr="0092205D">
        <w:rPr>
          <w:rFonts w:cs="David" w:hint="cs"/>
          <w:b/>
          <w:bCs/>
          <w:sz w:val="24"/>
          <w:szCs w:val="24"/>
          <w:rtl/>
        </w:rPr>
        <w:t>לשם סיפוק</w:t>
      </w:r>
      <w:r w:rsidR="002B39A8" w:rsidRPr="0092205D">
        <w:rPr>
          <w:rFonts w:cs="David" w:hint="cs"/>
          <w:b/>
          <w:bCs/>
          <w:sz w:val="24"/>
          <w:szCs w:val="24"/>
          <w:rtl/>
        </w:rPr>
        <w:t xml:space="preserve"> </w:t>
      </w:r>
      <w:r w:rsidR="00441565" w:rsidRPr="0092205D">
        <w:rPr>
          <w:rFonts w:cs="David" w:hint="cs"/>
          <w:b/>
          <w:bCs/>
          <w:sz w:val="24"/>
          <w:szCs w:val="24"/>
          <w:rtl/>
        </w:rPr>
        <w:t>צרכיו</w:t>
      </w:r>
      <w:r w:rsidR="002B39A8" w:rsidRPr="0092205D">
        <w:rPr>
          <w:rFonts w:cs="David" w:hint="cs"/>
          <w:b/>
          <w:bCs/>
          <w:sz w:val="24"/>
          <w:szCs w:val="24"/>
          <w:rtl/>
        </w:rPr>
        <w:t xml:space="preserve"> </w:t>
      </w:r>
      <w:r w:rsidR="00441565" w:rsidRPr="0092205D">
        <w:rPr>
          <w:rFonts w:cs="David" w:hint="cs"/>
          <w:b/>
          <w:bCs/>
          <w:sz w:val="24"/>
          <w:szCs w:val="24"/>
          <w:rtl/>
        </w:rPr>
        <w:t>המיניים</w:t>
      </w:r>
      <w:r w:rsidR="002B39A8">
        <w:rPr>
          <w:rFonts w:cs="David" w:hint="cs"/>
          <w:sz w:val="24"/>
          <w:szCs w:val="24"/>
          <w:rtl/>
        </w:rPr>
        <w:t xml:space="preserve"> </w:t>
      </w:r>
      <w:r w:rsidR="00BA6BC4">
        <w:rPr>
          <w:rFonts w:cs="David" w:hint="cs"/>
          <w:sz w:val="24"/>
          <w:szCs w:val="24"/>
          <w:rtl/>
        </w:rPr>
        <w:t xml:space="preserve">(ת/11 עמ' 5-4) </w:t>
      </w:r>
      <w:r w:rsidR="002B39A8">
        <w:rPr>
          <w:rFonts w:cs="David" w:hint="cs"/>
          <w:sz w:val="24"/>
          <w:szCs w:val="24"/>
          <w:rtl/>
        </w:rPr>
        <w:t>ול</w:t>
      </w:r>
      <w:r w:rsidR="00441565">
        <w:rPr>
          <w:rFonts w:cs="David" w:hint="cs"/>
          <w:sz w:val="24"/>
          <w:szCs w:val="24"/>
          <w:rtl/>
        </w:rPr>
        <w:t xml:space="preserve">צורך </w:t>
      </w:r>
      <w:r w:rsidR="002B39A8" w:rsidRPr="0092205D">
        <w:rPr>
          <w:rFonts w:cs="David" w:hint="cs"/>
          <w:b/>
          <w:bCs/>
          <w:sz w:val="24"/>
          <w:szCs w:val="24"/>
          <w:rtl/>
        </w:rPr>
        <w:t>ביסוס מעמדו החברתי</w:t>
      </w:r>
      <w:r w:rsidR="002B39A8">
        <w:rPr>
          <w:rFonts w:cs="David" w:hint="cs"/>
          <w:sz w:val="24"/>
          <w:szCs w:val="24"/>
          <w:rtl/>
        </w:rPr>
        <w:t xml:space="preserve"> בקרב חבריו הצופים בתוכן המתועד</w:t>
      </w:r>
      <w:r w:rsidR="00BA6BC4" w:rsidRPr="00BA6BC4">
        <w:rPr>
          <w:rFonts w:ascii="Calibri" w:eastAsia="Calibri" w:hAnsi="Calibri" w:hint="cs"/>
          <w:rtl/>
        </w:rPr>
        <w:t xml:space="preserve"> </w:t>
      </w:r>
      <w:r w:rsidR="00BA6BC4" w:rsidRPr="00BA6BC4">
        <w:rPr>
          <w:rFonts w:cs="David" w:hint="cs"/>
          <w:sz w:val="24"/>
          <w:szCs w:val="24"/>
          <w:rtl/>
        </w:rPr>
        <w:t>(ת/9, עמ' 9 ש' 3-1</w:t>
      </w:r>
      <w:r w:rsidR="00BA6BC4">
        <w:rPr>
          <w:rFonts w:cs="David" w:hint="cs"/>
          <w:sz w:val="24"/>
          <w:szCs w:val="24"/>
          <w:rtl/>
        </w:rPr>
        <w:t>)</w:t>
      </w:r>
      <w:r w:rsidR="00B76AD2">
        <w:rPr>
          <w:rFonts w:cs="David" w:hint="cs"/>
          <w:sz w:val="24"/>
          <w:szCs w:val="24"/>
          <w:rtl/>
        </w:rPr>
        <w:t xml:space="preserve">. הוא עשה כן </w:t>
      </w:r>
      <w:r w:rsidR="00E07A79">
        <w:rPr>
          <w:rFonts w:cs="David" w:hint="cs"/>
          <w:sz w:val="24"/>
          <w:szCs w:val="24"/>
          <w:rtl/>
        </w:rPr>
        <w:t xml:space="preserve">בלא </w:t>
      </w:r>
      <w:r w:rsidR="002B39A8">
        <w:rPr>
          <w:rFonts w:cs="David" w:hint="cs"/>
          <w:sz w:val="24"/>
          <w:szCs w:val="24"/>
          <w:rtl/>
        </w:rPr>
        <w:t>אמפטיה או התחשבות בצרכיהן ובכבודן</w:t>
      </w:r>
      <w:r w:rsidR="00441565">
        <w:rPr>
          <w:rFonts w:cs="David" w:hint="cs"/>
          <w:sz w:val="24"/>
          <w:szCs w:val="24"/>
          <w:rtl/>
        </w:rPr>
        <w:t xml:space="preserve"> של חברותיו לשירות הצבאי</w:t>
      </w:r>
      <w:r w:rsidR="00E07A79">
        <w:rPr>
          <w:rFonts w:cs="David" w:hint="cs"/>
          <w:sz w:val="24"/>
          <w:szCs w:val="24"/>
          <w:rtl/>
        </w:rPr>
        <w:t xml:space="preserve"> המצולמות</w:t>
      </w:r>
      <w:r w:rsidR="002B39A8">
        <w:rPr>
          <w:rFonts w:cs="David" w:hint="cs"/>
          <w:sz w:val="24"/>
          <w:szCs w:val="24"/>
          <w:rtl/>
        </w:rPr>
        <w:t xml:space="preserve">. </w:t>
      </w:r>
      <w:r w:rsidR="00441565">
        <w:rPr>
          <w:rFonts w:cs="David" w:hint="cs"/>
          <w:sz w:val="24"/>
          <w:szCs w:val="24"/>
          <w:rtl/>
        </w:rPr>
        <w:t>הנאשם אף</w:t>
      </w:r>
      <w:r w:rsidR="002B39A8" w:rsidRPr="00441565">
        <w:rPr>
          <w:rFonts w:cs="David" w:hint="cs"/>
          <w:sz w:val="24"/>
          <w:szCs w:val="24"/>
          <w:rtl/>
        </w:rPr>
        <w:t xml:space="preserve"> הוסיף והחטיא אח</w:t>
      </w:r>
      <w:r w:rsidR="00441565">
        <w:rPr>
          <w:rFonts w:cs="David" w:hint="cs"/>
          <w:sz w:val="24"/>
          <w:szCs w:val="24"/>
          <w:rtl/>
        </w:rPr>
        <w:t xml:space="preserve">רים, כאשר </w:t>
      </w:r>
      <w:r w:rsidR="00441565" w:rsidRPr="0092205D">
        <w:rPr>
          <w:rFonts w:cs="David" w:hint="cs"/>
          <w:b/>
          <w:bCs/>
          <w:sz w:val="24"/>
          <w:szCs w:val="24"/>
          <w:rtl/>
        </w:rPr>
        <w:t>הראה ל</w:t>
      </w:r>
      <w:r w:rsidR="00E07A79" w:rsidRPr="0092205D">
        <w:rPr>
          <w:rFonts w:cs="David" w:hint="cs"/>
          <w:b/>
          <w:bCs/>
          <w:sz w:val="24"/>
          <w:szCs w:val="24"/>
          <w:rtl/>
        </w:rPr>
        <w:t>שניים מחבריו</w:t>
      </w:r>
      <w:r w:rsidR="00441565" w:rsidRPr="0092205D">
        <w:rPr>
          <w:rFonts w:cs="David" w:hint="cs"/>
          <w:b/>
          <w:bCs/>
          <w:sz w:val="24"/>
          <w:szCs w:val="24"/>
          <w:rtl/>
        </w:rPr>
        <w:t xml:space="preserve"> את הסרטונים</w:t>
      </w:r>
      <w:r w:rsidR="000275FC">
        <w:rPr>
          <w:rFonts w:cs="David" w:hint="cs"/>
          <w:sz w:val="24"/>
          <w:szCs w:val="24"/>
          <w:rtl/>
        </w:rPr>
        <w:t xml:space="preserve"> ובכך העמיק את הביזוי והפגיעה בהן. </w:t>
      </w:r>
      <w:r w:rsidR="00E07A79">
        <w:rPr>
          <w:rFonts w:cs="David" w:hint="cs"/>
          <w:sz w:val="24"/>
          <w:szCs w:val="24"/>
          <w:rtl/>
        </w:rPr>
        <w:t xml:space="preserve">יתרה מכך, </w:t>
      </w:r>
      <w:r w:rsidR="002B39A8" w:rsidRPr="00441565">
        <w:rPr>
          <w:rFonts w:cs="David" w:hint="cs"/>
          <w:sz w:val="24"/>
          <w:szCs w:val="24"/>
          <w:rtl/>
        </w:rPr>
        <w:t>היחס המבזה והמשפיל כלפי החיילות המצ</w:t>
      </w:r>
      <w:r w:rsidR="00BA6BC4" w:rsidRPr="00441565">
        <w:rPr>
          <w:rFonts w:cs="David" w:hint="cs"/>
          <w:sz w:val="24"/>
          <w:szCs w:val="24"/>
          <w:rtl/>
        </w:rPr>
        <w:t>ו</w:t>
      </w:r>
      <w:r w:rsidR="002B39A8" w:rsidRPr="00441565">
        <w:rPr>
          <w:rFonts w:cs="David" w:hint="cs"/>
          <w:sz w:val="24"/>
          <w:szCs w:val="24"/>
          <w:rtl/>
        </w:rPr>
        <w:t xml:space="preserve">למות </w:t>
      </w:r>
      <w:r w:rsidR="000275FC">
        <w:rPr>
          <w:rFonts w:cs="David" w:hint="cs"/>
          <w:sz w:val="24"/>
          <w:szCs w:val="24"/>
          <w:rtl/>
        </w:rPr>
        <w:t xml:space="preserve">לא </w:t>
      </w:r>
      <w:r w:rsidR="00BA6BC4">
        <w:rPr>
          <w:rFonts w:cs="David" w:hint="cs"/>
          <w:sz w:val="24"/>
          <w:szCs w:val="24"/>
          <w:rtl/>
        </w:rPr>
        <w:t>רק</w:t>
      </w:r>
      <w:r w:rsidR="002B39A8" w:rsidRPr="00441565">
        <w:rPr>
          <w:rFonts w:cs="David" w:hint="cs"/>
          <w:sz w:val="24"/>
          <w:szCs w:val="24"/>
          <w:rtl/>
        </w:rPr>
        <w:t xml:space="preserve"> </w:t>
      </w:r>
      <w:r w:rsidR="000275FC">
        <w:rPr>
          <w:rFonts w:cs="David" w:hint="cs"/>
          <w:sz w:val="24"/>
          <w:szCs w:val="24"/>
          <w:rtl/>
        </w:rPr>
        <w:t>ה</w:t>
      </w:r>
      <w:r w:rsidR="00BA6BC4">
        <w:rPr>
          <w:rFonts w:cs="David" w:hint="cs"/>
          <w:sz w:val="24"/>
          <w:szCs w:val="24"/>
          <w:rtl/>
        </w:rPr>
        <w:t xml:space="preserve">שתמע מן המעשים, אלא </w:t>
      </w:r>
      <w:r w:rsidR="000275FC">
        <w:rPr>
          <w:rFonts w:cs="David" w:hint="cs"/>
          <w:sz w:val="24"/>
          <w:szCs w:val="24"/>
          <w:rtl/>
        </w:rPr>
        <w:t>מצא</w:t>
      </w:r>
      <w:r w:rsidR="00BA6BC4">
        <w:rPr>
          <w:rFonts w:cs="David" w:hint="cs"/>
          <w:sz w:val="24"/>
          <w:szCs w:val="24"/>
          <w:rtl/>
        </w:rPr>
        <w:t xml:space="preserve"> ביטוי מובהק וברור גם </w:t>
      </w:r>
      <w:r w:rsidR="00BA6BC4" w:rsidRPr="0092205D">
        <w:rPr>
          <w:rFonts w:cs="David" w:hint="cs"/>
          <w:b/>
          <w:bCs/>
          <w:sz w:val="24"/>
          <w:szCs w:val="24"/>
          <w:rtl/>
        </w:rPr>
        <w:t>בשיח הכתוב</w:t>
      </w:r>
      <w:r w:rsidR="00BA6BC4">
        <w:rPr>
          <w:rFonts w:cs="David" w:hint="cs"/>
          <w:sz w:val="24"/>
          <w:szCs w:val="24"/>
          <w:rtl/>
        </w:rPr>
        <w:t xml:space="preserve"> שהתנהל בין הנאשם לחבריו </w:t>
      </w:r>
      <w:r w:rsidR="00E07A79">
        <w:rPr>
          <w:rFonts w:cs="David" w:hint="cs"/>
          <w:sz w:val="24"/>
          <w:szCs w:val="24"/>
          <w:rtl/>
        </w:rPr>
        <w:t xml:space="preserve">על-אודות </w:t>
      </w:r>
      <w:r w:rsidR="00B76AD2">
        <w:rPr>
          <w:rFonts w:cs="David" w:hint="cs"/>
          <w:sz w:val="24"/>
          <w:szCs w:val="24"/>
          <w:rtl/>
        </w:rPr>
        <w:t>ה</w:t>
      </w:r>
      <w:r w:rsidR="00E07A79">
        <w:rPr>
          <w:rFonts w:cs="David" w:hint="cs"/>
          <w:sz w:val="24"/>
          <w:szCs w:val="24"/>
          <w:rtl/>
        </w:rPr>
        <w:t xml:space="preserve">סרטונים </w:t>
      </w:r>
      <w:r w:rsidR="00BA6BC4">
        <w:rPr>
          <w:rFonts w:cs="David" w:hint="cs"/>
          <w:sz w:val="24"/>
          <w:szCs w:val="24"/>
          <w:rtl/>
        </w:rPr>
        <w:t xml:space="preserve">(ראו תוכן הודעות </w:t>
      </w:r>
      <w:proofErr w:type="spellStart"/>
      <w:r w:rsidR="00BA6BC4">
        <w:rPr>
          <w:rFonts w:cs="David" w:hint="cs"/>
          <w:sz w:val="24"/>
          <w:szCs w:val="24"/>
          <w:rtl/>
        </w:rPr>
        <w:t>הווטסאפ</w:t>
      </w:r>
      <w:proofErr w:type="spellEnd"/>
      <w:r w:rsidR="00C003F1">
        <w:rPr>
          <w:rFonts w:cs="David"/>
          <w:sz w:val="24"/>
          <w:szCs w:val="24"/>
          <w:rtl/>
        </w:rPr>
        <w:t>–</w:t>
      </w:r>
      <w:r w:rsidR="00C003F1">
        <w:rPr>
          <w:rFonts w:cs="David" w:hint="cs"/>
          <w:sz w:val="24"/>
          <w:szCs w:val="24"/>
          <w:rtl/>
        </w:rPr>
        <w:t>ת/13 ו-</w:t>
      </w:r>
      <w:r w:rsidR="00EE0A5C">
        <w:rPr>
          <w:rFonts w:cs="David" w:hint="cs"/>
          <w:sz w:val="24"/>
          <w:szCs w:val="24"/>
          <w:rtl/>
        </w:rPr>
        <w:t xml:space="preserve"> </w:t>
      </w:r>
      <w:r w:rsidR="00EE0A5C" w:rsidRPr="00EE0A5C">
        <w:rPr>
          <w:rFonts w:cs="David" w:hint="cs"/>
          <w:sz w:val="24"/>
          <w:szCs w:val="24"/>
          <w:rtl/>
        </w:rPr>
        <w:t>ת/6 ע.ב 02,03,05</w:t>
      </w:r>
      <w:r w:rsidR="00E07A79">
        <w:rPr>
          <w:rFonts w:cs="David" w:hint="cs"/>
          <w:sz w:val="24"/>
          <w:szCs w:val="24"/>
          <w:rtl/>
        </w:rPr>
        <w:t>)</w:t>
      </w:r>
      <w:r w:rsidR="00BA6BC4">
        <w:rPr>
          <w:rFonts w:cs="David" w:hint="cs"/>
          <w:sz w:val="24"/>
          <w:szCs w:val="24"/>
          <w:rtl/>
        </w:rPr>
        <w:t xml:space="preserve">. </w:t>
      </w:r>
      <w:r w:rsidR="0092205D">
        <w:rPr>
          <w:rFonts w:cs="David" w:hint="cs"/>
          <w:sz w:val="24"/>
          <w:szCs w:val="24"/>
          <w:rtl/>
        </w:rPr>
        <w:t>שיח זה ראוי לכל גינוי</w:t>
      </w:r>
      <w:r w:rsidR="000275FC">
        <w:rPr>
          <w:rFonts w:cs="David" w:hint="cs"/>
          <w:sz w:val="24"/>
          <w:szCs w:val="24"/>
          <w:rtl/>
        </w:rPr>
        <w:t xml:space="preserve"> והוקעה</w:t>
      </w:r>
      <w:r w:rsidR="0092205D">
        <w:rPr>
          <w:rFonts w:cs="David" w:hint="cs"/>
          <w:sz w:val="24"/>
          <w:szCs w:val="24"/>
          <w:rtl/>
        </w:rPr>
        <w:t xml:space="preserve">. הנאשם </w:t>
      </w:r>
      <w:r w:rsidR="002C163F">
        <w:rPr>
          <w:rFonts w:cs="David" w:hint="cs"/>
          <w:sz w:val="24"/>
          <w:szCs w:val="24"/>
          <w:rtl/>
        </w:rPr>
        <w:t>ניסה לשדל את חברו להצטרף אליו ולצלם (</w:t>
      </w:r>
      <w:r w:rsidR="00C003F1">
        <w:rPr>
          <w:rFonts w:cs="David" w:hint="cs"/>
          <w:sz w:val="24"/>
          <w:szCs w:val="24"/>
          <w:rtl/>
        </w:rPr>
        <w:t xml:space="preserve">ת/13 </w:t>
      </w:r>
      <w:r w:rsidR="002C163F">
        <w:rPr>
          <w:rFonts w:cs="David" w:hint="cs"/>
          <w:sz w:val="24"/>
          <w:szCs w:val="24"/>
          <w:rtl/>
        </w:rPr>
        <w:t>שיח עם סמ"ר אדרי) ו</w:t>
      </w:r>
      <w:r w:rsidR="00BA6BC4">
        <w:rPr>
          <w:rFonts w:cs="David" w:hint="cs"/>
          <w:sz w:val="24"/>
          <w:szCs w:val="24"/>
          <w:rtl/>
        </w:rPr>
        <w:t xml:space="preserve">הביע נכונות </w:t>
      </w:r>
      <w:r w:rsidR="000275FC">
        <w:rPr>
          <w:rFonts w:cs="David" w:hint="cs"/>
          <w:sz w:val="24"/>
          <w:szCs w:val="24"/>
          <w:rtl/>
        </w:rPr>
        <w:t xml:space="preserve">בפני חבריו </w:t>
      </w:r>
      <w:r w:rsidR="00BA6BC4">
        <w:rPr>
          <w:rFonts w:cs="David" w:hint="cs"/>
          <w:sz w:val="24"/>
          <w:szCs w:val="24"/>
          <w:rtl/>
        </w:rPr>
        <w:t xml:space="preserve">לשוב ולצלם למחרת היום בתקווה למצוא "משהו טוב" </w:t>
      </w:r>
      <w:r w:rsidR="006811DF">
        <w:rPr>
          <w:rFonts w:cs="David" w:hint="cs"/>
          <w:sz w:val="24"/>
          <w:szCs w:val="24"/>
          <w:rtl/>
        </w:rPr>
        <w:t>(פס' 26.2 להכרעת הדין)</w:t>
      </w:r>
      <w:r w:rsidR="00E07A79">
        <w:rPr>
          <w:rFonts w:cs="David" w:hint="cs"/>
          <w:sz w:val="24"/>
          <w:szCs w:val="24"/>
          <w:rtl/>
        </w:rPr>
        <w:t xml:space="preserve">. הנאשם </w:t>
      </w:r>
      <w:r w:rsidR="006811DF">
        <w:rPr>
          <w:rFonts w:cs="David" w:hint="cs"/>
          <w:sz w:val="24"/>
          <w:szCs w:val="24"/>
          <w:rtl/>
        </w:rPr>
        <w:t>חדל ממעשיו לאור העובדה שנחשפו</w:t>
      </w:r>
      <w:r w:rsidR="00B76AD2">
        <w:rPr>
          <w:rFonts w:cs="David" w:hint="cs"/>
          <w:sz w:val="24"/>
          <w:szCs w:val="24"/>
          <w:rtl/>
        </w:rPr>
        <w:t>, כאמור,</w:t>
      </w:r>
      <w:r w:rsidR="006811DF">
        <w:rPr>
          <w:rFonts w:cs="David" w:hint="cs"/>
          <w:sz w:val="24"/>
          <w:szCs w:val="24"/>
          <w:rtl/>
        </w:rPr>
        <w:t xml:space="preserve"> על ידי סמ"ר אור כהן. מכלול היבטים אלה בנסיבות ביצוע העברה משווים ל</w:t>
      </w:r>
      <w:r w:rsidR="00E07A79">
        <w:rPr>
          <w:rFonts w:cs="David" w:hint="cs"/>
          <w:sz w:val="24"/>
          <w:szCs w:val="24"/>
          <w:rtl/>
        </w:rPr>
        <w:t>אירוע</w:t>
      </w:r>
      <w:r w:rsidR="006811DF">
        <w:rPr>
          <w:rFonts w:cs="David" w:hint="cs"/>
          <w:sz w:val="24"/>
          <w:szCs w:val="24"/>
          <w:rtl/>
        </w:rPr>
        <w:t xml:space="preserve"> נופך של חומרה. הנאשם מחק את הסרטונים ולא נמצא להם כל תיעוד, הוא נמנע גם מלשלוח את הסרטונים ל</w:t>
      </w:r>
      <w:r w:rsidR="00E07A79">
        <w:rPr>
          <w:rFonts w:cs="David" w:hint="cs"/>
          <w:sz w:val="24"/>
          <w:szCs w:val="24"/>
          <w:rtl/>
        </w:rPr>
        <w:t>ח</w:t>
      </w:r>
      <w:r w:rsidR="006811DF">
        <w:rPr>
          <w:rFonts w:cs="David" w:hint="cs"/>
          <w:sz w:val="24"/>
          <w:szCs w:val="24"/>
          <w:rtl/>
        </w:rPr>
        <w:t>ברו, שביקש ממנו לעשות כן</w:t>
      </w:r>
      <w:r w:rsidR="002C163F">
        <w:rPr>
          <w:rFonts w:cs="David" w:hint="cs"/>
          <w:sz w:val="24"/>
          <w:szCs w:val="24"/>
          <w:rtl/>
        </w:rPr>
        <w:t>.</w:t>
      </w:r>
      <w:r w:rsidR="006811DF">
        <w:rPr>
          <w:rFonts w:cs="David" w:hint="cs"/>
          <w:sz w:val="24"/>
          <w:szCs w:val="24"/>
          <w:rtl/>
        </w:rPr>
        <w:t xml:space="preserve"> את המעשים לא עשה על רקע הפנמת הפסול </w:t>
      </w:r>
      <w:r w:rsidR="002C163F">
        <w:rPr>
          <w:rFonts w:cs="David" w:hint="cs"/>
          <w:sz w:val="24"/>
          <w:szCs w:val="24"/>
          <w:rtl/>
        </w:rPr>
        <w:t>ש</w:t>
      </w:r>
      <w:r w:rsidR="006811DF">
        <w:rPr>
          <w:rFonts w:cs="David" w:hint="cs"/>
          <w:sz w:val="24"/>
          <w:szCs w:val="24"/>
          <w:rtl/>
        </w:rPr>
        <w:t xml:space="preserve">במעשה או לאור החשש להעמיק את הפגיעה בחיילות המצולמות, אלא </w:t>
      </w:r>
      <w:r w:rsidR="002C163F">
        <w:rPr>
          <w:rFonts w:cs="David" w:hint="cs"/>
          <w:sz w:val="24"/>
          <w:szCs w:val="24"/>
          <w:rtl/>
        </w:rPr>
        <w:t>בשל</w:t>
      </w:r>
      <w:r w:rsidR="006811DF">
        <w:rPr>
          <w:rFonts w:cs="David" w:hint="cs"/>
          <w:sz w:val="24"/>
          <w:szCs w:val="24"/>
          <w:rtl/>
        </w:rPr>
        <w:t xml:space="preserve"> החשש שייתפס </w:t>
      </w:r>
      <w:r w:rsidR="00EE0A5C" w:rsidRPr="00EE0A5C">
        <w:rPr>
          <w:rFonts w:cs="David" w:hint="cs"/>
          <w:sz w:val="24"/>
          <w:szCs w:val="24"/>
          <w:rtl/>
        </w:rPr>
        <w:t>(ת/13 ש.א. 12</w:t>
      </w:r>
      <w:r w:rsidR="00EE0A5C">
        <w:rPr>
          <w:rFonts w:cs="David" w:hint="cs"/>
          <w:sz w:val="24"/>
          <w:szCs w:val="24"/>
          <w:rtl/>
        </w:rPr>
        <w:t xml:space="preserve">). </w:t>
      </w:r>
    </w:p>
    <w:p w14:paraId="400D74F9" w14:textId="77777777" w:rsidR="00EE0A5C" w:rsidRPr="00CA0CB3" w:rsidRDefault="0092205D" w:rsidP="00F01B63">
      <w:pPr>
        <w:numPr>
          <w:ilvl w:val="0"/>
          <w:numId w:val="9"/>
        </w:numPr>
        <w:tabs>
          <w:tab w:val="num" w:pos="386"/>
        </w:tabs>
        <w:autoSpaceDE w:val="0"/>
        <w:autoSpaceDN w:val="0"/>
        <w:spacing w:after="0" w:line="360" w:lineRule="auto"/>
        <w:ind w:left="360"/>
        <w:jc w:val="both"/>
        <w:rPr>
          <w:rFonts w:cs="David"/>
          <w:sz w:val="24"/>
          <w:szCs w:val="24"/>
        </w:rPr>
      </w:pPr>
      <w:bookmarkStart w:id="0" w:name="_Ref12191373"/>
      <w:r w:rsidRPr="0092205D">
        <w:rPr>
          <w:rFonts w:cs="David" w:hint="cs"/>
          <w:sz w:val="24"/>
          <w:szCs w:val="24"/>
          <w:rtl/>
        </w:rPr>
        <w:t>אין תמה</w:t>
      </w:r>
      <w:r>
        <w:rPr>
          <w:rFonts w:cs="David" w:hint="cs"/>
          <w:sz w:val="24"/>
          <w:szCs w:val="24"/>
          <w:rtl/>
        </w:rPr>
        <w:t xml:space="preserve">, </w:t>
      </w:r>
      <w:r w:rsidRPr="0092205D">
        <w:rPr>
          <w:rFonts w:cs="David" w:hint="cs"/>
          <w:sz w:val="24"/>
          <w:szCs w:val="24"/>
          <w:rtl/>
        </w:rPr>
        <w:t>כי המעשים האמורים הסבו</w:t>
      </w:r>
      <w:r>
        <w:rPr>
          <w:rFonts w:cs="David" w:hint="cs"/>
          <w:b/>
          <w:bCs/>
          <w:sz w:val="24"/>
          <w:szCs w:val="24"/>
          <w:rtl/>
        </w:rPr>
        <w:t xml:space="preserve"> </w:t>
      </w:r>
      <w:r w:rsidRPr="0092205D">
        <w:rPr>
          <w:rFonts w:cs="David" w:hint="cs"/>
          <w:b/>
          <w:bCs/>
          <w:sz w:val="24"/>
          <w:szCs w:val="24"/>
          <w:rtl/>
        </w:rPr>
        <w:t>נזק</w:t>
      </w:r>
      <w:r w:rsidR="00EE0A5C" w:rsidRPr="0092205D">
        <w:rPr>
          <w:rFonts w:cs="David" w:hint="cs"/>
          <w:sz w:val="24"/>
          <w:szCs w:val="24"/>
          <w:rtl/>
        </w:rPr>
        <w:t xml:space="preserve"> </w:t>
      </w:r>
      <w:r w:rsidR="00843BC4">
        <w:rPr>
          <w:rFonts w:cs="David" w:hint="cs"/>
          <w:sz w:val="24"/>
          <w:szCs w:val="24"/>
          <w:rtl/>
        </w:rPr>
        <w:t>לא מבוטל לחיילות המצולמות.</w:t>
      </w:r>
      <w:r>
        <w:rPr>
          <w:rFonts w:cs="David" w:hint="cs"/>
          <w:sz w:val="24"/>
          <w:szCs w:val="24"/>
          <w:rtl/>
        </w:rPr>
        <w:t xml:space="preserve"> </w:t>
      </w:r>
      <w:r w:rsidR="002C163F" w:rsidRPr="00843BC4">
        <w:rPr>
          <w:rFonts w:cs="David" w:hint="cs"/>
          <w:sz w:val="24"/>
          <w:szCs w:val="24"/>
          <w:rtl/>
        </w:rPr>
        <w:t xml:space="preserve">במסגרת טיעוני התביעה הצבאית לעונש הוגשו </w:t>
      </w:r>
      <w:r w:rsidR="00843BC4" w:rsidRPr="00843BC4">
        <w:rPr>
          <w:rFonts w:cs="David" w:hint="cs"/>
          <w:sz w:val="24"/>
          <w:szCs w:val="24"/>
          <w:rtl/>
        </w:rPr>
        <w:t>תצהיריהן של שלוש נפגעות העברה</w:t>
      </w:r>
      <w:r w:rsidRPr="00843BC4">
        <w:rPr>
          <w:rFonts w:cs="David" w:hint="cs"/>
          <w:sz w:val="24"/>
          <w:szCs w:val="24"/>
          <w:rtl/>
        </w:rPr>
        <w:t xml:space="preserve"> (</w:t>
      </w:r>
      <w:r w:rsidR="00843BC4" w:rsidRPr="00843BC4">
        <w:rPr>
          <w:rFonts w:cs="David" w:hint="cs"/>
          <w:sz w:val="24"/>
          <w:szCs w:val="24"/>
          <w:rtl/>
        </w:rPr>
        <w:t>סעיף 18</w:t>
      </w:r>
      <w:r w:rsidR="00843BC4">
        <w:rPr>
          <w:rFonts w:cs="David" w:hint="cs"/>
          <w:sz w:val="24"/>
          <w:szCs w:val="24"/>
          <w:rtl/>
        </w:rPr>
        <w:t>(א) ל</w:t>
      </w:r>
      <w:r w:rsidR="00843BC4" w:rsidRPr="00843BC4">
        <w:rPr>
          <w:rFonts w:cs="David" w:hint="cs"/>
          <w:sz w:val="24"/>
          <w:szCs w:val="24"/>
          <w:rtl/>
        </w:rPr>
        <w:t>חוק</w:t>
      </w:r>
      <w:r w:rsidR="00843BC4" w:rsidRPr="00843BC4">
        <w:rPr>
          <w:rFonts w:cs="David"/>
          <w:sz w:val="24"/>
          <w:szCs w:val="24"/>
          <w:rtl/>
        </w:rPr>
        <w:t xml:space="preserve"> </w:t>
      </w:r>
      <w:r w:rsidR="00843BC4" w:rsidRPr="00843BC4">
        <w:rPr>
          <w:rFonts w:cs="David" w:hint="cs"/>
          <w:sz w:val="24"/>
          <w:szCs w:val="24"/>
          <w:rtl/>
        </w:rPr>
        <w:t>זכויות</w:t>
      </w:r>
      <w:r w:rsidR="00843BC4" w:rsidRPr="00843BC4">
        <w:rPr>
          <w:rFonts w:cs="David"/>
          <w:sz w:val="24"/>
          <w:szCs w:val="24"/>
          <w:rtl/>
        </w:rPr>
        <w:t xml:space="preserve"> </w:t>
      </w:r>
      <w:r w:rsidR="00843BC4" w:rsidRPr="00843BC4">
        <w:rPr>
          <w:rFonts w:cs="David" w:hint="cs"/>
          <w:sz w:val="24"/>
          <w:szCs w:val="24"/>
          <w:rtl/>
        </w:rPr>
        <w:t>נפגעי</w:t>
      </w:r>
      <w:r w:rsidR="00843BC4" w:rsidRPr="00843BC4">
        <w:rPr>
          <w:rFonts w:cs="David"/>
          <w:sz w:val="24"/>
          <w:szCs w:val="24"/>
          <w:rtl/>
        </w:rPr>
        <w:t xml:space="preserve"> </w:t>
      </w:r>
      <w:r w:rsidR="00843BC4" w:rsidRPr="00843BC4">
        <w:rPr>
          <w:rFonts w:cs="David" w:hint="cs"/>
          <w:sz w:val="24"/>
          <w:szCs w:val="24"/>
          <w:rtl/>
        </w:rPr>
        <w:t>עבירה</w:t>
      </w:r>
      <w:r w:rsidR="00843BC4" w:rsidRPr="00843BC4">
        <w:rPr>
          <w:rFonts w:cs="David"/>
          <w:sz w:val="24"/>
          <w:szCs w:val="24"/>
          <w:rtl/>
        </w:rPr>
        <w:t xml:space="preserve">, </w:t>
      </w:r>
      <w:r w:rsidR="00843BC4" w:rsidRPr="00843BC4">
        <w:rPr>
          <w:rFonts w:cs="David" w:hint="cs"/>
          <w:sz w:val="24"/>
          <w:szCs w:val="24"/>
          <w:rtl/>
        </w:rPr>
        <w:t>התשס</w:t>
      </w:r>
      <w:r w:rsidR="00843BC4" w:rsidRPr="00843BC4">
        <w:rPr>
          <w:rFonts w:cs="David"/>
          <w:sz w:val="24"/>
          <w:szCs w:val="24"/>
          <w:rtl/>
        </w:rPr>
        <w:t>"</w:t>
      </w:r>
      <w:r w:rsidR="00843BC4" w:rsidRPr="00843BC4">
        <w:rPr>
          <w:rFonts w:cs="David" w:hint="cs"/>
          <w:sz w:val="24"/>
          <w:szCs w:val="24"/>
          <w:rtl/>
        </w:rPr>
        <w:t>א</w:t>
      </w:r>
      <w:r w:rsidR="00843BC4">
        <w:rPr>
          <w:rFonts w:cs="David"/>
          <w:sz w:val="24"/>
          <w:szCs w:val="24"/>
          <w:rtl/>
        </w:rPr>
        <w:t>-2001</w:t>
      </w:r>
      <w:r w:rsidR="00843BC4">
        <w:rPr>
          <w:rFonts w:cs="David" w:hint="cs"/>
          <w:sz w:val="24"/>
          <w:szCs w:val="24"/>
          <w:rtl/>
        </w:rPr>
        <w:t>). בתצהירה</w:t>
      </w:r>
      <w:r w:rsidR="00CA0CB3">
        <w:rPr>
          <w:rFonts w:cs="David" w:hint="cs"/>
          <w:sz w:val="24"/>
          <w:szCs w:val="24"/>
          <w:rtl/>
        </w:rPr>
        <w:t>ּ</w:t>
      </w:r>
      <w:r w:rsidR="00843BC4">
        <w:rPr>
          <w:rFonts w:cs="David" w:hint="cs"/>
          <w:sz w:val="24"/>
          <w:szCs w:val="24"/>
          <w:rtl/>
        </w:rPr>
        <w:t xml:space="preserve"> של </w:t>
      </w:r>
      <w:r w:rsidR="006241A9">
        <w:rPr>
          <w:rFonts w:cs="David" w:hint="cs"/>
          <w:sz w:val="24"/>
          <w:szCs w:val="24"/>
          <w:rtl/>
        </w:rPr>
        <w:t xml:space="preserve">נפגעת העברה </w:t>
      </w:r>
      <w:r w:rsidR="00843BC4" w:rsidRPr="00843BC4">
        <w:rPr>
          <w:rFonts w:cs="David" w:hint="cs"/>
          <w:b/>
          <w:bCs/>
          <w:sz w:val="24"/>
          <w:szCs w:val="24"/>
          <w:rtl/>
        </w:rPr>
        <w:t>ע</w:t>
      </w:r>
      <w:r w:rsidR="00F72B6D">
        <w:rPr>
          <w:rFonts w:cs="David" w:hint="cs"/>
          <w:b/>
          <w:bCs/>
          <w:sz w:val="24"/>
          <w:szCs w:val="24"/>
          <w:rtl/>
        </w:rPr>
        <w:t xml:space="preserve">' </w:t>
      </w:r>
      <w:r w:rsidR="00843BC4" w:rsidRPr="00843BC4">
        <w:rPr>
          <w:rFonts w:cs="David" w:hint="cs"/>
          <w:b/>
          <w:bCs/>
          <w:sz w:val="24"/>
          <w:szCs w:val="24"/>
          <w:rtl/>
        </w:rPr>
        <w:t>ש</w:t>
      </w:r>
      <w:r w:rsidR="00F72B6D">
        <w:rPr>
          <w:rFonts w:cs="David" w:hint="cs"/>
          <w:b/>
          <w:bCs/>
          <w:sz w:val="24"/>
          <w:szCs w:val="24"/>
          <w:rtl/>
        </w:rPr>
        <w:t>'</w:t>
      </w:r>
      <w:r w:rsidR="00843BC4">
        <w:rPr>
          <w:rFonts w:cs="David" w:hint="cs"/>
          <w:sz w:val="24"/>
          <w:szCs w:val="24"/>
          <w:rtl/>
        </w:rPr>
        <w:t xml:space="preserve"> היא ציינה כי את הדברים קיבלה "קשה" והם גרמו לטלטלה בחייה. מאז המקרה לא </w:t>
      </w:r>
      <w:proofErr w:type="spellStart"/>
      <w:r w:rsidR="00843BC4">
        <w:rPr>
          <w:rFonts w:cs="David" w:hint="cs"/>
          <w:sz w:val="24"/>
          <w:szCs w:val="24"/>
          <w:rtl/>
        </w:rPr>
        <w:t>היתה</w:t>
      </w:r>
      <w:proofErr w:type="spellEnd"/>
      <w:r w:rsidR="00843BC4">
        <w:rPr>
          <w:rFonts w:cs="David" w:hint="cs"/>
          <w:sz w:val="24"/>
          <w:szCs w:val="24"/>
          <w:rtl/>
        </w:rPr>
        <w:t xml:space="preserve"> מסוגלת להתקלח בצבא והתביישה להסתובב במחנה. היא תיארה את הליווי פסיכולוגי שלו נזקקה מאז התרחשו האירועים, את הפגיעה האישית, החשש המתמיד שמלווה אותה ואת אובדן האמון בגברים ובאנשים. נפגעת העברה ציינה כי האירוע גדע את שירותה הצבאי החיובי, היא נאלצה לעזוב את המחנה ואת החטיבה שכה אהבה. היא לא הגשימה את חלומה להשלים קורס קצינות, </w:t>
      </w:r>
      <w:r w:rsidR="007542F8">
        <w:rPr>
          <w:rFonts w:cs="David" w:hint="cs"/>
          <w:sz w:val="24"/>
          <w:szCs w:val="24"/>
          <w:rtl/>
        </w:rPr>
        <w:t xml:space="preserve">והגיע ליחידה חדשה בעל כורחה כשהיא מפוחדת, שבורה וכעוסה. חודשי השירות הצבאי </w:t>
      </w:r>
      <w:r w:rsidR="007542F8">
        <w:rPr>
          <w:rFonts w:cs="David" w:hint="cs"/>
          <w:sz w:val="24"/>
          <w:szCs w:val="24"/>
          <w:rtl/>
        </w:rPr>
        <w:lastRenderedPageBreak/>
        <w:t>האחרונים שלה, לוו בקשיים ובטעם מר (</w:t>
      </w:r>
      <w:r w:rsidR="007542F8" w:rsidRPr="00CA0CB3">
        <w:rPr>
          <w:rFonts w:cs="David" w:hint="cs"/>
          <w:b/>
          <w:bCs/>
          <w:sz w:val="24"/>
          <w:szCs w:val="24"/>
          <w:rtl/>
        </w:rPr>
        <w:t>ת/31</w:t>
      </w:r>
      <w:r w:rsidR="007542F8">
        <w:rPr>
          <w:rFonts w:cs="David" w:hint="cs"/>
          <w:sz w:val="24"/>
          <w:szCs w:val="24"/>
          <w:rtl/>
        </w:rPr>
        <w:t xml:space="preserve">). </w:t>
      </w:r>
      <w:r w:rsidR="006241A9">
        <w:rPr>
          <w:rFonts w:cs="David" w:hint="cs"/>
          <w:sz w:val="24"/>
          <w:szCs w:val="24"/>
          <w:rtl/>
        </w:rPr>
        <w:t xml:space="preserve">נפגעת העברה </w:t>
      </w:r>
      <w:r w:rsidR="006241A9" w:rsidRPr="006241A9">
        <w:rPr>
          <w:rFonts w:cs="David" w:hint="cs"/>
          <w:b/>
          <w:bCs/>
          <w:sz w:val="24"/>
          <w:szCs w:val="24"/>
          <w:rtl/>
        </w:rPr>
        <w:t>ע</w:t>
      </w:r>
      <w:r w:rsidR="00F72B6D">
        <w:rPr>
          <w:rFonts w:cs="David" w:hint="cs"/>
          <w:b/>
          <w:bCs/>
          <w:sz w:val="24"/>
          <w:szCs w:val="24"/>
          <w:rtl/>
        </w:rPr>
        <w:t xml:space="preserve">' </w:t>
      </w:r>
      <w:r w:rsidR="006241A9" w:rsidRPr="006241A9">
        <w:rPr>
          <w:rFonts w:cs="David" w:hint="cs"/>
          <w:b/>
          <w:bCs/>
          <w:sz w:val="24"/>
          <w:szCs w:val="24"/>
          <w:rtl/>
        </w:rPr>
        <w:t>ב</w:t>
      </w:r>
      <w:r w:rsidR="00F72B6D">
        <w:rPr>
          <w:rFonts w:cs="David" w:hint="cs"/>
          <w:b/>
          <w:bCs/>
          <w:sz w:val="24"/>
          <w:szCs w:val="24"/>
          <w:rtl/>
        </w:rPr>
        <w:t>'</w:t>
      </w:r>
      <w:r w:rsidR="006241A9">
        <w:rPr>
          <w:rFonts w:cs="David" w:hint="cs"/>
          <w:sz w:val="24"/>
          <w:szCs w:val="24"/>
          <w:rtl/>
        </w:rPr>
        <w:t xml:space="preserve"> </w:t>
      </w:r>
      <w:r w:rsidR="00CA0CB3">
        <w:rPr>
          <w:rFonts w:cs="David" w:hint="cs"/>
          <w:sz w:val="24"/>
          <w:szCs w:val="24"/>
          <w:rtl/>
        </w:rPr>
        <w:t>עמדה</w:t>
      </w:r>
      <w:r w:rsidR="006241A9">
        <w:rPr>
          <w:rFonts w:cs="David" w:hint="cs"/>
          <w:sz w:val="24"/>
          <w:szCs w:val="24"/>
          <w:rtl/>
        </w:rPr>
        <w:t xml:space="preserve"> ב</w:t>
      </w:r>
      <w:r w:rsidR="007542F8">
        <w:rPr>
          <w:rFonts w:cs="David" w:hint="cs"/>
          <w:sz w:val="24"/>
          <w:szCs w:val="24"/>
          <w:rtl/>
        </w:rPr>
        <w:t>תצהירה</w:t>
      </w:r>
      <w:r w:rsidR="00CA0CB3">
        <w:rPr>
          <w:rFonts w:cs="David" w:hint="cs"/>
          <w:sz w:val="24"/>
          <w:szCs w:val="24"/>
          <w:rtl/>
        </w:rPr>
        <w:t>ּ</w:t>
      </w:r>
      <w:r w:rsidR="007542F8">
        <w:rPr>
          <w:rFonts w:cs="David" w:hint="cs"/>
          <w:sz w:val="24"/>
          <w:szCs w:val="24"/>
          <w:rtl/>
        </w:rPr>
        <w:t xml:space="preserve"> </w:t>
      </w:r>
      <w:r w:rsidR="006241A9">
        <w:rPr>
          <w:rFonts w:cs="David" w:hint="cs"/>
          <w:sz w:val="24"/>
          <w:szCs w:val="24"/>
          <w:rtl/>
        </w:rPr>
        <w:t>ע</w:t>
      </w:r>
      <w:r w:rsidR="007542F8">
        <w:rPr>
          <w:rFonts w:cs="David" w:hint="cs"/>
          <w:sz w:val="24"/>
          <w:szCs w:val="24"/>
          <w:rtl/>
        </w:rPr>
        <w:t>ל</w:t>
      </w:r>
      <w:r w:rsidR="006241A9">
        <w:rPr>
          <w:rFonts w:cs="David" w:hint="cs"/>
          <w:sz w:val="24"/>
          <w:szCs w:val="24"/>
          <w:rtl/>
        </w:rPr>
        <w:t xml:space="preserve"> </w:t>
      </w:r>
      <w:r w:rsidR="005057A5">
        <w:rPr>
          <w:rFonts w:cs="David" w:hint="cs"/>
          <w:sz w:val="24"/>
          <w:szCs w:val="24"/>
          <w:rtl/>
        </w:rPr>
        <w:t xml:space="preserve">הפחד </w:t>
      </w:r>
      <w:r w:rsidR="006A5DB2">
        <w:rPr>
          <w:rFonts w:cs="David" w:hint="cs"/>
          <w:sz w:val="24"/>
          <w:szCs w:val="24"/>
          <w:rtl/>
        </w:rPr>
        <w:t xml:space="preserve">שאוחז בה </w:t>
      </w:r>
      <w:r w:rsidR="005057A5">
        <w:rPr>
          <w:rFonts w:cs="David" w:hint="cs"/>
          <w:sz w:val="24"/>
          <w:szCs w:val="24"/>
          <w:rtl/>
        </w:rPr>
        <w:t>להתקלח במקומות ציבוריים מאז המקרה</w:t>
      </w:r>
      <w:r w:rsidR="006A5DB2">
        <w:rPr>
          <w:rFonts w:cs="David" w:hint="cs"/>
          <w:sz w:val="24"/>
          <w:szCs w:val="24"/>
          <w:rtl/>
        </w:rPr>
        <w:t xml:space="preserve"> ועל המבוכה שחשה במפגשים עם גורמים שונים </w:t>
      </w:r>
      <w:r w:rsidR="00CA0CB3">
        <w:rPr>
          <w:rFonts w:cs="David" w:hint="cs"/>
          <w:sz w:val="24"/>
          <w:szCs w:val="24"/>
          <w:rtl/>
        </w:rPr>
        <w:t>מה</w:t>
      </w:r>
      <w:r w:rsidR="006A5DB2">
        <w:rPr>
          <w:rFonts w:cs="David" w:hint="cs"/>
          <w:sz w:val="24"/>
          <w:szCs w:val="24"/>
          <w:rtl/>
        </w:rPr>
        <w:t>יחידה,</w:t>
      </w:r>
      <w:r w:rsidR="00CA0CB3">
        <w:rPr>
          <w:rFonts w:cs="David" w:hint="cs"/>
          <w:sz w:val="24"/>
          <w:szCs w:val="24"/>
          <w:rtl/>
        </w:rPr>
        <w:t xml:space="preserve"> היא</w:t>
      </w:r>
      <w:r w:rsidR="006A5DB2">
        <w:rPr>
          <w:rFonts w:cs="David" w:hint="cs"/>
          <w:sz w:val="24"/>
          <w:szCs w:val="24"/>
          <w:rtl/>
        </w:rPr>
        <w:t xml:space="preserve"> ציינה כי החוויה נתפסת בעיניה כקשה והסבה לה עוגמת נפש רבה (</w:t>
      </w:r>
      <w:r w:rsidR="006A5DB2" w:rsidRPr="00CA0CB3">
        <w:rPr>
          <w:rFonts w:cs="David" w:hint="cs"/>
          <w:b/>
          <w:bCs/>
          <w:sz w:val="24"/>
          <w:szCs w:val="24"/>
          <w:rtl/>
        </w:rPr>
        <w:t>ת/32</w:t>
      </w:r>
      <w:r w:rsidR="006A5DB2">
        <w:rPr>
          <w:rFonts w:cs="David" w:hint="cs"/>
          <w:sz w:val="24"/>
          <w:szCs w:val="24"/>
          <w:rtl/>
        </w:rPr>
        <w:t>)</w:t>
      </w:r>
      <w:r w:rsidR="00843BC4">
        <w:rPr>
          <w:rFonts w:cs="David" w:hint="cs"/>
          <w:sz w:val="24"/>
          <w:szCs w:val="24"/>
          <w:rtl/>
        </w:rPr>
        <w:t>.</w:t>
      </w:r>
      <w:r w:rsidR="006A5DB2">
        <w:rPr>
          <w:rFonts w:cs="David" w:hint="cs"/>
          <w:sz w:val="24"/>
          <w:szCs w:val="24"/>
          <w:rtl/>
        </w:rPr>
        <w:t xml:space="preserve"> </w:t>
      </w:r>
      <w:r w:rsidR="006A5DB2" w:rsidRPr="00F72B6D">
        <w:rPr>
          <w:rFonts w:cs="David" w:hint="cs"/>
          <w:b/>
          <w:bCs/>
          <w:sz w:val="24"/>
          <w:szCs w:val="24"/>
          <w:rtl/>
        </w:rPr>
        <w:t>נ' ב'</w:t>
      </w:r>
      <w:r w:rsidR="006A5DB2">
        <w:rPr>
          <w:rFonts w:cs="David" w:hint="cs"/>
          <w:sz w:val="24"/>
          <w:szCs w:val="24"/>
          <w:rtl/>
        </w:rPr>
        <w:t xml:space="preserve"> תיארה גם היא בתצהירה</w:t>
      </w:r>
      <w:r w:rsidR="00CA0CB3">
        <w:rPr>
          <w:rFonts w:cs="David" w:hint="cs"/>
          <w:sz w:val="24"/>
          <w:szCs w:val="24"/>
          <w:rtl/>
        </w:rPr>
        <w:t>ּ</w:t>
      </w:r>
      <w:r w:rsidR="006A5DB2">
        <w:rPr>
          <w:rFonts w:cs="David" w:hint="cs"/>
          <w:sz w:val="24"/>
          <w:szCs w:val="24"/>
          <w:rtl/>
        </w:rPr>
        <w:t xml:space="preserve"> תחושות של פחד, כעס וחוסר אמון. היא העידה על הצורך בליווי פסיכולוגי בעקבות האירוע, על אי השקט </w:t>
      </w:r>
      <w:r w:rsidR="00F72B6D">
        <w:rPr>
          <w:rFonts w:cs="David" w:hint="cs"/>
          <w:sz w:val="24"/>
          <w:szCs w:val="24"/>
          <w:rtl/>
        </w:rPr>
        <w:t>ש</w:t>
      </w:r>
      <w:r w:rsidR="006A5DB2">
        <w:rPr>
          <w:rFonts w:cs="David" w:hint="cs"/>
          <w:sz w:val="24"/>
          <w:szCs w:val="24"/>
          <w:rtl/>
        </w:rPr>
        <w:t>מאפיין אותה ועל חוסר יכולת להתקלח ללא השגחה. היא תיארה את החשש הכבד שליווה אותה בעקבות קבלת ההחלטה לאפשר לנאשם לשחזר את הסרטונים המחוקים ממכשיר הטלפון הנייד של הנאשם ו</w:t>
      </w:r>
      <w:r w:rsidR="00F72B6D">
        <w:rPr>
          <w:rFonts w:cs="David" w:hint="cs"/>
          <w:sz w:val="24"/>
          <w:szCs w:val="24"/>
          <w:rtl/>
        </w:rPr>
        <w:t>את הפח</w:t>
      </w:r>
      <w:r w:rsidR="00F01B63">
        <w:rPr>
          <w:rFonts w:cs="David" w:hint="cs"/>
          <w:sz w:val="24"/>
          <w:szCs w:val="24"/>
          <w:rtl/>
        </w:rPr>
        <w:t>ד</w:t>
      </w:r>
      <w:r w:rsidR="00F72B6D">
        <w:rPr>
          <w:rFonts w:cs="David" w:hint="cs"/>
          <w:sz w:val="24"/>
          <w:szCs w:val="24"/>
          <w:rtl/>
        </w:rPr>
        <w:t xml:space="preserve"> </w:t>
      </w:r>
      <w:r w:rsidR="006A5DB2">
        <w:rPr>
          <w:rFonts w:cs="David" w:hint="cs"/>
          <w:sz w:val="24"/>
          <w:szCs w:val="24"/>
          <w:rtl/>
        </w:rPr>
        <w:t>ש</w:t>
      </w:r>
      <w:r w:rsidR="00F72B6D">
        <w:rPr>
          <w:rFonts w:cs="David" w:hint="cs"/>
          <w:sz w:val="24"/>
          <w:szCs w:val="24"/>
          <w:rtl/>
        </w:rPr>
        <w:t xml:space="preserve">מא </w:t>
      </w:r>
      <w:r w:rsidR="006A5DB2">
        <w:rPr>
          <w:rFonts w:cs="David" w:hint="cs"/>
          <w:sz w:val="24"/>
          <w:szCs w:val="24"/>
          <w:rtl/>
        </w:rPr>
        <w:t xml:space="preserve">סרטונים </w:t>
      </w:r>
      <w:r w:rsidR="00F72B6D">
        <w:rPr>
          <w:rFonts w:cs="David" w:hint="cs"/>
          <w:sz w:val="24"/>
          <w:szCs w:val="24"/>
          <w:rtl/>
        </w:rPr>
        <w:t>יאותרו ו</w:t>
      </w:r>
      <w:r w:rsidR="006A5DB2">
        <w:rPr>
          <w:rFonts w:cs="David" w:hint="cs"/>
          <w:sz w:val="24"/>
          <w:szCs w:val="24"/>
          <w:rtl/>
        </w:rPr>
        <w:t>יופצו. היא הביעה את מורת רוחה מהתמשכות ההליך ו</w:t>
      </w:r>
      <w:r w:rsidR="00F72B6D">
        <w:rPr>
          <w:rFonts w:cs="David" w:hint="cs"/>
          <w:sz w:val="24"/>
          <w:szCs w:val="24"/>
          <w:rtl/>
        </w:rPr>
        <w:t>מ</w:t>
      </w:r>
      <w:r w:rsidR="006A5DB2">
        <w:rPr>
          <w:rFonts w:cs="David" w:hint="cs"/>
          <w:sz w:val="24"/>
          <w:szCs w:val="24"/>
          <w:rtl/>
        </w:rPr>
        <w:t>ה</w:t>
      </w:r>
      <w:r w:rsidR="00F72B6D">
        <w:rPr>
          <w:rFonts w:cs="David" w:hint="cs"/>
          <w:sz w:val="24"/>
          <w:szCs w:val="24"/>
          <w:rtl/>
        </w:rPr>
        <w:t>י</w:t>
      </w:r>
      <w:r w:rsidR="006A5DB2">
        <w:rPr>
          <w:rFonts w:cs="David" w:hint="cs"/>
          <w:sz w:val="24"/>
          <w:szCs w:val="24"/>
          <w:rtl/>
        </w:rPr>
        <w:t>עדר ענישת המעורבים בדבר והביעה תקווה כי הצדק יצא לאור (</w:t>
      </w:r>
      <w:r w:rsidR="006A5DB2" w:rsidRPr="00CA0CB3">
        <w:rPr>
          <w:rFonts w:cs="David" w:hint="cs"/>
          <w:b/>
          <w:bCs/>
          <w:sz w:val="24"/>
          <w:szCs w:val="24"/>
          <w:rtl/>
        </w:rPr>
        <w:t>ת/33</w:t>
      </w:r>
      <w:r w:rsidR="006A5DB2">
        <w:rPr>
          <w:rFonts w:cs="David" w:hint="cs"/>
          <w:sz w:val="24"/>
          <w:szCs w:val="24"/>
          <w:rtl/>
        </w:rPr>
        <w:t xml:space="preserve">). תחושותיהן הקשות של נפגעות העברה </w:t>
      </w:r>
      <w:r w:rsidR="00CA0CB3">
        <w:rPr>
          <w:rFonts w:cs="David" w:hint="cs"/>
          <w:sz w:val="24"/>
          <w:szCs w:val="24"/>
          <w:rtl/>
        </w:rPr>
        <w:t xml:space="preserve">והנזק שנגרם להן </w:t>
      </w:r>
      <w:r w:rsidR="006A5DB2">
        <w:rPr>
          <w:rFonts w:cs="David" w:hint="cs"/>
          <w:sz w:val="24"/>
          <w:szCs w:val="24"/>
          <w:rtl/>
        </w:rPr>
        <w:t>על רקע התרחשות אירועי הצילום ראוי</w:t>
      </w:r>
      <w:r w:rsidR="00CA0CB3">
        <w:rPr>
          <w:rFonts w:cs="David" w:hint="cs"/>
          <w:sz w:val="24"/>
          <w:szCs w:val="24"/>
          <w:rtl/>
        </w:rPr>
        <w:t xml:space="preserve">ים </w:t>
      </w:r>
      <w:r w:rsidR="006A5DB2">
        <w:rPr>
          <w:rFonts w:cs="David" w:hint="cs"/>
          <w:sz w:val="24"/>
          <w:szCs w:val="24"/>
          <w:rtl/>
        </w:rPr>
        <w:t>גם ה</w:t>
      </w:r>
      <w:r w:rsidR="00CA0CB3">
        <w:rPr>
          <w:rFonts w:cs="David" w:hint="cs"/>
          <w:sz w:val="24"/>
          <w:szCs w:val="24"/>
          <w:rtl/>
        </w:rPr>
        <w:t>ם</w:t>
      </w:r>
      <w:r w:rsidR="006A5DB2">
        <w:rPr>
          <w:rFonts w:cs="David" w:hint="cs"/>
          <w:sz w:val="24"/>
          <w:szCs w:val="24"/>
          <w:rtl/>
        </w:rPr>
        <w:t xml:space="preserve"> למשקל בבואנו לקבוע את מתחם העונש ההולם את </w:t>
      </w:r>
      <w:r w:rsidR="00CA0CB3">
        <w:rPr>
          <w:rFonts w:cs="David" w:hint="cs"/>
          <w:sz w:val="24"/>
          <w:szCs w:val="24"/>
          <w:rtl/>
        </w:rPr>
        <w:t>המעשים</w:t>
      </w:r>
      <w:r w:rsidR="006A5DB2">
        <w:rPr>
          <w:rFonts w:cs="David" w:hint="cs"/>
          <w:sz w:val="24"/>
          <w:szCs w:val="24"/>
          <w:rtl/>
        </w:rPr>
        <w:t xml:space="preserve">. מובן כי את טענת הסנגור כי מצ"ח והתביעה הצבאית </w:t>
      </w:r>
      <w:r w:rsidR="00CA0CB3">
        <w:rPr>
          <w:rFonts w:cs="David" w:hint="cs"/>
          <w:sz w:val="24"/>
          <w:szCs w:val="24"/>
          <w:rtl/>
        </w:rPr>
        <w:t>הציבו את</w:t>
      </w:r>
      <w:r w:rsidR="006A5DB2">
        <w:rPr>
          <w:rFonts w:cs="David" w:hint="cs"/>
          <w:sz w:val="24"/>
          <w:szCs w:val="24"/>
          <w:rtl/>
        </w:rPr>
        <w:t xml:space="preserve"> נפגעות העברה </w:t>
      </w:r>
      <w:r w:rsidR="00CA0CB3">
        <w:rPr>
          <w:rFonts w:cs="David" w:hint="cs"/>
          <w:sz w:val="24"/>
          <w:szCs w:val="24"/>
          <w:rtl/>
        </w:rPr>
        <w:t>במקום "</w:t>
      </w:r>
      <w:r w:rsidR="00CA0CB3" w:rsidRPr="00CA0CB3">
        <w:rPr>
          <w:rFonts w:cs="David" w:hint="cs"/>
          <w:sz w:val="24"/>
          <w:szCs w:val="24"/>
          <w:rtl/>
        </w:rPr>
        <w:t xml:space="preserve"> </w:t>
      </w:r>
      <w:r w:rsidR="00CA0CB3">
        <w:rPr>
          <w:rFonts w:cs="David" w:hint="cs"/>
          <w:sz w:val="24"/>
          <w:szCs w:val="24"/>
          <w:rtl/>
        </w:rPr>
        <w:t xml:space="preserve">יותר פגיע" </w:t>
      </w:r>
      <w:r w:rsidR="006A5DB2" w:rsidRPr="00CA0CB3">
        <w:rPr>
          <w:rFonts w:cs="David" w:hint="cs"/>
          <w:sz w:val="24"/>
          <w:szCs w:val="24"/>
          <w:rtl/>
        </w:rPr>
        <w:t>יש לדחות</w:t>
      </w:r>
      <w:r w:rsidR="00CA0CB3">
        <w:rPr>
          <w:rFonts w:cs="David" w:hint="cs"/>
          <w:sz w:val="24"/>
          <w:szCs w:val="24"/>
          <w:rtl/>
        </w:rPr>
        <w:t xml:space="preserve"> מכל וכל, באשר גורמים אלה פעלו על פי דין. בהקשר זה אין למעט מחומרת מעשיו של הנאשם, אשר הוא ולא אחר, הגורם האחראי על תחושותיהן הקשות של נפגעות העברה</w:t>
      </w:r>
      <w:r w:rsidR="00CA0CB3" w:rsidRPr="00CA0CB3">
        <w:rPr>
          <w:rFonts w:cs="David" w:hint="cs"/>
          <w:sz w:val="24"/>
          <w:szCs w:val="24"/>
          <w:rtl/>
        </w:rPr>
        <w:t xml:space="preserve">. בנוסף, </w:t>
      </w:r>
      <w:r w:rsidRPr="00CA0CB3">
        <w:rPr>
          <w:rFonts w:cs="David" w:hint="cs"/>
          <w:sz w:val="24"/>
          <w:szCs w:val="24"/>
          <w:rtl/>
        </w:rPr>
        <w:t>אין למעט בחומרתם של מעשי הצילום גם כלפ</w:t>
      </w:r>
      <w:r w:rsidR="00CA0CB3">
        <w:rPr>
          <w:rFonts w:cs="David" w:hint="cs"/>
          <w:sz w:val="24"/>
          <w:szCs w:val="24"/>
          <w:rtl/>
        </w:rPr>
        <w:t xml:space="preserve">י אותן חיילות שזהותן אינה ידועה. כבר </w:t>
      </w:r>
      <w:r w:rsidRPr="00CA0CB3">
        <w:rPr>
          <w:rFonts w:cs="David" w:hint="cs"/>
          <w:sz w:val="24"/>
          <w:szCs w:val="24"/>
          <w:rtl/>
        </w:rPr>
        <w:t>נקבע כי העובדה שהמצולמים לא ידעו על דבר הצילום אינה מקהה מחומרת המעשים ומ</w:t>
      </w:r>
      <w:r w:rsidRPr="00CA0CB3">
        <w:rPr>
          <w:rFonts w:cs="David"/>
          <w:sz w:val="24"/>
          <w:szCs w:val="24"/>
          <w:rtl/>
        </w:rPr>
        <w:t xml:space="preserve">אופיים המגונה </w:t>
      </w:r>
      <w:r w:rsidRPr="00CA0CB3">
        <w:rPr>
          <w:rFonts w:cs="David" w:hint="cs"/>
          <w:sz w:val="24"/>
          <w:szCs w:val="24"/>
          <w:rtl/>
        </w:rPr>
        <w:t>(</w:t>
      </w:r>
      <w:r w:rsidRPr="00CA0CB3">
        <w:rPr>
          <w:rFonts w:cs="David"/>
          <w:sz w:val="24"/>
          <w:szCs w:val="24"/>
          <w:rtl/>
        </w:rPr>
        <w:t xml:space="preserve">ע"פ 9603/09 </w:t>
      </w:r>
      <w:r w:rsidRPr="00CA0CB3">
        <w:rPr>
          <w:rFonts w:cs="David"/>
          <w:b/>
          <w:bCs/>
          <w:sz w:val="24"/>
          <w:szCs w:val="24"/>
          <w:rtl/>
        </w:rPr>
        <w:t>פלוני נ' מדינת ישרא</w:t>
      </w:r>
      <w:r w:rsidRPr="00CA0CB3">
        <w:rPr>
          <w:rFonts w:cs="David" w:hint="cs"/>
          <w:b/>
          <w:bCs/>
          <w:sz w:val="24"/>
          <w:szCs w:val="24"/>
          <w:rtl/>
        </w:rPr>
        <w:t>ל</w:t>
      </w:r>
      <w:r w:rsidRPr="00CA0CB3">
        <w:rPr>
          <w:rFonts w:cs="David" w:hint="cs"/>
          <w:sz w:val="24"/>
          <w:szCs w:val="24"/>
          <w:rtl/>
        </w:rPr>
        <w:t xml:space="preserve">, בפס' 18 לפסק דינו של כב' </w:t>
      </w:r>
      <w:proofErr w:type="spellStart"/>
      <w:r w:rsidRPr="00CA0CB3">
        <w:rPr>
          <w:rFonts w:cs="David" w:hint="cs"/>
          <w:sz w:val="24"/>
          <w:szCs w:val="24"/>
          <w:rtl/>
        </w:rPr>
        <w:t>הש</w:t>
      </w:r>
      <w:proofErr w:type="spellEnd"/>
      <w:r w:rsidRPr="00CA0CB3">
        <w:rPr>
          <w:rFonts w:cs="David" w:hint="cs"/>
          <w:sz w:val="24"/>
          <w:szCs w:val="24"/>
          <w:rtl/>
        </w:rPr>
        <w:t>' ג'ובראן (טרם פורסם, 27.9.</w:t>
      </w:r>
      <w:r w:rsidR="00CA0CB3">
        <w:rPr>
          <w:rFonts w:cs="David" w:hint="cs"/>
          <w:sz w:val="24"/>
          <w:szCs w:val="24"/>
          <w:rtl/>
        </w:rPr>
        <w:t xml:space="preserve">2011); </w:t>
      </w:r>
      <w:r w:rsidRPr="00CA0CB3">
        <w:rPr>
          <w:rFonts w:cs="David" w:hint="cs"/>
          <w:sz w:val="24"/>
          <w:szCs w:val="24"/>
          <w:rtl/>
        </w:rPr>
        <w:t xml:space="preserve">ע"פ </w:t>
      </w:r>
      <w:r w:rsidRPr="00CA0CB3">
        <w:rPr>
          <w:rFonts w:cs="David"/>
          <w:sz w:val="24"/>
          <w:szCs w:val="24"/>
          <w:rtl/>
        </w:rPr>
        <w:t xml:space="preserve">1269/15 </w:t>
      </w:r>
      <w:r w:rsidRPr="00CA0CB3">
        <w:rPr>
          <w:rFonts w:cs="David"/>
          <w:b/>
          <w:bCs/>
          <w:sz w:val="24"/>
          <w:szCs w:val="24"/>
          <w:rtl/>
        </w:rPr>
        <w:t>פלוני נ' מדינת ישראל</w:t>
      </w:r>
      <w:r w:rsidRPr="00CA0CB3">
        <w:rPr>
          <w:rFonts w:cs="David" w:hint="cs"/>
          <w:sz w:val="24"/>
          <w:szCs w:val="24"/>
          <w:rtl/>
        </w:rPr>
        <w:t>, בפס' 10 (טרם פורסם 23.12.2015))</w:t>
      </w:r>
      <w:r w:rsidR="00CA0CB3">
        <w:rPr>
          <w:rFonts w:cs="David" w:hint="cs"/>
          <w:sz w:val="24"/>
          <w:szCs w:val="24"/>
          <w:rtl/>
        </w:rPr>
        <w:t xml:space="preserve">. </w:t>
      </w:r>
      <w:r w:rsidR="00FF0880">
        <w:rPr>
          <w:rFonts w:cs="David" w:hint="cs"/>
          <w:sz w:val="24"/>
          <w:szCs w:val="24"/>
          <w:rtl/>
        </w:rPr>
        <w:t xml:space="preserve">בצד שיקולים אלה, נתנו דעתנו להעדרו של נזק פוטנציאלי נוסף </w:t>
      </w:r>
      <w:r w:rsidR="00F72B6D">
        <w:rPr>
          <w:rFonts w:cs="David" w:hint="cs"/>
          <w:sz w:val="24"/>
          <w:szCs w:val="24"/>
          <w:rtl/>
        </w:rPr>
        <w:t>שע</w:t>
      </w:r>
      <w:r w:rsidR="00B26BE8">
        <w:rPr>
          <w:rFonts w:cs="David" w:hint="cs"/>
          <w:sz w:val="24"/>
          <w:szCs w:val="24"/>
          <w:rtl/>
        </w:rPr>
        <w:t>לול</w:t>
      </w:r>
      <w:r w:rsidR="00F72B6D">
        <w:rPr>
          <w:rFonts w:cs="David" w:hint="cs"/>
          <w:sz w:val="24"/>
          <w:szCs w:val="24"/>
          <w:rtl/>
        </w:rPr>
        <w:t xml:space="preserve"> לנבוע מן המעשים,</w:t>
      </w:r>
      <w:r w:rsidR="00FF0880">
        <w:rPr>
          <w:rFonts w:cs="David" w:hint="cs"/>
          <w:sz w:val="24"/>
          <w:szCs w:val="24"/>
          <w:rtl/>
        </w:rPr>
        <w:t xml:space="preserve"> שהרי כלל הסרטונים שצולמו נמחקו ולא שוחזרו.</w:t>
      </w:r>
      <w:bookmarkEnd w:id="0"/>
      <w:r w:rsidR="00FF0880">
        <w:rPr>
          <w:rFonts w:cs="David" w:hint="cs"/>
          <w:sz w:val="24"/>
          <w:szCs w:val="24"/>
          <w:rtl/>
        </w:rPr>
        <w:t xml:space="preserve"> </w:t>
      </w:r>
    </w:p>
    <w:p w14:paraId="5F4D4694" w14:textId="77777777" w:rsidR="00ED2992" w:rsidRDefault="00F801C6" w:rsidP="00892183">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הערכים החברתיים המוגנים ו</w:t>
      </w:r>
      <w:r w:rsidR="00ED2992">
        <w:rPr>
          <w:rFonts w:cs="David" w:hint="cs"/>
          <w:sz w:val="24"/>
          <w:szCs w:val="24"/>
          <w:rtl/>
        </w:rPr>
        <w:t xml:space="preserve">מדיניות הענישה הנוהגת </w:t>
      </w:r>
      <w:r>
        <w:rPr>
          <w:rFonts w:cs="David" w:hint="cs"/>
          <w:sz w:val="24"/>
          <w:szCs w:val="24"/>
          <w:rtl/>
        </w:rPr>
        <w:t>בראי נסיבות ביצוע העב</w:t>
      </w:r>
      <w:r w:rsidR="00ED2992">
        <w:rPr>
          <w:rFonts w:cs="David" w:hint="cs"/>
          <w:sz w:val="24"/>
          <w:szCs w:val="24"/>
          <w:rtl/>
        </w:rPr>
        <w:t>ר</w:t>
      </w:r>
      <w:r>
        <w:rPr>
          <w:rFonts w:cs="David" w:hint="cs"/>
          <w:sz w:val="24"/>
          <w:szCs w:val="24"/>
          <w:rtl/>
        </w:rPr>
        <w:t>ות</w:t>
      </w:r>
      <w:r w:rsidR="00ED2992">
        <w:rPr>
          <w:rFonts w:cs="David" w:hint="cs"/>
          <w:sz w:val="24"/>
          <w:szCs w:val="24"/>
          <w:rtl/>
        </w:rPr>
        <w:t xml:space="preserve"> </w:t>
      </w:r>
      <w:r>
        <w:rPr>
          <w:rFonts w:cs="David" w:hint="cs"/>
          <w:sz w:val="24"/>
          <w:szCs w:val="24"/>
          <w:rtl/>
        </w:rPr>
        <w:t xml:space="preserve">שלפנינו </w:t>
      </w:r>
      <w:r w:rsidR="00ED2992">
        <w:rPr>
          <w:rFonts w:cs="David" w:hint="cs"/>
          <w:sz w:val="24"/>
          <w:szCs w:val="24"/>
          <w:rtl/>
        </w:rPr>
        <w:t xml:space="preserve">(ראו סעיף 40ג(א) לחוק העונשין) </w:t>
      </w:r>
      <w:r w:rsidR="00CA0CB3">
        <w:rPr>
          <w:rFonts w:cs="David" w:hint="cs"/>
          <w:sz w:val="24"/>
          <w:szCs w:val="24"/>
          <w:rtl/>
        </w:rPr>
        <w:t xml:space="preserve">מצדיקים קביעת מתחם ענישה </w:t>
      </w:r>
      <w:r w:rsidR="00061EC4">
        <w:rPr>
          <w:rFonts w:cs="David" w:hint="cs"/>
          <w:sz w:val="24"/>
          <w:szCs w:val="24"/>
          <w:rtl/>
        </w:rPr>
        <w:t>של</w:t>
      </w:r>
      <w:r w:rsidR="00CA0CB3">
        <w:rPr>
          <w:rFonts w:cs="David" w:hint="cs"/>
          <w:sz w:val="24"/>
          <w:szCs w:val="24"/>
          <w:rtl/>
        </w:rPr>
        <w:t xml:space="preserve"> </w:t>
      </w:r>
      <w:r w:rsidR="00892183">
        <w:rPr>
          <w:rFonts w:cs="David" w:hint="cs"/>
          <w:b/>
          <w:bCs/>
          <w:sz w:val="24"/>
          <w:szCs w:val="24"/>
          <w:rtl/>
        </w:rPr>
        <w:t>ארבעה</w:t>
      </w:r>
      <w:r w:rsidR="00CA0CB3" w:rsidRPr="00CA0CB3">
        <w:rPr>
          <w:rFonts w:cs="David" w:hint="cs"/>
          <w:b/>
          <w:bCs/>
          <w:sz w:val="24"/>
          <w:szCs w:val="24"/>
          <w:rtl/>
        </w:rPr>
        <w:t xml:space="preserve"> </w:t>
      </w:r>
      <w:r w:rsidR="00061EC4">
        <w:rPr>
          <w:rFonts w:cs="David" w:hint="cs"/>
          <w:b/>
          <w:bCs/>
          <w:sz w:val="24"/>
          <w:szCs w:val="24"/>
          <w:rtl/>
        </w:rPr>
        <w:t xml:space="preserve">עד </w:t>
      </w:r>
      <w:r w:rsidR="00892183">
        <w:rPr>
          <w:rFonts w:cs="David" w:hint="cs"/>
          <w:b/>
          <w:bCs/>
          <w:sz w:val="24"/>
          <w:szCs w:val="24"/>
          <w:rtl/>
        </w:rPr>
        <w:t>שמונה</w:t>
      </w:r>
      <w:r w:rsidR="00CA0CB3" w:rsidRPr="00CA0CB3">
        <w:rPr>
          <w:rFonts w:cs="David" w:hint="cs"/>
          <w:b/>
          <w:bCs/>
          <w:sz w:val="24"/>
          <w:szCs w:val="24"/>
          <w:rtl/>
        </w:rPr>
        <w:t xml:space="preserve"> </w:t>
      </w:r>
      <w:r w:rsidR="00CA0CB3">
        <w:rPr>
          <w:rFonts w:cs="David" w:hint="cs"/>
          <w:sz w:val="24"/>
          <w:szCs w:val="24"/>
          <w:rtl/>
        </w:rPr>
        <w:t>חודשי מאסר לריצוי בפועל.</w:t>
      </w:r>
    </w:p>
    <w:p w14:paraId="3299789A" w14:textId="77777777" w:rsidR="0092205D" w:rsidRPr="00007D79" w:rsidRDefault="0092205D" w:rsidP="0092205D">
      <w:pPr>
        <w:autoSpaceDE w:val="0"/>
        <w:autoSpaceDN w:val="0"/>
        <w:spacing w:after="0" w:line="360" w:lineRule="auto"/>
        <w:ind w:left="360"/>
        <w:jc w:val="both"/>
        <w:rPr>
          <w:rFonts w:cs="David"/>
          <w:sz w:val="24"/>
          <w:szCs w:val="24"/>
          <w:rtl/>
        </w:rPr>
      </w:pPr>
    </w:p>
    <w:p w14:paraId="44B487CF" w14:textId="77777777" w:rsidR="000E37FE" w:rsidRDefault="00FF0880" w:rsidP="00F72B6D">
      <w:pPr>
        <w:autoSpaceDE w:val="0"/>
        <w:autoSpaceDN w:val="0"/>
        <w:spacing w:after="0" w:line="360" w:lineRule="auto"/>
        <w:jc w:val="both"/>
        <w:rPr>
          <w:rFonts w:cs="David"/>
          <w:b/>
          <w:bCs/>
          <w:sz w:val="24"/>
          <w:szCs w:val="24"/>
          <w:rtl/>
        </w:rPr>
      </w:pPr>
      <w:r>
        <w:rPr>
          <w:rFonts w:cs="David" w:hint="cs"/>
          <w:b/>
          <w:bCs/>
          <w:sz w:val="24"/>
          <w:szCs w:val="24"/>
          <w:rtl/>
        </w:rPr>
        <w:t xml:space="preserve">מידת </w:t>
      </w:r>
      <w:r w:rsidR="000E37FE">
        <w:rPr>
          <w:rFonts w:cs="David" w:hint="cs"/>
          <w:b/>
          <w:bCs/>
          <w:sz w:val="24"/>
          <w:szCs w:val="24"/>
          <w:rtl/>
        </w:rPr>
        <w:t xml:space="preserve">העונש </w:t>
      </w:r>
      <w:r w:rsidR="00F72B6D">
        <w:rPr>
          <w:rFonts w:cs="David" w:hint="cs"/>
          <w:b/>
          <w:bCs/>
          <w:sz w:val="24"/>
          <w:szCs w:val="24"/>
          <w:rtl/>
        </w:rPr>
        <w:t>הראוי</w:t>
      </w:r>
    </w:p>
    <w:p w14:paraId="5CCADE33" w14:textId="77777777" w:rsidR="00F801C6" w:rsidRDefault="00F801C6" w:rsidP="00F801C6">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מצאנו כי מקרה זה אינו מקים הצדקה לחרוג ממתחם העונש ההולם. בתוך מתחם העונש ההולם, הצבנו על כפות המאזנים מספר שיקולים ו</w:t>
      </w:r>
      <w:r w:rsidR="006A08A6">
        <w:rPr>
          <w:rFonts w:cs="David" w:hint="cs"/>
          <w:sz w:val="24"/>
          <w:szCs w:val="24"/>
          <w:rtl/>
        </w:rPr>
        <w:t xml:space="preserve">שקלנו שורת </w:t>
      </w:r>
      <w:r>
        <w:rPr>
          <w:rFonts w:cs="David" w:hint="cs"/>
          <w:sz w:val="24"/>
          <w:szCs w:val="24"/>
          <w:rtl/>
        </w:rPr>
        <w:t>נסיבות</w:t>
      </w:r>
      <w:r w:rsidR="006A08A6">
        <w:rPr>
          <w:rFonts w:cs="David" w:hint="cs"/>
          <w:sz w:val="24"/>
          <w:szCs w:val="24"/>
          <w:rtl/>
        </w:rPr>
        <w:t xml:space="preserve"> שאינן קשורות בביצוע העברה</w:t>
      </w:r>
      <w:r>
        <w:rPr>
          <w:rFonts w:cs="David" w:hint="cs"/>
          <w:sz w:val="24"/>
          <w:szCs w:val="24"/>
          <w:rtl/>
        </w:rPr>
        <w:t xml:space="preserve">.   </w:t>
      </w:r>
    </w:p>
    <w:p w14:paraId="6DBB27BC" w14:textId="77777777" w:rsidR="006A08A6" w:rsidRDefault="00F801C6" w:rsidP="006A08A6">
      <w:pPr>
        <w:numPr>
          <w:ilvl w:val="0"/>
          <w:numId w:val="9"/>
        </w:numPr>
        <w:tabs>
          <w:tab w:val="num" w:pos="386"/>
        </w:tabs>
        <w:autoSpaceDE w:val="0"/>
        <w:autoSpaceDN w:val="0"/>
        <w:spacing w:after="0" w:line="360" w:lineRule="auto"/>
        <w:ind w:left="360"/>
        <w:jc w:val="both"/>
        <w:rPr>
          <w:rFonts w:cs="David"/>
          <w:sz w:val="24"/>
          <w:szCs w:val="24"/>
        </w:rPr>
      </w:pPr>
      <w:r w:rsidRPr="006A08A6">
        <w:rPr>
          <w:rFonts w:cs="David" w:hint="cs"/>
          <w:sz w:val="24"/>
          <w:szCs w:val="24"/>
          <w:rtl/>
        </w:rPr>
        <w:t xml:space="preserve">ראשית, את שיקול </w:t>
      </w:r>
      <w:r w:rsidRPr="006A08A6">
        <w:rPr>
          <w:rFonts w:cs="David" w:hint="cs"/>
          <w:b/>
          <w:bCs/>
          <w:sz w:val="24"/>
          <w:szCs w:val="24"/>
          <w:rtl/>
        </w:rPr>
        <w:t xml:space="preserve">הרתעת הרבים </w:t>
      </w:r>
      <w:r w:rsidRPr="006A08A6">
        <w:rPr>
          <w:rFonts w:cs="David" w:hint="cs"/>
          <w:sz w:val="24"/>
          <w:szCs w:val="24"/>
          <w:rtl/>
        </w:rPr>
        <w:t xml:space="preserve">(סעיף 40ז לחוק העונשין). מאפייני העברות שבהן הורשע הנאשם הפכו נפוצות במחוזותינו בצבא ובכלל. הקדמה הטכנולוגית מביאה איתה דרכים חדשות לביצוע עברות. למרבה הצער </w:t>
      </w:r>
      <w:r w:rsidR="006A08A6" w:rsidRPr="006A08A6">
        <w:rPr>
          <w:rFonts w:cs="David" w:hint="cs"/>
          <w:sz w:val="24"/>
          <w:szCs w:val="24"/>
          <w:rtl/>
        </w:rPr>
        <w:t>יש מי שמנצל את האמצעים הטכנולוגים העכשוו</w:t>
      </w:r>
      <w:r w:rsidR="00FF0880">
        <w:rPr>
          <w:rFonts w:cs="David" w:hint="cs"/>
          <w:sz w:val="24"/>
          <w:szCs w:val="24"/>
          <w:rtl/>
        </w:rPr>
        <w:t>י</w:t>
      </w:r>
      <w:r w:rsidR="006A08A6" w:rsidRPr="006A08A6">
        <w:rPr>
          <w:rFonts w:cs="David" w:hint="cs"/>
          <w:sz w:val="24"/>
          <w:szCs w:val="24"/>
          <w:rtl/>
        </w:rPr>
        <w:t>ים לגישה בלתי מורשית למרחבים פרטיים. עברות מעין אלה יש למגר. המסר צריך להיות חד וברור כי מי שמהין לעשות שימוש באמצעים הקיימים לתיעוד אנשים בצנעתם, ברשות היחיד, קל וחומר אם מפרסם את החומר, עובר קו גבול שהענישה עליו ראויה להיות מכבידה</w:t>
      </w:r>
      <w:r w:rsidR="006A08A6">
        <w:rPr>
          <w:rFonts w:cs="David" w:hint="cs"/>
          <w:sz w:val="24"/>
          <w:szCs w:val="24"/>
          <w:rtl/>
        </w:rPr>
        <w:t xml:space="preserve"> (עניין </w:t>
      </w:r>
      <w:proofErr w:type="spellStart"/>
      <w:r w:rsidR="006A08A6" w:rsidRPr="006A08A6">
        <w:rPr>
          <w:rFonts w:cs="David" w:hint="cs"/>
          <w:b/>
          <w:bCs/>
          <w:sz w:val="24"/>
          <w:szCs w:val="24"/>
          <w:rtl/>
        </w:rPr>
        <w:t>סולימני</w:t>
      </w:r>
      <w:proofErr w:type="spellEnd"/>
      <w:r w:rsidR="006A08A6">
        <w:rPr>
          <w:rFonts w:cs="David" w:hint="cs"/>
          <w:sz w:val="24"/>
          <w:szCs w:val="24"/>
          <w:rtl/>
        </w:rPr>
        <w:t xml:space="preserve"> לעיל בפס' 21 והאסמכתאות שם)</w:t>
      </w:r>
      <w:r w:rsidR="006A08A6" w:rsidRPr="006A08A6">
        <w:rPr>
          <w:rFonts w:cs="David" w:hint="cs"/>
          <w:sz w:val="24"/>
          <w:szCs w:val="24"/>
          <w:rtl/>
        </w:rPr>
        <w:t>.</w:t>
      </w:r>
      <w:r w:rsidR="006A08A6">
        <w:rPr>
          <w:rFonts w:cs="David" w:hint="cs"/>
          <w:sz w:val="24"/>
          <w:szCs w:val="24"/>
          <w:rtl/>
        </w:rPr>
        <w:t xml:space="preserve"> </w:t>
      </w:r>
    </w:p>
    <w:p w14:paraId="3FF05600" w14:textId="77777777" w:rsidR="00546E9C" w:rsidRDefault="006A08A6" w:rsidP="00FF0880">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אשר </w:t>
      </w:r>
      <w:r w:rsidRPr="00546E9C">
        <w:rPr>
          <w:rFonts w:cs="David" w:hint="cs"/>
          <w:b/>
          <w:bCs/>
          <w:sz w:val="24"/>
          <w:szCs w:val="24"/>
          <w:rtl/>
        </w:rPr>
        <w:t xml:space="preserve">להרתעת הנאשם </w:t>
      </w:r>
      <w:r w:rsidR="00AC56EE" w:rsidRPr="00546E9C">
        <w:rPr>
          <w:rFonts w:cs="David" w:hint="cs"/>
          <w:b/>
          <w:bCs/>
          <w:sz w:val="24"/>
          <w:szCs w:val="24"/>
          <w:rtl/>
        </w:rPr>
        <w:t>ולנסיבותיו האישיות</w:t>
      </w:r>
      <w:r w:rsidR="00AC56EE">
        <w:rPr>
          <w:rFonts w:cs="David" w:hint="cs"/>
          <w:sz w:val="24"/>
          <w:szCs w:val="24"/>
          <w:rtl/>
        </w:rPr>
        <w:t>,</w:t>
      </w:r>
      <w:r>
        <w:rPr>
          <w:rFonts w:cs="David" w:hint="cs"/>
          <w:sz w:val="24"/>
          <w:szCs w:val="24"/>
          <w:rtl/>
        </w:rPr>
        <w:t xml:space="preserve"> מצאנו כי אין ממש בטיעון הסנגור </w:t>
      </w:r>
      <w:r w:rsidR="00AC56EE">
        <w:rPr>
          <w:rFonts w:cs="David" w:hint="cs"/>
          <w:sz w:val="24"/>
          <w:szCs w:val="24"/>
          <w:rtl/>
        </w:rPr>
        <w:t xml:space="preserve">שלפיו </w:t>
      </w:r>
      <w:r>
        <w:rPr>
          <w:rFonts w:cs="David" w:hint="cs"/>
          <w:sz w:val="24"/>
          <w:szCs w:val="24"/>
          <w:rtl/>
        </w:rPr>
        <w:t>הנאשם אינו צפוי לחזור לשירות צבאי ולכן אין חשיבות להכבדה בענ</w:t>
      </w:r>
      <w:r w:rsidR="00E21089">
        <w:rPr>
          <w:rFonts w:cs="David" w:hint="cs"/>
          <w:sz w:val="24"/>
          <w:szCs w:val="24"/>
          <w:rtl/>
        </w:rPr>
        <w:t>ישתו מבחינת המסר לחבריו ביחידה</w:t>
      </w:r>
      <w:r w:rsidR="007F3403">
        <w:rPr>
          <w:rFonts w:cs="David" w:hint="cs"/>
          <w:sz w:val="24"/>
          <w:szCs w:val="24"/>
          <w:rtl/>
        </w:rPr>
        <w:t xml:space="preserve">. </w:t>
      </w:r>
      <w:r w:rsidR="00E21089">
        <w:rPr>
          <w:rFonts w:cs="David" w:hint="cs"/>
          <w:sz w:val="24"/>
          <w:szCs w:val="24"/>
          <w:rtl/>
        </w:rPr>
        <w:t xml:space="preserve">ברור כי </w:t>
      </w:r>
      <w:r>
        <w:rPr>
          <w:rFonts w:cs="David" w:hint="cs"/>
          <w:sz w:val="24"/>
          <w:szCs w:val="24"/>
          <w:rtl/>
        </w:rPr>
        <w:t xml:space="preserve">אין להתבונן על המסר ההרתעתי הנשמע בפסקי הדין הצבאיים מתוך פריזמה צרה של </w:t>
      </w:r>
      <w:r w:rsidR="00E21089">
        <w:rPr>
          <w:rFonts w:cs="David" w:hint="cs"/>
          <w:sz w:val="24"/>
          <w:szCs w:val="24"/>
          <w:rtl/>
        </w:rPr>
        <w:t xml:space="preserve">השאלה האם הנאשם ישוב ליחידתו. המסר </w:t>
      </w:r>
      <w:r w:rsidR="00AC56EE">
        <w:rPr>
          <w:rFonts w:cs="David" w:hint="cs"/>
          <w:sz w:val="24"/>
          <w:szCs w:val="24"/>
          <w:rtl/>
        </w:rPr>
        <w:t xml:space="preserve">ההרתעתי </w:t>
      </w:r>
      <w:r w:rsidR="00E21089">
        <w:rPr>
          <w:rFonts w:cs="David" w:hint="cs"/>
          <w:sz w:val="24"/>
          <w:szCs w:val="24"/>
          <w:rtl/>
        </w:rPr>
        <w:t xml:space="preserve">ראוי כי יהדהד בכלל יחידות </w:t>
      </w:r>
      <w:r w:rsidR="00E21089">
        <w:rPr>
          <w:rFonts w:cs="David" w:hint="cs"/>
          <w:sz w:val="24"/>
          <w:szCs w:val="24"/>
          <w:rtl/>
        </w:rPr>
        <w:lastRenderedPageBreak/>
        <w:t>הצבא</w:t>
      </w:r>
      <w:r w:rsidR="00AC56EE">
        <w:rPr>
          <w:rFonts w:cs="David" w:hint="cs"/>
          <w:sz w:val="24"/>
          <w:szCs w:val="24"/>
          <w:rtl/>
        </w:rPr>
        <w:t xml:space="preserve">. </w:t>
      </w:r>
      <w:r w:rsidR="00E21089">
        <w:rPr>
          <w:rFonts w:cs="David" w:hint="cs"/>
          <w:sz w:val="24"/>
          <w:szCs w:val="24"/>
          <w:rtl/>
        </w:rPr>
        <w:t xml:space="preserve">כלפי </w:t>
      </w:r>
      <w:r w:rsidR="00AC56EE">
        <w:rPr>
          <w:rFonts w:cs="David" w:hint="cs"/>
          <w:sz w:val="24"/>
          <w:szCs w:val="24"/>
          <w:rtl/>
        </w:rPr>
        <w:t>הנאשם שלפנינו (ו</w:t>
      </w:r>
      <w:r w:rsidR="00E21089">
        <w:rPr>
          <w:rFonts w:cs="David" w:hint="cs"/>
          <w:sz w:val="24"/>
          <w:szCs w:val="24"/>
          <w:rtl/>
        </w:rPr>
        <w:t xml:space="preserve">נאשמים פוטנציאלים </w:t>
      </w:r>
      <w:r w:rsidR="00AC56EE">
        <w:rPr>
          <w:rFonts w:cs="David" w:hint="cs"/>
          <w:sz w:val="24"/>
          <w:szCs w:val="24"/>
          <w:rtl/>
        </w:rPr>
        <w:t xml:space="preserve">אחרים) </w:t>
      </w:r>
      <w:r w:rsidR="00E21089">
        <w:rPr>
          <w:rFonts w:cs="David" w:hint="cs"/>
          <w:sz w:val="24"/>
          <w:szCs w:val="24"/>
          <w:rtl/>
        </w:rPr>
        <w:t xml:space="preserve">חוצה הוא את השירות הצבאי </w:t>
      </w:r>
      <w:r w:rsidR="00AC56EE">
        <w:rPr>
          <w:rFonts w:cs="David" w:hint="cs"/>
          <w:sz w:val="24"/>
          <w:szCs w:val="24"/>
          <w:rtl/>
        </w:rPr>
        <w:t>גם ל</w:t>
      </w:r>
      <w:r w:rsidR="00E21089">
        <w:rPr>
          <w:rFonts w:cs="David" w:hint="cs"/>
          <w:sz w:val="24"/>
          <w:szCs w:val="24"/>
          <w:rtl/>
        </w:rPr>
        <w:t>חיי</w:t>
      </w:r>
      <w:r w:rsidR="00AC56EE">
        <w:rPr>
          <w:rFonts w:cs="David" w:hint="cs"/>
          <w:sz w:val="24"/>
          <w:szCs w:val="24"/>
          <w:rtl/>
        </w:rPr>
        <w:t>ו</w:t>
      </w:r>
      <w:r w:rsidR="00E21089">
        <w:rPr>
          <w:rFonts w:cs="David" w:hint="cs"/>
          <w:sz w:val="24"/>
          <w:szCs w:val="24"/>
          <w:rtl/>
        </w:rPr>
        <w:t xml:space="preserve"> האזרחיים. </w:t>
      </w:r>
    </w:p>
    <w:p w14:paraId="02201DD6" w14:textId="77777777" w:rsidR="00CF4535" w:rsidRPr="00CF4535" w:rsidRDefault="00546E9C" w:rsidP="00CF4535">
      <w:pPr>
        <w:numPr>
          <w:ilvl w:val="0"/>
          <w:numId w:val="9"/>
        </w:numPr>
        <w:tabs>
          <w:tab w:val="num" w:pos="386"/>
        </w:tabs>
        <w:autoSpaceDE w:val="0"/>
        <w:autoSpaceDN w:val="0"/>
        <w:spacing w:after="0" w:line="360" w:lineRule="auto"/>
        <w:ind w:left="360"/>
        <w:jc w:val="both"/>
        <w:rPr>
          <w:rFonts w:cs="David"/>
          <w:sz w:val="24"/>
          <w:szCs w:val="24"/>
        </w:rPr>
      </w:pPr>
      <w:r w:rsidRPr="00CF4535">
        <w:rPr>
          <w:rFonts w:cs="David" w:hint="cs"/>
          <w:sz w:val="24"/>
          <w:szCs w:val="24"/>
          <w:rtl/>
        </w:rPr>
        <w:t xml:space="preserve">מסוכנותו המינית של הנאשם הוערכה כאמור בחוות הדעת של הגב' אסנת גיא כנמוכה </w:t>
      </w:r>
      <w:r w:rsidRPr="00CF4535">
        <w:rPr>
          <w:rFonts w:cs="David"/>
          <w:sz w:val="24"/>
          <w:szCs w:val="24"/>
          <w:rtl/>
        </w:rPr>
        <w:t>–</w:t>
      </w:r>
      <w:r w:rsidRPr="00CF4535">
        <w:rPr>
          <w:rFonts w:cs="David" w:hint="cs"/>
          <w:sz w:val="24"/>
          <w:szCs w:val="24"/>
          <w:rtl/>
        </w:rPr>
        <w:t xml:space="preserve"> בינונית. </w:t>
      </w:r>
      <w:r w:rsidR="00CF4535">
        <w:rPr>
          <w:rFonts w:cs="David" w:hint="cs"/>
          <w:sz w:val="24"/>
          <w:szCs w:val="24"/>
          <w:rtl/>
        </w:rPr>
        <w:t xml:space="preserve">צוין </w:t>
      </w:r>
      <w:r w:rsidR="00CF4535" w:rsidRPr="00CF4535">
        <w:rPr>
          <w:rFonts w:cs="David" w:hint="cs"/>
          <w:sz w:val="24"/>
          <w:szCs w:val="24"/>
          <w:rtl/>
        </w:rPr>
        <w:t>כי משמעות קביעה זו היא שהסבירות ש</w:t>
      </w:r>
      <w:r w:rsidR="00CF4535">
        <w:rPr>
          <w:rFonts w:cs="David" w:hint="cs"/>
          <w:sz w:val="24"/>
          <w:szCs w:val="24"/>
          <w:rtl/>
        </w:rPr>
        <w:t xml:space="preserve">הנאשם </w:t>
      </w:r>
      <w:r w:rsidR="00CF4535" w:rsidRPr="00CF4535">
        <w:rPr>
          <w:rFonts w:cs="David" w:hint="cs"/>
          <w:sz w:val="24"/>
          <w:szCs w:val="24"/>
          <w:rtl/>
        </w:rPr>
        <w:t xml:space="preserve">ישוב ויבצע עברת מין בחמש השנים הקרובות היא בין 5 ל </w:t>
      </w:r>
      <w:r w:rsidR="00CF4535" w:rsidRPr="00CF4535">
        <w:rPr>
          <w:rFonts w:cs="David"/>
          <w:sz w:val="24"/>
          <w:szCs w:val="24"/>
          <w:rtl/>
        </w:rPr>
        <w:t>–</w:t>
      </w:r>
      <w:r w:rsidR="00CF4535" w:rsidRPr="00CF4535">
        <w:rPr>
          <w:rFonts w:cs="David" w:hint="cs"/>
          <w:sz w:val="24"/>
          <w:szCs w:val="24"/>
          <w:rtl/>
        </w:rPr>
        <w:t xml:space="preserve"> 9 אחוזים</w:t>
      </w:r>
      <w:r w:rsidR="00CF4535">
        <w:rPr>
          <w:rFonts w:cs="David" w:hint="cs"/>
          <w:sz w:val="24"/>
          <w:szCs w:val="24"/>
          <w:rtl/>
        </w:rPr>
        <w:t xml:space="preserve"> (עמ' 6 ש' 23-20 לפרוטוקול מיום 23.5.2019)</w:t>
      </w:r>
      <w:r w:rsidR="00CF4535" w:rsidRPr="00CF4535">
        <w:rPr>
          <w:rFonts w:cs="David" w:hint="cs"/>
          <w:sz w:val="24"/>
          <w:szCs w:val="24"/>
          <w:rtl/>
        </w:rPr>
        <w:t>. נתון זה יש לשקלל במסגרת שיקולי הרתעת היחיד בבחינת העונש הראוי לנאשם</w:t>
      </w:r>
      <w:r w:rsidR="00CF4535">
        <w:rPr>
          <w:rFonts w:cs="David" w:hint="cs"/>
          <w:sz w:val="24"/>
          <w:szCs w:val="24"/>
          <w:rtl/>
        </w:rPr>
        <w:t>.</w:t>
      </w:r>
    </w:p>
    <w:p w14:paraId="25255A6F" w14:textId="77777777" w:rsidR="00546E9C" w:rsidRPr="00546E9C" w:rsidRDefault="00546E9C" w:rsidP="00546E9C">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מחוות הדעת </w:t>
      </w:r>
      <w:r w:rsidR="00CF4535">
        <w:rPr>
          <w:rFonts w:cs="David" w:hint="cs"/>
          <w:sz w:val="24"/>
          <w:szCs w:val="24"/>
          <w:rtl/>
        </w:rPr>
        <w:t xml:space="preserve">של המרכז להערכת מסוכנות מינית </w:t>
      </w:r>
      <w:r w:rsidRPr="00546E9C">
        <w:rPr>
          <w:rFonts w:cs="David" w:hint="cs"/>
          <w:sz w:val="24"/>
          <w:szCs w:val="24"/>
          <w:rtl/>
        </w:rPr>
        <w:t>עולה</w:t>
      </w:r>
      <w:r w:rsidR="00CF4535">
        <w:rPr>
          <w:rFonts w:cs="David" w:hint="cs"/>
          <w:sz w:val="24"/>
          <w:szCs w:val="24"/>
          <w:rtl/>
        </w:rPr>
        <w:t>,</w:t>
      </w:r>
      <w:r w:rsidRPr="00546E9C">
        <w:rPr>
          <w:rFonts w:cs="David" w:hint="cs"/>
          <w:sz w:val="24"/>
          <w:szCs w:val="24"/>
          <w:rtl/>
        </w:rPr>
        <w:t xml:space="preserve"> כי הנאשם הפגין חשדנות וקוצר רוח כלפי הבדיקה והבודקת כי התייחסותו </w:t>
      </w:r>
      <w:proofErr w:type="spellStart"/>
      <w:r w:rsidRPr="00546E9C">
        <w:rPr>
          <w:rFonts w:cs="David" w:hint="cs"/>
          <w:sz w:val="24"/>
          <w:szCs w:val="24"/>
          <w:rtl/>
        </w:rPr>
        <w:t>היתה</w:t>
      </w:r>
      <w:proofErr w:type="spellEnd"/>
      <w:r w:rsidRPr="00546E9C">
        <w:rPr>
          <w:rFonts w:cs="David" w:hint="cs"/>
          <w:sz w:val="24"/>
          <w:szCs w:val="24"/>
          <w:rtl/>
        </w:rPr>
        <w:t xml:space="preserve"> "בלתי רצינית ובלתי מכבדת" וניכר היה חוסר רצון לחשוף את עולמו הפנימי. ביחסו לעברה ציין כי הרקע לדברים היה "דחף מיני" ו"לחץ חברתי", בהמשך ציין כי הצטער על הדברים. ההתרשמות הקלינית </w:t>
      </w:r>
      <w:proofErr w:type="spellStart"/>
      <w:r w:rsidRPr="00546E9C">
        <w:rPr>
          <w:rFonts w:cs="David" w:hint="cs"/>
          <w:sz w:val="24"/>
          <w:szCs w:val="24"/>
          <w:rtl/>
        </w:rPr>
        <w:t>היתה</w:t>
      </w:r>
      <w:proofErr w:type="spellEnd"/>
      <w:r w:rsidRPr="00546E9C">
        <w:rPr>
          <w:rFonts w:cs="David" w:hint="cs"/>
          <w:sz w:val="24"/>
          <w:szCs w:val="24"/>
          <w:rtl/>
        </w:rPr>
        <w:t xml:space="preserve"> כי קיימים קשיים בתחום הוויסות העצמי הכללי והמיני, נטייה לאימפולסיביות, מצבור רגשות שליליים פנימיים ודחפים מיניים וכן בדידות רגשית וחברתית. </w:t>
      </w:r>
    </w:p>
    <w:p w14:paraId="250B16F1" w14:textId="77777777" w:rsidR="00546E9C" w:rsidRPr="00546E9C" w:rsidRDefault="00546E9C" w:rsidP="00051B66">
      <w:pPr>
        <w:numPr>
          <w:ilvl w:val="0"/>
          <w:numId w:val="9"/>
        </w:numPr>
        <w:tabs>
          <w:tab w:val="num" w:pos="386"/>
        </w:tabs>
        <w:spacing w:after="0" w:line="360" w:lineRule="auto"/>
        <w:ind w:left="360"/>
        <w:jc w:val="both"/>
        <w:rPr>
          <w:rFonts w:cs="David"/>
          <w:sz w:val="24"/>
          <w:szCs w:val="24"/>
        </w:rPr>
      </w:pPr>
      <w:r w:rsidRPr="00546E9C">
        <w:rPr>
          <w:rFonts w:cs="David" w:hint="cs"/>
          <w:sz w:val="24"/>
          <w:szCs w:val="24"/>
          <w:rtl/>
        </w:rPr>
        <w:t>לישיבת הטיעונים לעונש זומנה מעריכת המסוכנות והסנגור חקר אותה בחקירה נגדית בניסיון</w:t>
      </w:r>
      <w:r w:rsidRPr="000636C8">
        <w:rPr>
          <w:rFonts w:cs="David" w:hint="cs"/>
          <w:sz w:val="24"/>
          <w:szCs w:val="24"/>
          <w:rtl/>
        </w:rPr>
        <w:t xml:space="preserve"> לקעקע את הכלים שעל יסודם העריכה הבודקת את מסוכנותו המינית של הנאשם. ניסיונות אלה של הסנגור לערער את מקצועיותה, המקורות האקדמיים וכלי הניתוח והבדיקה של העדה, דינם </w:t>
      </w:r>
      <w:r w:rsidRPr="000636C8">
        <w:rPr>
          <w:rFonts w:cs="David" w:hint="cs"/>
          <w:b/>
          <w:bCs/>
          <w:sz w:val="24"/>
          <w:szCs w:val="24"/>
          <w:rtl/>
        </w:rPr>
        <w:t>להידחות</w:t>
      </w:r>
      <w:r w:rsidRPr="000636C8">
        <w:rPr>
          <w:rFonts w:cs="David" w:hint="cs"/>
          <w:sz w:val="24"/>
          <w:szCs w:val="24"/>
          <w:rtl/>
        </w:rPr>
        <w:t xml:space="preserve">. הגב' גיא </w:t>
      </w:r>
      <w:r w:rsidRPr="000636C8">
        <w:rPr>
          <w:rFonts w:cs="David"/>
          <w:sz w:val="24"/>
          <w:szCs w:val="24"/>
          <w:rtl/>
        </w:rPr>
        <w:t>–</w:t>
      </w:r>
      <w:r w:rsidRPr="000636C8">
        <w:rPr>
          <w:rFonts w:cs="David" w:hint="cs"/>
          <w:sz w:val="24"/>
          <w:szCs w:val="24"/>
          <w:rtl/>
        </w:rPr>
        <w:t xml:space="preserve"> עו"ס קלינית בהכשרתה בעל ותק רב במקצוע, הותירה רושם מקצועי ומהימן. התרשמנו כי את טענת הסנגור שהוטחה בבודקת במהלך החקירה הנגדית שלפיה קיימת השקפה בעולם האקדמיה כי כלי ההערכה שבהם עשתה הבודקת ישנים, יש לדחות. הדברים לא הוכחו בפנינו. </w:t>
      </w:r>
      <w:r w:rsidR="00051B66">
        <w:rPr>
          <w:rFonts w:cs="David" w:hint="cs"/>
          <w:sz w:val="24"/>
          <w:szCs w:val="24"/>
          <w:rtl/>
        </w:rPr>
        <w:t xml:space="preserve">יתר על כן, </w:t>
      </w:r>
      <w:r w:rsidRPr="000636C8">
        <w:rPr>
          <w:rFonts w:cs="David" w:hint="cs"/>
          <w:sz w:val="24"/>
          <w:szCs w:val="24"/>
          <w:rtl/>
        </w:rPr>
        <w:t xml:space="preserve">העדה הדגישה בתשובותיה כי הכלים שעליהם דיבר הסנגור לא מאומצים כלשונם אלא מהווים פקטור אחד מתוך כלל הפקטורים </w:t>
      </w:r>
      <w:proofErr w:type="spellStart"/>
      <w:r w:rsidRPr="000636C8">
        <w:rPr>
          <w:rFonts w:cs="David" w:hint="cs"/>
          <w:sz w:val="24"/>
          <w:szCs w:val="24"/>
          <w:rtl/>
        </w:rPr>
        <w:t>הסטאטייים</w:t>
      </w:r>
      <w:proofErr w:type="spellEnd"/>
      <w:r w:rsidRPr="000636C8">
        <w:rPr>
          <w:rFonts w:cs="David" w:hint="cs"/>
          <w:sz w:val="24"/>
          <w:szCs w:val="24"/>
          <w:rtl/>
        </w:rPr>
        <w:t xml:space="preserve"> והדינאמיים שעל יסודם מתבצעת הערכת המסוכנות במרכז (עמ' 3 ש' 27-12; עמ' 4 ש' 29-28 לפרוטוקול מיום 23.5.2019). העדה עמדה על ההכשרה של</w:t>
      </w:r>
      <w:r>
        <w:rPr>
          <w:rFonts w:cs="David" w:hint="cs"/>
          <w:sz w:val="24"/>
          <w:szCs w:val="24"/>
          <w:rtl/>
        </w:rPr>
        <w:t>ה</w:t>
      </w:r>
      <w:r w:rsidRPr="000636C8">
        <w:rPr>
          <w:rFonts w:cs="David" w:hint="cs"/>
          <w:sz w:val="24"/>
          <w:szCs w:val="24"/>
          <w:rtl/>
        </w:rPr>
        <w:t xml:space="preserve"> </w:t>
      </w:r>
      <w:r>
        <w:rPr>
          <w:rFonts w:cs="David" w:hint="cs"/>
          <w:sz w:val="24"/>
          <w:szCs w:val="24"/>
          <w:rtl/>
        </w:rPr>
        <w:t>ושל יתר מעריכי המסוכנות</w:t>
      </w:r>
      <w:r w:rsidRPr="000636C8">
        <w:rPr>
          <w:rFonts w:cs="David" w:hint="cs"/>
          <w:sz w:val="24"/>
          <w:szCs w:val="24"/>
          <w:rtl/>
        </w:rPr>
        <w:t xml:space="preserve">, על סיעור המוחין </w:t>
      </w:r>
      <w:r>
        <w:rPr>
          <w:rFonts w:cs="David" w:hint="cs"/>
          <w:sz w:val="24"/>
          <w:szCs w:val="24"/>
          <w:rtl/>
        </w:rPr>
        <w:t xml:space="preserve">המתקיים בין חברי הצוות </w:t>
      </w:r>
      <w:r w:rsidRPr="000636C8">
        <w:rPr>
          <w:rFonts w:cs="David" w:hint="cs"/>
          <w:sz w:val="24"/>
          <w:szCs w:val="24"/>
          <w:rtl/>
        </w:rPr>
        <w:t>ועל מומחיות</w:t>
      </w:r>
      <w:r>
        <w:rPr>
          <w:rFonts w:cs="David" w:hint="cs"/>
          <w:sz w:val="24"/>
          <w:szCs w:val="24"/>
          <w:rtl/>
        </w:rPr>
        <w:t>ם</w:t>
      </w:r>
      <w:r w:rsidRPr="000636C8">
        <w:rPr>
          <w:rFonts w:cs="David" w:hint="cs"/>
          <w:sz w:val="24"/>
          <w:szCs w:val="24"/>
          <w:rtl/>
        </w:rPr>
        <w:t xml:space="preserve"> של </w:t>
      </w:r>
      <w:r>
        <w:rPr>
          <w:rFonts w:cs="David" w:hint="cs"/>
          <w:sz w:val="24"/>
          <w:szCs w:val="24"/>
          <w:rtl/>
        </w:rPr>
        <w:t xml:space="preserve">בודקי </w:t>
      </w:r>
      <w:r w:rsidRPr="000636C8">
        <w:rPr>
          <w:rFonts w:cs="David" w:hint="cs"/>
          <w:sz w:val="24"/>
          <w:szCs w:val="24"/>
          <w:rtl/>
        </w:rPr>
        <w:t>המרכז שניזון ממאגר ידע משותף. לא בכדי זנח הסנגור קו טיעון זה בדבר חוסר מקצועיותה של מעריכת המסוכנות בסיכומיו. משכך מצאנו כי ניתן לסמוך מסקנותינו בדבר העונש הראוי לנאשם, בין היתר</w:t>
      </w:r>
      <w:r>
        <w:rPr>
          <w:rFonts w:cs="David" w:hint="cs"/>
          <w:sz w:val="24"/>
          <w:szCs w:val="24"/>
          <w:rtl/>
        </w:rPr>
        <w:t>,</w:t>
      </w:r>
      <w:r w:rsidRPr="000636C8">
        <w:rPr>
          <w:rFonts w:cs="David" w:hint="cs"/>
          <w:sz w:val="24"/>
          <w:szCs w:val="24"/>
          <w:rtl/>
        </w:rPr>
        <w:t xml:space="preserve"> על יסוד התרשמותה ומסקנותיה של מעריכת המסוכנות. </w:t>
      </w:r>
    </w:p>
    <w:p w14:paraId="357BD206" w14:textId="77777777" w:rsidR="00546E9C" w:rsidRDefault="00E21089" w:rsidP="00863869">
      <w:pPr>
        <w:numPr>
          <w:ilvl w:val="0"/>
          <w:numId w:val="9"/>
        </w:numPr>
        <w:tabs>
          <w:tab w:val="num" w:pos="386"/>
        </w:tabs>
        <w:autoSpaceDE w:val="0"/>
        <w:autoSpaceDN w:val="0"/>
        <w:spacing w:after="0" w:line="360" w:lineRule="auto"/>
        <w:ind w:left="360"/>
        <w:jc w:val="both"/>
        <w:rPr>
          <w:rFonts w:cs="David"/>
          <w:sz w:val="24"/>
          <w:szCs w:val="24"/>
        </w:rPr>
      </w:pPr>
      <w:r w:rsidRPr="00546E9C">
        <w:rPr>
          <w:rFonts w:cs="David" w:hint="cs"/>
          <w:sz w:val="24"/>
          <w:szCs w:val="24"/>
          <w:rtl/>
        </w:rPr>
        <w:t xml:space="preserve">בין השיקולים "מעלי המסוכנות" </w:t>
      </w:r>
      <w:r w:rsidR="007F3403" w:rsidRPr="00546E9C">
        <w:rPr>
          <w:rFonts w:cs="David" w:hint="cs"/>
          <w:sz w:val="24"/>
          <w:szCs w:val="24"/>
          <w:rtl/>
        </w:rPr>
        <w:t xml:space="preserve">ביחס לנאשם </w:t>
      </w:r>
      <w:r w:rsidRPr="00546E9C">
        <w:rPr>
          <w:rFonts w:cs="David" w:hint="cs"/>
          <w:sz w:val="24"/>
          <w:szCs w:val="24"/>
          <w:rtl/>
        </w:rPr>
        <w:t>צוינו בחוות הדעת התרשמות</w:t>
      </w:r>
      <w:r w:rsidR="00AC56EE" w:rsidRPr="00546E9C">
        <w:rPr>
          <w:rFonts w:cs="David" w:hint="cs"/>
          <w:sz w:val="24"/>
          <w:szCs w:val="24"/>
          <w:rtl/>
        </w:rPr>
        <w:t>ה</w:t>
      </w:r>
      <w:r w:rsidRPr="00546E9C">
        <w:rPr>
          <w:rFonts w:cs="David" w:hint="cs"/>
          <w:sz w:val="24"/>
          <w:szCs w:val="24"/>
          <w:rtl/>
        </w:rPr>
        <w:t xml:space="preserve"> </w:t>
      </w:r>
      <w:r w:rsidR="007F3403" w:rsidRPr="00546E9C">
        <w:rPr>
          <w:rFonts w:cs="David" w:hint="cs"/>
          <w:sz w:val="24"/>
          <w:szCs w:val="24"/>
          <w:rtl/>
        </w:rPr>
        <w:t xml:space="preserve">של מעריכת המסוכנות </w:t>
      </w:r>
      <w:r w:rsidRPr="00546E9C">
        <w:rPr>
          <w:rFonts w:cs="David" w:hint="cs"/>
          <w:sz w:val="24"/>
          <w:szCs w:val="24"/>
          <w:rtl/>
        </w:rPr>
        <w:t>מעיוותי חשיבה רבים, מהשלכת האחריות על חבריו שהשפיעו עליו לבצע את העברות, מהתייחסות הנאשם לדחף המיני כאל גורם שהוא חיצוני לו ו</w:t>
      </w:r>
      <w:r w:rsidR="00AC56EE" w:rsidRPr="00546E9C">
        <w:rPr>
          <w:rFonts w:cs="David" w:hint="cs"/>
          <w:sz w:val="24"/>
          <w:szCs w:val="24"/>
          <w:rtl/>
        </w:rPr>
        <w:t>מ</w:t>
      </w:r>
      <w:r w:rsidRPr="00546E9C">
        <w:rPr>
          <w:rFonts w:cs="David" w:hint="cs"/>
          <w:sz w:val="24"/>
          <w:szCs w:val="24"/>
          <w:rtl/>
        </w:rPr>
        <w:t xml:space="preserve">חוסר מודעות עצמית למניעיו, מה שמטיל ספק ביכולתו לזהות מצבי סיכון. עוד בלטו לבודקת חוסר בשלות, </w:t>
      </w:r>
      <w:r w:rsidR="00AC56EE" w:rsidRPr="00546E9C">
        <w:rPr>
          <w:rFonts w:cs="David" w:hint="cs"/>
          <w:sz w:val="24"/>
          <w:szCs w:val="24"/>
          <w:rtl/>
        </w:rPr>
        <w:t xml:space="preserve">קשיים בוויסות ובשליטה העצמית, </w:t>
      </w:r>
      <w:r w:rsidRPr="00546E9C">
        <w:rPr>
          <w:rFonts w:cs="David" w:hint="cs"/>
          <w:sz w:val="24"/>
          <w:szCs w:val="24"/>
          <w:rtl/>
        </w:rPr>
        <w:t xml:space="preserve">מיקוד רב בצרכיו וחוסר אמפטיה כלפי </w:t>
      </w:r>
      <w:r w:rsidR="00AC56EE" w:rsidRPr="00546E9C">
        <w:rPr>
          <w:rFonts w:cs="David" w:hint="cs"/>
          <w:sz w:val="24"/>
          <w:szCs w:val="24"/>
          <w:rtl/>
        </w:rPr>
        <w:t>נפגעות העברה</w:t>
      </w:r>
      <w:r w:rsidRPr="00546E9C">
        <w:rPr>
          <w:rFonts w:cs="David" w:hint="cs"/>
          <w:sz w:val="24"/>
          <w:szCs w:val="24"/>
          <w:rtl/>
        </w:rPr>
        <w:t xml:space="preserve">. </w:t>
      </w:r>
    </w:p>
    <w:p w14:paraId="6A350C0A" w14:textId="77777777" w:rsidR="00546E9C" w:rsidRPr="00546E9C" w:rsidRDefault="00E21089" w:rsidP="00051B66">
      <w:pPr>
        <w:numPr>
          <w:ilvl w:val="0"/>
          <w:numId w:val="9"/>
        </w:numPr>
        <w:tabs>
          <w:tab w:val="num" w:pos="386"/>
        </w:tabs>
        <w:autoSpaceDE w:val="0"/>
        <w:autoSpaceDN w:val="0"/>
        <w:spacing w:after="0" w:line="360" w:lineRule="auto"/>
        <w:ind w:left="360"/>
        <w:jc w:val="both"/>
        <w:rPr>
          <w:rFonts w:cs="David"/>
          <w:sz w:val="24"/>
          <w:szCs w:val="24"/>
        </w:rPr>
      </w:pPr>
      <w:r w:rsidRPr="00546E9C">
        <w:rPr>
          <w:rFonts w:cs="David" w:hint="cs"/>
          <w:sz w:val="24"/>
          <w:szCs w:val="24"/>
          <w:rtl/>
        </w:rPr>
        <w:t xml:space="preserve">אף בדברו האחרון של הנאשם לפנינו, התרשמנו </w:t>
      </w:r>
      <w:r w:rsidRPr="00546E9C">
        <w:rPr>
          <w:rFonts w:cs="David" w:hint="cs"/>
          <w:b/>
          <w:bCs/>
          <w:sz w:val="24"/>
          <w:szCs w:val="24"/>
          <w:rtl/>
        </w:rPr>
        <w:t>באורח דומה</w:t>
      </w:r>
      <w:r w:rsidRPr="00546E9C">
        <w:rPr>
          <w:rFonts w:cs="David" w:hint="cs"/>
          <w:sz w:val="24"/>
          <w:szCs w:val="24"/>
          <w:rtl/>
        </w:rPr>
        <w:t xml:space="preserve"> מהעדר התייחסות רגשית </w:t>
      </w:r>
      <w:r w:rsidR="00546E9C" w:rsidRPr="00546E9C">
        <w:rPr>
          <w:rFonts w:cs="David" w:hint="cs"/>
          <w:sz w:val="24"/>
          <w:szCs w:val="24"/>
          <w:rtl/>
        </w:rPr>
        <w:t>ש</w:t>
      </w:r>
      <w:r w:rsidRPr="00546E9C">
        <w:rPr>
          <w:rFonts w:cs="David" w:hint="cs"/>
          <w:sz w:val="24"/>
          <w:szCs w:val="24"/>
          <w:rtl/>
        </w:rPr>
        <w:t>ל</w:t>
      </w:r>
      <w:r w:rsidR="00546E9C" w:rsidRPr="00546E9C">
        <w:rPr>
          <w:rFonts w:cs="David" w:hint="cs"/>
          <w:sz w:val="24"/>
          <w:szCs w:val="24"/>
          <w:rtl/>
        </w:rPr>
        <w:t xml:space="preserve"> הנאשם לאירוע ומהעדר אמפטיה לסבלן של נפגעות העברה. בדברו האחרון הדגיש הנאשם את</w:t>
      </w:r>
      <w:r w:rsidRPr="00546E9C">
        <w:rPr>
          <w:rFonts w:cs="David" w:hint="cs"/>
          <w:sz w:val="24"/>
          <w:szCs w:val="24"/>
          <w:rtl/>
        </w:rPr>
        <w:t xml:space="preserve"> המחיר האישי שנדרש לשלם בגין ההליך הפלילי</w:t>
      </w:r>
      <w:r w:rsidR="00FF0880" w:rsidRPr="00546E9C">
        <w:rPr>
          <w:rFonts w:cs="David" w:hint="cs"/>
          <w:sz w:val="24"/>
          <w:szCs w:val="24"/>
          <w:rtl/>
        </w:rPr>
        <w:t>,</w:t>
      </w:r>
      <w:r w:rsidRPr="00546E9C">
        <w:rPr>
          <w:rFonts w:cs="David" w:hint="cs"/>
          <w:sz w:val="24"/>
          <w:szCs w:val="24"/>
          <w:rtl/>
        </w:rPr>
        <w:t xml:space="preserve"> וזאת</w:t>
      </w:r>
      <w:r w:rsidR="00FF0880" w:rsidRPr="00546E9C">
        <w:rPr>
          <w:rFonts w:cs="David" w:hint="cs"/>
          <w:sz w:val="24"/>
          <w:szCs w:val="24"/>
          <w:rtl/>
        </w:rPr>
        <w:t>,</w:t>
      </w:r>
      <w:r w:rsidRPr="00546E9C">
        <w:rPr>
          <w:rFonts w:cs="David" w:hint="cs"/>
          <w:sz w:val="24"/>
          <w:szCs w:val="24"/>
          <w:rtl/>
        </w:rPr>
        <w:t xml:space="preserve"> חלף </w:t>
      </w:r>
      <w:r w:rsidR="00546E9C" w:rsidRPr="00546E9C">
        <w:rPr>
          <w:rFonts w:cs="David" w:hint="cs"/>
          <w:sz w:val="24"/>
          <w:szCs w:val="24"/>
          <w:rtl/>
        </w:rPr>
        <w:t xml:space="preserve">השמעת חרטה כנה והשמעת </w:t>
      </w:r>
      <w:r w:rsidR="00AC56EE" w:rsidRPr="00546E9C">
        <w:rPr>
          <w:rFonts w:cs="David" w:hint="cs"/>
          <w:sz w:val="24"/>
          <w:szCs w:val="24"/>
          <w:rtl/>
        </w:rPr>
        <w:t xml:space="preserve">מסר שיעיד על </w:t>
      </w:r>
      <w:r w:rsidRPr="00546E9C">
        <w:rPr>
          <w:rFonts w:cs="David" w:hint="cs"/>
          <w:sz w:val="24"/>
          <w:szCs w:val="24"/>
          <w:rtl/>
        </w:rPr>
        <w:t>הפנמ</w:t>
      </w:r>
      <w:r w:rsidR="00AC56EE" w:rsidRPr="00546E9C">
        <w:rPr>
          <w:rFonts w:cs="David" w:hint="cs"/>
          <w:sz w:val="24"/>
          <w:szCs w:val="24"/>
          <w:rtl/>
        </w:rPr>
        <w:t>ת</w:t>
      </w:r>
      <w:r w:rsidRPr="00546E9C">
        <w:rPr>
          <w:rFonts w:cs="David" w:hint="cs"/>
          <w:sz w:val="24"/>
          <w:szCs w:val="24"/>
          <w:rtl/>
        </w:rPr>
        <w:t xml:space="preserve"> הפסול הטמון במעשים</w:t>
      </w:r>
      <w:r w:rsidR="00AC56EE" w:rsidRPr="00546E9C">
        <w:rPr>
          <w:rFonts w:cs="David" w:hint="cs"/>
          <w:sz w:val="24"/>
          <w:szCs w:val="24"/>
          <w:rtl/>
        </w:rPr>
        <w:t xml:space="preserve"> והנזק שלו הם גרמו</w:t>
      </w:r>
      <w:r w:rsidRPr="00546E9C">
        <w:rPr>
          <w:rFonts w:cs="David" w:hint="cs"/>
          <w:sz w:val="24"/>
          <w:szCs w:val="24"/>
          <w:rtl/>
        </w:rPr>
        <w:t xml:space="preserve"> ("אני מצטער על כל מה שעשיתי... אני מתחתן עוד שלושה חודשים אם קבעתם עונש... שזה [י]היה אחרי שאני מת</w:t>
      </w:r>
      <w:r w:rsidR="00AC56EE" w:rsidRPr="00546E9C">
        <w:rPr>
          <w:rFonts w:cs="David" w:hint="cs"/>
          <w:sz w:val="24"/>
          <w:szCs w:val="24"/>
          <w:rtl/>
        </w:rPr>
        <w:t>ח</w:t>
      </w:r>
      <w:r w:rsidRPr="00546E9C">
        <w:rPr>
          <w:rFonts w:cs="David" w:hint="cs"/>
          <w:sz w:val="24"/>
          <w:szCs w:val="24"/>
          <w:rtl/>
        </w:rPr>
        <w:t>תן" עמ' 12 ש' 6-5 לפרוטוקול מיום 23.5.2019)</w:t>
      </w:r>
      <w:r w:rsidR="00AC56EE" w:rsidRPr="00546E9C">
        <w:rPr>
          <w:rFonts w:cs="David" w:hint="cs"/>
          <w:sz w:val="24"/>
          <w:szCs w:val="24"/>
          <w:rtl/>
        </w:rPr>
        <w:t xml:space="preserve">. </w:t>
      </w:r>
      <w:r w:rsidR="00546E9C" w:rsidRPr="00546E9C">
        <w:rPr>
          <w:rFonts w:cs="David" w:hint="cs"/>
          <w:sz w:val="24"/>
          <w:szCs w:val="24"/>
          <w:rtl/>
        </w:rPr>
        <w:t xml:space="preserve">לכך יש להוסיף את העובדה שהנאשם לא עבר כל הליך טיפולי. לא </w:t>
      </w:r>
      <w:proofErr w:type="spellStart"/>
      <w:r w:rsidR="00546E9C" w:rsidRPr="00546E9C">
        <w:rPr>
          <w:rFonts w:cs="David" w:hint="cs"/>
          <w:sz w:val="24"/>
          <w:szCs w:val="24"/>
          <w:rtl/>
        </w:rPr>
        <w:t>הוצבע</w:t>
      </w:r>
      <w:proofErr w:type="spellEnd"/>
      <w:r w:rsidR="00546E9C" w:rsidRPr="00546E9C">
        <w:rPr>
          <w:rFonts w:cs="David" w:hint="cs"/>
          <w:sz w:val="24"/>
          <w:szCs w:val="24"/>
          <w:rtl/>
        </w:rPr>
        <w:t xml:space="preserve"> גם על כל כוונה להשתלב בהליך כאמור.</w:t>
      </w:r>
    </w:p>
    <w:p w14:paraId="101BD000" w14:textId="77777777" w:rsidR="007F3403" w:rsidRDefault="007F3403" w:rsidP="00546E9C">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lastRenderedPageBreak/>
        <w:t>אל מול שיקולים אלה,</w:t>
      </w:r>
      <w:r w:rsidR="00AC56EE" w:rsidRPr="00AC56EE">
        <w:rPr>
          <w:rFonts w:cs="David" w:hint="cs"/>
          <w:sz w:val="24"/>
          <w:szCs w:val="24"/>
          <w:rtl/>
        </w:rPr>
        <w:t xml:space="preserve"> ראויים </w:t>
      </w:r>
      <w:r w:rsidR="00FF0880">
        <w:rPr>
          <w:rFonts w:cs="David" w:hint="cs"/>
          <w:sz w:val="24"/>
          <w:szCs w:val="24"/>
          <w:rtl/>
        </w:rPr>
        <w:t xml:space="preserve">למשקל </w:t>
      </w:r>
      <w:r w:rsidR="00AC56EE" w:rsidRPr="00AC56EE">
        <w:rPr>
          <w:rFonts w:cs="David" w:hint="cs"/>
          <w:sz w:val="24"/>
          <w:szCs w:val="24"/>
          <w:rtl/>
        </w:rPr>
        <w:t xml:space="preserve">גם שורת שיקולים </w:t>
      </w:r>
      <w:r>
        <w:rPr>
          <w:rFonts w:cs="David" w:hint="cs"/>
          <w:sz w:val="24"/>
          <w:szCs w:val="24"/>
          <w:rtl/>
        </w:rPr>
        <w:t>"</w:t>
      </w:r>
      <w:r w:rsidR="00AC56EE" w:rsidRPr="00AC56EE">
        <w:rPr>
          <w:rFonts w:cs="David" w:hint="cs"/>
          <w:sz w:val="24"/>
          <w:szCs w:val="24"/>
          <w:rtl/>
        </w:rPr>
        <w:t>מפחיתי סיכון</w:t>
      </w:r>
      <w:r w:rsidR="00FF0880">
        <w:rPr>
          <w:rFonts w:cs="David" w:hint="cs"/>
          <w:sz w:val="24"/>
          <w:szCs w:val="24"/>
          <w:rtl/>
        </w:rPr>
        <w:t xml:space="preserve">", </w:t>
      </w:r>
      <w:r>
        <w:rPr>
          <w:rFonts w:cs="David" w:hint="cs"/>
          <w:sz w:val="24"/>
          <w:szCs w:val="24"/>
          <w:rtl/>
        </w:rPr>
        <w:t>ו</w:t>
      </w:r>
      <w:r w:rsidR="00AC56EE" w:rsidRPr="00AC56EE">
        <w:rPr>
          <w:rFonts w:cs="David" w:hint="cs"/>
          <w:sz w:val="24"/>
          <w:szCs w:val="24"/>
          <w:rtl/>
        </w:rPr>
        <w:t>בכללם:</w:t>
      </w:r>
      <w:r>
        <w:rPr>
          <w:rFonts w:cs="David" w:hint="cs"/>
          <w:sz w:val="24"/>
          <w:szCs w:val="24"/>
          <w:rtl/>
        </w:rPr>
        <w:t xml:space="preserve"> </w:t>
      </w:r>
      <w:r w:rsidR="00E21089" w:rsidRPr="007F3403">
        <w:rPr>
          <w:rFonts w:cs="David" w:hint="cs"/>
          <w:sz w:val="24"/>
          <w:szCs w:val="24"/>
          <w:rtl/>
        </w:rPr>
        <w:t>העדר אינדיקציות לסטייה מינית</w:t>
      </w:r>
      <w:r w:rsidR="00AC56EE" w:rsidRPr="007F3403">
        <w:rPr>
          <w:rFonts w:cs="David" w:hint="cs"/>
          <w:sz w:val="24"/>
          <w:szCs w:val="24"/>
          <w:rtl/>
        </w:rPr>
        <w:t xml:space="preserve"> בקרב הנאשם</w:t>
      </w:r>
      <w:r w:rsidR="00546E9C">
        <w:rPr>
          <w:rFonts w:cs="David" w:hint="cs"/>
          <w:sz w:val="24"/>
          <w:szCs w:val="24"/>
          <w:rtl/>
        </w:rPr>
        <w:t xml:space="preserve"> (כעולה מחוות הדעת)</w:t>
      </w:r>
      <w:r w:rsidR="00E21089" w:rsidRPr="007F3403">
        <w:rPr>
          <w:rFonts w:cs="David" w:hint="cs"/>
          <w:sz w:val="24"/>
          <w:szCs w:val="24"/>
          <w:rtl/>
        </w:rPr>
        <w:t xml:space="preserve">, קיומו של קשר זוגי </w:t>
      </w:r>
      <w:r w:rsidR="00AC56EE" w:rsidRPr="007F3403">
        <w:rPr>
          <w:rFonts w:cs="David" w:hint="cs"/>
          <w:sz w:val="24"/>
          <w:szCs w:val="24"/>
          <w:rtl/>
        </w:rPr>
        <w:t>ו</w:t>
      </w:r>
      <w:r w:rsidR="00E21089" w:rsidRPr="007F3403">
        <w:rPr>
          <w:rFonts w:cs="David" w:hint="cs"/>
          <w:sz w:val="24"/>
          <w:szCs w:val="24"/>
          <w:rtl/>
        </w:rPr>
        <w:t xml:space="preserve">יציב, בת זוג תומכת המגנה את מעשיו, </w:t>
      </w:r>
      <w:r w:rsidR="00AC56EE" w:rsidRPr="007F3403">
        <w:rPr>
          <w:rFonts w:cs="David" w:hint="cs"/>
          <w:sz w:val="24"/>
          <w:szCs w:val="24"/>
          <w:rtl/>
        </w:rPr>
        <w:t xml:space="preserve">תחושת </w:t>
      </w:r>
      <w:r w:rsidR="00E21089" w:rsidRPr="007F3403">
        <w:rPr>
          <w:rFonts w:cs="David" w:hint="cs"/>
          <w:sz w:val="24"/>
          <w:szCs w:val="24"/>
          <w:rtl/>
        </w:rPr>
        <w:t xml:space="preserve">בושה </w:t>
      </w:r>
      <w:r w:rsidR="00AC56EE" w:rsidRPr="007F3403">
        <w:rPr>
          <w:rFonts w:cs="David" w:hint="cs"/>
          <w:sz w:val="24"/>
          <w:szCs w:val="24"/>
          <w:rtl/>
        </w:rPr>
        <w:t xml:space="preserve">של הנאשם </w:t>
      </w:r>
      <w:r w:rsidR="00E21089" w:rsidRPr="007F3403">
        <w:rPr>
          <w:rFonts w:cs="David" w:hint="cs"/>
          <w:sz w:val="24"/>
          <w:szCs w:val="24"/>
          <w:rtl/>
        </w:rPr>
        <w:t>שיסודה בעצם התפיסה וההרשעה, רצף תעסוקתי ויכולת טו</w:t>
      </w:r>
      <w:r w:rsidR="00FE3D7D">
        <w:rPr>
          <w:rFonts w:cs="David" w:hint="cs"/>
          <w:sz w:val="24"/>
          <w:szCs w:val="24"/>
          <w:rtl/>
        </w:rPr>
        <w:t>בה לניהול סדר יום אחראי ומאורגן</w:t>
      </w:r>
      <w:r w:rsidR="00AC56EE" w:rsidRPr="007F3403">
        <w:rPr>
          <w:rFonts w:cs="David" w:hint="cs"/>
          <w:sz w:val="24"/>
          <w:szCs w:val="24"/>
          <w:rtl/>
        </w:rPr>
        <w:t xml:space="preserve"> </w:t>
      </w:r>
      <w:r w:rsidR="00953A44">
        <w:rPr>
          <w:rFonts w:cs="David" w:hint="cs"/>
          <w:sz w:val="24"/>
          <w:szCs w:val="24"/>
          <w:rtl/>
        </w:rPr>
        <w:t>(לפוטנציאל שיקומו של הנא</w:t>
      </w:r>
      <w:r w:rsidR="00FF0880">
        <w:rPr>
          <w:rFonts w:cs="David" w:hint="cs"/>
          <w:sz w:val="24"/>
          <w:szCs w:val="24"/>
          <w:rtl/>
        </w:rPr>
        <w:t>ש</w:t>
      </w:r>
      <w:r w:rsidR="00953A44">
        <w:rPr>
          <w:rFonts w:cs="David" w:hint="cs"/>
          <w:sz w:val="24"/>
          <w:szCs w:val="24"/>
          <w:rtl/>
        </w:rPr>
        <w:t xml:space="preserve">ם על רקע נסיבותיו האישיות ראו </w:t>
      </w:r>
      <w:r w:rsidR="00FE3D7D">
        <w:rPr>
          <w:rFonts w:cs="David" w:hint="cs"/>
          <w:sz w:val="24"/>
          <w:szCs w:val="24"/>
          <w:rtl/>
        </w:rPr>
        <w:t xml:space="preserve">גם </w:t>
      </w:r>
      <w:r w:rsidR="00953A44">
        <w:rPr>
          <w:rFonts w:cs="David" w:hint="cs"/>
          <w:sz w:val="24"/>
          <w:szCs w:val="24"/>
          <w:rtl/>
        </w:rPr>
        <w:t xml:space="preserve">פס' </w:t>
      </w:r>
      <w:r w:rsidR="00953A44">
        <w:rPr>
          <w:rFonts w:cs="David"/>
          <w:sz w:val="24"/>
          <w:szCs w:val="24"/>
          <w:rtl/>
        </w:rPr>
        <w:fldChar w:fldCharType="begin"/>
      </w:r>
      <w:r w:rsidR="00953A44">
        <w:rPr>
          <w:rFonts w:cs="David"/>
          <w:sz w:val="24"/>
          <w:szCs w:val="24"/>
          <w:rtl/>
        </w:rPr>
        <w:instrText xml:space="preserve"> </w:instrText>
      </w:r>
      <w:r w:rsidR="00953A44">
        <w:rPr>
          <w:rFonts w:cs="David" w:hint="cs"/>
          <w:sz w:val="24"/>
          <w:szCs w:val="24"/>
        </w:rPr>
        <w:instrText>REF</w:instrText>
      </w:r>
      <w:r w:rsidR="00953A44">
        <w:rPr>
          <w:rFonts w:cs="David" w:hint="cs"/>
          <w:sz w:val="24"/>
          <w:szCs w:val="24"/>
          <w:rtl/>
        </w:rPr>
        <w:instrText xml:space="preserve"> _</w:instrText>
      </w:r>
      <w:r w:rsidR="00953A44">
        <w:rPr>
          <w:rFonts w:cs="David" w:hint="cs"/>
          <w:sz w:val="24"/>
          <w:szCs w:val="24"/>
        </w:rPr>
        <w:instrText>Ref11935029 \r \h</w:instrText>
      </w:r>
      <w:r w:rsidR="00953A44">
        <w:rPr>
          <w:rFonts w:cs="David"/>
          <w:sz w:val="24"/>
          <w:szCs w:val="24"/>
          <w:rtl/>
        </w:rPr>
        <w:instrText xml:space="preserve"> </w:instrText>
      </w:r>
      <w:r w:rsidR="00953A44">
        <w:rPr>
          <w:rFonts w:cs="David"/>
          <w:sz w:val="24"/>
          <w:szCs w:val="24"/>
          <w:rtl/>
        </w:rPr>
      </w:r>
      <w:r w:rsidR="00953A44">
        <w:rPr>
          <w:rFonts w:cs="David"/>
          <w:sz w:val="24"/>
          <w:szCs w:val="24"/>
          <w:rtl/>
        </w:rPr>
        <w:fldChar w:fldCharType="separate"/>
      </w:r>
      <w:r w:rsidR="00C40EC3">
        <w:rPr>
          <w:rFonts w:cs="David" w:hint="cs"/>
          <w:sz w:val="24"/>
          <w:szCs w:val="24"/>
          <w:cs/>
        </w:rPr>
        <w:t>‎</w:t>
      </w:r>
      <w:r w:rsidR="00C40EC3">
        <w:rPr>
          <w:rFonts w:cs="David"/>
          <w:sz w:val="24"/>
          <w:szCs w:val="24"/>
        </w:rPr>
        <w:t>25</w:t>
      </w:r>
      <w:r w:rsidR="00953A44">
        <w:rPr>
          <w:rFonts w:cs="David"/>
          <w:sz w:val="24"/>
          <w:szCs w:val="24"/>
          <w:rtl/>
        </w:rPr>
        <w:fldChar w:fldCharType="end"/>
      </w:r>
      <w:r w:rsidR="00953A44">
        <w:rPr>
          <w:rFonts w:cs="David" w:hint="cs"/>
          <w:sz w:val="24"/>
          <w:szCs w:val="24"/>
          <w:rtl/>
        </w:rPr>
        <w:t xml:space="preserve"> להלן)</w:t>
      </w:r>
      <w:r w:rsidRPr="00E21089">
        <w:rPr>
          <w:rFonts w:cs="David" w:hint="cs"/>
          <w:sz w:val="24"/>
          <w:szCs w:val="24"/>
          <w:rtl/>
        </w:rPr>
        <w:t>.</w:t>
      </w:r>
      <w:r>
        <w:rPr>
          <w:rFonts w:cs="David" w:hint="cs"/>
          <w:sz w:val="24"/>
          <w:szCs w:val="24"/>
          <w:rtl/>
        </w:rPr>
        <w:t xml:space="preserve"> </w:t>
      </w:r>
    </w:p>
    <w:p w14:paraId="160746DA" w14:textId="77777777" w:rsidR="00EF1E49" w:rsidRPr="00450137" w:rsidRDefault="00290150" w:rsidP="00051B66">
      <w:pPr>
        <w:numPr>
          <w:ilvl w:val="0"/>
          <w:numId w:val="9"/>
        </w:numPr>
        <w:tabs>
          <w:tab w:val="num" w:pos="386"/>
        </w:tabs>
        <w:autoSpaceDE w:val="0"/>
        <w:autoSpaceDN w:val="0"/>
        <w:spacing w:after="0" w:line="360" w:lineRule="auto"/>
        <w:ind w:left="360"/>
        <w:jc w:val="both"/>
        <w:rPr>
          <w:rFonts w:cs="David"/>
          <w:sz w:val="24"/>
          <w:szCs w:val="24"/>
        </w:rPr>
      </w:pPr>
      <w:r w:rsidRPr="00290150">
        <w:rPr>
          <w:rFonts w:cs="David" w:hint="cs"/>
          <w:sz w:val="24"/>
          <w:szCs w:val="24"/>
          <w:rtl/>
        </w:rPr>
        <w:t xml:space="preserve">אשר </w:t>
      </w:r>
      <w:r w:rsidR="007C75A2">
        <w:rPr>
          <w:rFonts w:cs="David" w:hint="cs"/>
          <w:sz w:val="24"/>
          <w:szCs w:val="24"/>
          <w:rtl/>
        </w:rPr>
        <w:t>ל</w:t>
      </w:r>
      <w:r w:rsidRPr="00290150">
        <w:rPr>
          <w:rFonts w:cs="David" w:hint="cs"/>
          <w:sz w:val="24"/>
          <w:szCs w:val="24"/>
          <w:rtl/>
        </w:rPr>
        <w:t>חלוף הזמן מאז התרחשו</w:t>
      </w:r>
      <w:r w:rsidR="00A84FC3">
        <w:rPr>
          <w:rFonts w:cs="David" w:hint="cs"/>
          <w:sz w:val="24"/>
          <w:szCs w:val="24"/>
          <w:rtl/>
        </w:rPr>
        <w:t>ת</w:t>
      </w:r>
      <w:r w:rsidRPr="00290150">
        <w:rPr>
          <w:rFonts w:cs="David" w:hint="cs"/>
          <w:sz w:val="24"/>
          <w:szCs w:val="24"/>
          <w:rtl/>
        </w:rPr>
        <w:t xml:space="preserve"> המעשים, סבר</w:t>
      </w:r>
      <w:r w:rsidR="00953A44">
        <w:rPr>
          <w:rFonts w:cs="David" w:hint="cs"/>
          <w:sz w:val="24"/>
          <w:szCs w:val="24"/>
          <w:rtl/>
        </w:rPr>
        <w:t>נו</w:t>
      </w:r>
      <w:r w:rsidRPr="00290150">
        <w:rPr>
          <w:rFonts w:cs="David" w:hint="cs"/>
          <w:sz w:val="24"/>
          <w:szCs w:val="24"/>
          <w:rtl/>
        </w:rPr>
        <w:t xml:space="preserve"> כי טיעון </w:t>
      </w:r>
      <w:r w:rsidR="00EF1E49">
        <w:rPr>
          <w:rFonts w:cs="David" w:hint="cs"/>
          <w:sz w:val="24"/>
          <w:szCs w:val="24"/>
          <w:rtl/>
        </w:rPr>
        <w:t xml:space="preserve">זה </w:t>
      </w:r>
      <w:r w:rsidRPr="00290150">
        <w:rPr>
          <w:rFonts w:cs="David" w:hint="cs"/>
          <w:sz w:val="24"/>
          <w:szCs w:val="24"/>
          <w:rtl/>
        </w:rPr>
        <w:t xml:space="preserve">בנסיבות </w:t>
      </w:r>
      <w:r>
        <w:rPr>
          <w:rFonts w:cs="David" w:hint="cs"/>
          <w:sz w:val="24"/>
          <w:szCs w:val="24"/>
          <w:rtl/>
        </w:rPr>
        <w:t xml:space="preserve">המקרה </w:t>
      </w:r>
      <w:r w:rsidRPr="00290150">
        <w:rPr>
          <w:rFonts w:cs="David" w:hint="cs"/>
          <w:sz w:val="24"/>
          <w:szCs w:val="24"/>
          <w:rtl/>
        </w:rPr>
        <w:t xml:space="preserve">שלפנינו </w:t>
      </w:r>
      <w:r w:rsidRPr="007C75A2">
        <w:rPr>
          <w:rFonts w:cs="David" w:hint="cs"/>
          <w:b/>
          <w:bCs/>
          <w:sz w:val="24"/>
          <w:szCs w:val="24"/>
          <w:rtl/>
        </w:rPr>
        <w:t>לא</w:t>
      </w:r>
      <w:r w:rsidRPr="00290150">
        <w:rPr>
          <w:rFonts w:cs="David" w:hint="cs"/>
          <w:sz w:val="24"/>
          <w:szCs w:val="24"/>
          <w:rtl/>
        </w:rPr>
        <w:t xml:space="preserve"> </w:t>
      </w:r>
      <w:r w:rsidR="007C75A2">
        <w:rPr>
          <w:rFonts w:cs="David" w:hint="cs"/>
          <w:sz w:val="24"/>
          <w:szCs w:val="24"/>
          <w:rtl/>
        </w:rPr>
        <w:t>מהווה טעם להקלה</w:t>
      </w:r>
      <w:r w:rsidRPr="00290150">
        <w:rPr>
          <w:rFonts w:cs="David" w:hint="cs"/>
          <w:sz w:val="24"/>
          <w:szCs w:val="24"/>
          <w:rtl/>
        </w:rPr>
        <w:t xml:space="preserve">. הנאשם כפר באישומים ובחר לנהל את משפטו </w:t>
      </w:r>
      <w:r w:rsidRPr="007C75A2">
        <w:rPr>
          <w:rFonts w:cs="David" w:hint="cs"/>
          <w:b/>
          <w:bCs/>
          <w:sz w:val="24"/>
          <w:szCs w:val="24"/>
          <w:rtl/>
        </w:rPr>
        <w:t>במלואו</w:t>
      </w:r>
      <w:r w:rsidRPr="00290150">
        <w:rPr>
          <w:rFonts w:cs="David" w:hint="cs"/>
          <w:sz w:val="24"/>
          <w:szCs w:val="24"/>
          <w:rtl/>
        </w:rPr>
        <w:t xml:space="preserve">. </w:t>
      </w:r>
      <w:r>
        <w:rPr>
          <w:rFonts w:cs="David" w:hint="cs"/>
          <w:sz w:val="24"/>
          <w:szCs w:val="24"/>
          <w:rtl/>
        </w:rPr>
        <w:t xml:space="preserve">ההליך ארך </w:t>
      </w:r>
      <w:r w:rsidRPr="00290150">
        <w:rPr>
          <w:rFonts w:cs="David" w:hint="cs"/>
          <w:b/>
          <w:bCs/>
          <w:sz w:val="24"/>
          <w:szCs w:val="24"/>
          <w:rtl/>
        </w:rPr>
        <w:t>זמן רב</w:t>
      </w:r>
      <w:r w:rsidRPr="00290150">
        <w:rPr>
          <w:rFonts w:cs="David" w:hint="cs"/>
          <w:sz w:val="24"/>
          <w:szCs w:val="24"/>
          <w:rtl/>
        </w:rPr>
        <w:t xml:space="preserve"> </w:t>
      </w:r>
      <w:r>
        <w:rPr>
          <w:rFonts w:cs="David" w:hint="cs"/>
          <w:sz w:val="24"/>
          <w:szCs w:val="24"/>
          <w:rtl/>
        </w:rPr>
        <w:t>מהמקובל במחוזותינו. מעשי העברות</w:t>
      </w:r>
      <w:r w:rsidR="00A84FC3">
        <w:rPr>
          <w:rFonts w:cs="David" w:hint="cs"/>
          <w:sz w:val="24"/>
          <w:szCs w:val="24"/>
          <w:rtl/>
        </w:rPr>
        <w:t xml:space="preserve"> התרחשו בחודש אוקטובר 2017.</w:t>
      </w:r>
      <w:r>
        <w:rPr>
          <w:rFonts w:cs="David" w:hint="cs"/>
          <w:sz w:val="24"/>
          <w:szCs w:val="24"/>
          <w:rtl/>
        </w:rPr>
        <w:t xml:space="preserve"> כתב האישום הוגש בחודש פברואר 2018. ישיבת ההקראה הראשונה התקיימה בחודש מארס 2018. מעת לעת התבקשו דחיות </w:t>
      </w:r>
      <w:r w:rsidR="007C75A2">
        <w:rPr>
          <w:rFonts w:cs="David" w:hint="cs"/>
          <w:sz w:val="24"/>
          <w:szCs w:val="24"/>
          <w:rtl/>
        </w:rPr>
        <w:t xml:space="preserve">שיסודן, בין היתר, </w:t>
      </w:r>
      <w:r>
        <w:rPr>
          <w:rFonts w:cs="David" w:hint="cs"/>
          <w:sz w:val="24"/>
          <w:szCs w:val="24"/>
          <w:rtl/>
        </w:rPr>
        <w:t xml:space="preserve">בקשים טכניים של </w:t>
      </w:r>
      <w:r w:rsidR="00051B66">
        <w:rPr>
          <w:rFonts w:cs="David" w:hint="cs"/>
          <w:sz w:val="24"/>
          <w:szCs w:val="24"/>
          <w:rtl/>
        </w:rPr>
        <w:t>הצדדים לתאם את</w:t>
      </w:r>
      <w:r>
        <w:rPr>
          <w:rFonts w:cs="David" w:hint="cs"/>
          <w:sz w:val="24"/>
          <w:szCs w:val="24"/>
          <w:rtl/>
        </w:rPr>
        <w:t xml:space="preserve"> </w:t>
      </w:r>
      <w:r w:rsidR="00051B66">
        <w:rPr>
          <w:rFonts w:cs="David" w:hint="cs"/>
          <w:sz w:val="24"/>
          <w:szCs w:val="24"/>
          <w:rtl/>
        </w:rPr>
        <w:t>העתקת</w:t>
      </w:r>
      <w:r>
        <w:rPr>
          <w:rFonts w:cs="David" w:hint="cs"/>
          <w:sz w:val="24"/>
          <w:szCs w:val="24"/>
          <w:rtl/>
        </w:rPr>
        <w:t xml:space="preserve"> מלוא חומר החקירה</w:t>
      </w:r>
      <w:r w:rsidR="00051B66">
        <w:rPr>
          <w:rFonts w:cs="David" w:hint="cs"/>
          <w:sz w:val="24"/>
          <w:szCs w:val="24"/>
          <w:rtl/>
        </w:rPr>
        <w:t xml:space="preserve"> על ידי ההגנה</w:t>
      </w:r>
      <w:r>
        <w:rPr>
          <w:rFonts w:cs="David" w:hint="cs"/>
          <w:sz w:val="24"/>
          <w:szCs w:val="24"/>
          <w:rtl/>
        </w:rPr>
        <w:t>. ישיבת ההוכחות הראשונה החלה ביום 10.6.2018</w:t>
      </w:r>
      <w:r w:rsidR="00A84FC3">
        <w:rPr>
          <w:rFonts w:cs="David" w:hint="cs"/>
          <w:sz w:val="24"/>
          <w:szCs w:val="24"/>
          <w:rtl/>
        </w:rPr>
        <w:t>. בחודשים יוני ויולי 2018 התקיימו מספר ישיבות. ביום 22.7.2018 ניתנה החלטתנו בבקשה הגנה מכוח סעיף 108 לחוק סדר הדין הפלילי. על החלטה זו הוגש ערעור. החלטת בית הדין הצבאי לערעורים ניתנה בראשית חודש דצמבר 2018 (</w:t>
      </w:r>
      <w:proofErr w:type="spellStart"/>
      <w:r w:rsidR="00A84FC3">
        <w:rPr>
          <w:rFonts w:cs="David" w:hint="cs"/>
          <w:sz w:val="24"/>
          <w:szCs w:val="24"/>
          <w:rtl/>
        </w:rPr>
        <w:t>עלב"ש</w:t>
      </w:r>
      <w:proofErr w:type="spellEnd"/>
      <w:r w:rsidR="00A84FC3">
        <w:rPr>
          <w:rFonts w:cs="David" w:hint="cs"/>
          <w:sz w:val="24"/>
          <w:szCs w:val="24"/>
          <w:rtl/>
        </w:rPr>
        <w:t xml:space="preserve"> 21/18 </w:t>
      </w:r>
      <w:r w:rsidR="00A84FC3" w:rsidRPr="00A84FC3">
        <w:rPr>
          <w:rFonts w:cs="David" w:hint="cs"/>
          <w:b/>
          <w:bCs/>
          <w:sz w:val="24"/>
          <w:szCs w:val="24"/>
          <w:rtl/>
        </w:rPr>
        <w:t>התובע הצבאי הראשי נ' סמל נהרי</w:t>
      </w:r>
      <w:r w:rsidR="00A84FC3">
        <w:rPr>
          <w:rFonts w:cs="David" w:hint="cs"/>
          <w:sz w:val="24"/>
          <w:szCs w:val="24"/>
          <w:rtl/>
        </w:rPr>
        <w:t xml:space="preserve"> (2018)). דיוני ההוכחות חודשו והתנהלו בבית דין זה בחודשים ינואר ופברואר 2019. הכרעת הדין ניתנה בחודש מארס 2019. שתי ישיבות </w:t>
      </w:r>
      <w:r w:rsidR="00EF1E49">
        <w:rPr>
          <w:rFonts w:cs="David" w:hint="cs"/>
          <w:sz w:val="24"/>
          <w:szCs w:val="24"/>
          <w:rtl/>
        </w:rPr>
        <w:t xml:space="preserve">יוחדו </w:t>
      </w:r>
      <w:r w:rsidR="007C75A2">
        <w:rPr>
          <w:rFonts w:cs="David" w:hint="cs"/>
          <w:sz w:val="24"/>
          <w:szCs w:val="24"/>
          <w:rtl/>
        </w:rPr>
        <w:t xml:space="preserve">גם </w:t>
      </w:r>
      <w:r w:rsidR="00EF1E49">
        <w:rPr>
          <w:rFonts w:cs="David" w:hint="cs"/>
          <w:sz w:val="24"/>
          <w:szCs w:val="24"/>
          <w:rtl/>
        </w:rPr>
        <w:t>לטיעוני הצדדים</w:t>
      </w:r>
      <w:r w:rsidR="00A84FC3">
        <w:rPr>
          <w:rFonts w:cs="David" w:hint="cs"/>
          <w:sz w:val="24"/>
          <w:szCs w:val="24"/>
          <w:rtl/>
        </w:rPr>
        <w:t xml:space="preserve"> לעונש </w:t>
      </w:r>
      <w:r w:rsidR="00EF1E49">
        <w:rPr>
          <w:rFonts w:cs="David" w:hint="cs"/>
          <w:sz w:val="24"/>
          <w:szCs w:val="24"/>
          <w:rtl/>
        </w:rPr>
        <w:t xml:space="preserve">בחודשים אפריל ומאי 2019 </w:t>
      </w:r>
      <w:r w:rsidR="007C75A2">
        <w:rPr>
          <w:rFonts w:cs="David" w:hint="cs"/>
          <w:sz w:val="24"/>
          <w:szCs w:val="24"/>
          <w:rtl/>
        </w:rPr>
        <w:t>כ</w:t>
      </w:r>
      <w:r w:rsidR="00EF1E49">
        <w:rPr>
          <w:rFonts w:cs="David" w:hint="cs"/>
          <w:sz w:val="24"/>
          <w:szCs w:val="24"/>
          <w:rtl/>
        </w:rPr>
        <w:t xml:space="preserve">שלאחת מהן זומנה </w:t>
      </w:r>
      <w:r w:rsidR="007C75A2">
        <w:rPr>
          <w:rFonts w:cs="David" w:hint="cs"/>
          <w:sz w:val="24"/>
          <w:szCs w:val="24"/>
          <w:rtl/>
        </w:rPr>
        <w:t xml:space="preserve">לבקשת ההגנה </w:t>
      </w:r>
      <w:r w:rsidR="00EF1E49">
        <w:rPr>
          <w:rFonts w:cs="David" w:hint="cs"/>
          <w:sz w:val="24"/>
          <w:szCs w:val="24"/>
          <w:rtl/>
        </w:rPr>
        <w:t>מעריכת המסוכנות</w:t>
      </w:r>
      <w:r w:rsidR="00A84FC3">
        <w:rPr>
          <w:rFonts w:cs="David" w:hint="cs"/>
          <w:sz w:val="24"/>
          <w:szCs w:val="24"/>
          <w:rtl/>
        </w:rPr>
        <w:t>.</w:t>
      </w:r>
      <w:r w:rsidR="00EF1E49">
        <w:rPr>
          <w:rFonts w:cs="David" w:hint="cs"/>
          <w:sz w:val="24"/>
          <w:szCs w:val="24"/>
          <w:rtl/>
        </w:rPr>
        <w:t xml:space="preserve"> משכך</w:t>
      </w:r>
      <w:r w:rsidR="007C75A2">
        <w:rPr>
          <w:rFonts w:cs="David" w:hint="cs"/>
          <w:sz w:val="24"/>
          <w:szCs w:val="24"/>
          <w:rtl/>
        </w:rPr>
        <w:t>,</w:t>
      </w:r>
      <w:r w:rsidR="00EF1E49">
        <w:rPr>
          <w:rFonts w:cs="David" w:hint="cs"/>
          <w:sz w:val="24"/>
          <w:szCs w:val="24"/>
          <w:rtl/>
        </w:rPr>
        <w:t xml:space="preserve"> ניתן גזר הדין היום בחלוף למעלה משנה מאז החלה שמיעת ראיות בתיק. </w:t>
      </w:r>
      <w:r w:rsidR="00A84FC3">
        <w:rPr>
          <w:rFonts w:cs="David" w:hint="cs"/>
          <w:sz w:val="24"/>
          <w:szCs w:val="24"/>
          <w:rtl/>
        </w:rPr>
        <w:t>אכן</w:t>
      </w:r>
      <w:r w:rsidR="00EF1E49">
        <w:rPr>
          <w:rFonts w:cs="David" w:hint="cs"/>
          <w:sz w:val="24"/>
          <w:szCs w:val="24"/>
          <w:rtl/>
        </w:rPr>
        <w:t>,</w:t>
      </w:r>
      <w:r w:rsidR="00A84FC3">
        <w:rPr>
          <w:rFonts w:cs="David" w:hint="cs"/>
          <w:sz w:val="24"/>
          <w:szCs w:val="24"/>
          <w:rtl/>
        </w:rPr>
        <w:t xml:space="preserve"> </w:t>
      </w:r>
      <w:r w:rsidR="00FE3D7D">
        <w:rPr>
          <w:rFonts w:cs="David" w:hint="cs"/>
          <w:sz w:val="24"/>
          <w:szCs w:val="24"/>
          <w:rtl/>
        </w:rPr>
        <w:t xml:space="preserve">משך </w:t>
      </w:r>
      <w:r w:rsidR="00A84FC3">
        <w:rPr>
          <w:rFonts w:cs="David" w:hint="cs"/>
          <w:sz w:val="24"/>
          <w:szCs w:val="24"/>
          <w:rtl/>
        </w:rPr>
        <w:t xml:space="preserve">ההליך לא ראוי כי ירבוץ </w:t>
      </w:r>
      <w:r w:rsidR="00FE3D7D">
        <w:rPr>
          <w:rFonts w:cs="David" w:hint="cs"/>
          <w:sz w:val="24"/>
          <w:szCs w:val="24"/>
          <w:rtl/>
        </w:rPr>
        <w:t xml:space="preserve">בעיקרו </w:t>
      </w:r>
      <w:r w:rsidR="00A84FC3">
        <w:rPr>
          <w:rFonts w:cs="David" w:hint="cs"/>
          <w:sz w:val="24"/>
          <w:szCs w:val="24"/>
          <w:rtl/>
        </w:rPr>
        <w:t xml:space="preserve">לפתחו של הנאשם, אך בצד זאת, </w:t>
      </w:r>
      <w:r w:rsidR="00FE3D7D">
        <w:rPr>
          <w:rFonts w:cs="David" w:hint="cs"/>
          <w:sz w:val="24"/>
          <w:szCs w:val="24"/>
          <w:rtl/>
        </w:rPr>
        <w:t>אין להתעלם מכך ש</w:t>
      </w:r>
      <w:r w:rsidR="00A84FC3">
        <w:rPr>
          <w:rFonts w:cs="David" w:hint="cs"/>
          <w:sz w:val="24"/>
          <w:szCs w:val="24"/>
          <w:rtl/>
        </w:rPr>
        <w:t xml:space="preserve">מלאכת קביעת המועדים בתיק </w:t>
      </w:r>
      <w:r w:rsidR="00EF1E49">
        <w:rPr>
          <w:rFonts w:cs="David" w:hint="cs"/>
          <w:sz w:val="24"/>
          <w:szCs w:val="24"/>
          <w:rtl/>
        </w:rPr>
        <w:t xml:space="preserve">עוררה קושי ניכר (ראו למשל החלטת </w:t>
      </w:r>
      <w:proofErr w:type="spellStart"/>
      <w:r w:rsidR="00EF1E49">
        <w:rPr>
          <w:rFonts w:cs="David" w:hint="cs"/>
          <w:sz w:val="24"/>
          <w:szCs w:val="24"/>
          <w:rtl/>
        </w:rPr>
        <w:t>האב"ד</w:t>
      </w:r>
      <w:proofErr w:type="spellEnd"/>
      <w:r w:rsidR="00EF1E49">
        <w:rPr>
          <w:rFonts w:cs="David" w:hint="cs"/>
          <w:sz w:val="24"/>
          <w:szCs w:val="24"/>
          <w:rtl/>
        </w:rPr>
        <w:t xml:space="preserve"> מיום 3.1.2019). כידוע, </w:t>
      </w:r>
      <w:r w:rsidR="007F3403" w:rsidRPr="00EF1E49">
        <w:rPr>
          <w:rFonts w:cs="David" w:hint="cs"/>
          <w:sz w:val="24"/>
          <w:szCs w:val="24"/>
          <w:rtl/>
        </w:rPr>
        <w:t xml:space="preserve">עצם כפירת הנאשם וניהול ההליך לא </w:t>
      </w:r>
      <w:r w:rsidR="00EF1E49">
        <w:rPr>
          <w:rFonts w:cs="David" w:hint="cs"/>
          <w:sz w:val="24"/>
          <w:szCs w:val="24"/>
          <w:rtl/>
        </w:rPr>
        <w:t>ייזקפו</w:t>
      </w:r>
      <w:r w:rsidR="007F3403" w:rsidRPr="00EF1E49">
        <w:rPr>
          <w:rFonts w:cs="David" w:hint="cs"/>
          <w:sz w:val="24"/>
          <w:szCs w:val="24"/>
          <w:rtl/>
        </w:rPr>
        <w:t xml:space="preserve"> לחובתו </w:t>
      </w:r>
      <w:r w:rsidR="00EF1E49">
        <w:rPr>
          <w:rFonts w:cs="David" w:hint="cs"/>
          <w:sz w:val="24"/>
          <w:szCs w:val="24"/>
          <w:rtl/>
        </w:rPr>
        <w:t xml:space="preserve">(סעיף 40יא(6) לחוק העונשין), </w:t>
      </w:r>
      <w:r w:rsidR="007F3403" w:rsidRPr="00EF1E49">
        <w:rPr>
          <w:rFonts w:cs="David" w:hint="cs"/>
          <w:sz w:val="24"/>
          <w:szCs w:val="24"/>
          <w:rtl/>
        </w:rPr>
        <w:t xml:space="preserve">אך </w:t>
      </w:r>
      <w:r w:rsidR="00450137">
        <w:rPr>
          <w:rFonts w:cs="David" w:hint="cs"/>
          <w:sz w:val="24"/>
          <w:szCs w:val="24"/>
          <w:rtl/>
        </w:rPr>
        <w:t xml:space="preserve">כוחן של </w:t>
      </w:r>
      <w:r w:rsidR="00EF1E49" w:rsidRPr="00450137">
        <w:rPr>
          <w:rFonts w:cs="David" w:hint="cs"/>
          <w:sz w:val="24"/>
          <w:szCs w:val="24"/>
          <w:rtl/>
        </w:rPr>
        <w:t xml:space="preserve">קביעות בית הדין </w:t>
      </w:r>
      <w:r w:rsidR="00450137">
        <w:rPr>
          <w:rFonts w:cs="David" w:hint="cs"/>
          <w:sz w:val="24"/>
          <w:szCs w:val="24"/>
          <w:rtl/>
        </w:rPr>
        <w:t xml:space="preserve">הצבאי לערעורים </w:t>
      </w:r>
      <w:r w:rsidR="00EF1E49" w:rsidRPr="00450137">
        <w:rPr>
          <w:rFonts w:cs="David" w:hint="cs"/>
          <w:sz w:val="24"/>
          <w:szCs w:val="24"/>
          <w:rtl/>
        </w:rPr>
        <w:t xml:space="preserve">ביחס למי שבוחר שלא לקחת אחריות על מעשיו ולנהל את הגנתו, מתאימות </w:t>
      </w:r>
      <w:r w:rsidR="00450137">
        <w:rPr>
          <w:rFonts w:cs="David" w:hint="cs"/>
          <w:sz w:val="24"/>
          <w:szCs w:val="24"/>
          <w:rtl/>
        </w:rPr>
        <w:t>ככפפה ליד</w:t>
      </w:r>
      <w:r w:rsidR="00EF1E49" w:rsidRPr="00450137">
        <w:rPr>
          <w:rFonts w:cs="David" w:hint="cs"/>
          <w:sz w:val="24"/>
          <w:szCs w:val="24"/>
          <w:rtl/>
        </w:rPr>
        <w:t xml:space="preserve"> לענייננו, כי "מי שמורשע בדין רק לאחר הליך משפטי ממושך מתחיל את ההליך השיקומי בשלבים מאוחרים הרבה יותר. לפיכך, האפשרות להקל בעונשו מצומצמת יותר. אכן, 'מכסה פשעיו לא יצליח 'מודה ועוזב' ירֻחם' (משלי </w:t>
      </w:r>
      <w:proofErr w:type="spellStart"/>
      <w:r w:rsidR="00EF1E49" w:rsidRPr="00450137">
        <w:rPr>
          <w:rFonts w:cs="David" w:hint="cs"/>
          <w:sz w:val="24"/>
          <w:szCs w:val="24"/>
          <w:rtl/>
        </w:rPr>
        <w:t>כח</w:t>
      </w:r>
      <w:proofErr w:type="spellEnd"/>
      <w:r w:rsidR="00EF1E49" w:rsidRPr="00450137">
        <w:rPr>
          <w:rFonts w:cs="David" w:hint="cs"/>
          <w:sz w:val="24"/>
          <w:szCs w:val="24"/>
          <w:rtl/>
        </w:rPr>
        <w:t xml:space="preserve"> 13)" (</w:t>
      </w:r>
      <w:r w:rsidR="00EF1E49" w:rsidRPr="00450137">
        <w:rPr>
          <w:rFonts w:cs="David"/>
          <w:sz w:val="24"/>
          <w:szCs w:val="24"/>
          <w:rtl/>
        </w:rPr>
        <w:t>ע/31/11</w:t>
      </w:r>
      <w:r w:rsidR="00EF1E49" w:rsidRPr="00450137">
        <w:rPr>
          <w:rFonts w:cs="David" w:hint="cs"/>
          <w:sz w:val="24"/>
          <w:szCs w:val="24"/>
          <w:rtl/>
        </w:rPr>
        <w:t xml:space="preserve"> </w:t>
      </w:r>
      <w:r w:rsidR="00EF1E49" w:rsidRPr="00450137">
        <w:rPr>
          <w:rFonts w:cs="David" w:hint="cs"/>
          <w:b/>
          <w:bCs/>
          <w:sz w:val="24"/>
          <w:szCs w:val="24"/>
          <w:rtl/>
        </w:rPr>
        <w:t xml:space="preserve">התובע הצבאי הראשי נ' רב"ט </w:t>
      </w:r>
      <w:proofErr w:type="spellStart"/>
      <w:r w:rsidR="00EF1E49" w:rsidRPr="00450137">
        <w:rPr>
          <w:rFonts w:cs="David" w:hint="cs"/>
          <w:b/>
          <w:bCs/>
          <w:sz w:val="24"/>
          <w:szCs w:val="24"/>
          <w:rtl/>
        </w:rPr>
        <w:t>דבח</w:t>
      </w:r>
      <w:proofErr w:type="spellEnd"/>
      <w:r w:rsidR="00EF1E49" w:rsidRPr="00450137">
        <w:rPr>
          <w:rFonts w:cs="David" w:hint="cs"/>
          <w:sz w:val="24"/>
          <w:szCs w:val="24"/>
          <w:rtl/>
        </w:rPr>
        <w:t xml:space="preserve"> (2011)). במקרה אחר ובאותו הקשר נקבע כי "</w:t>
      </w:r>
      <w:r w:rsidR="00EF1E49" w:rsidRPr="00450137">
        <w:rPr>
          <w:rFonts w:cs="David"/>
          <w:sz w:val="24"/>
          <w:szCs w:val="24"/>
          <w:rtl/>
        </w:rPr>
        <w:t>להודיה הנשמעת מפיו יש ערך מכפר, ולו על מקצת סטייתו מנורמת ההתנהגות החברתית הראויה, והיא אף עשויה להציע ראשית-מזור להשפלה, לאובדן הערך העצמי ולתחושות האשם מנת חלקו של הקורבן, בפרט בעבירות מין</w:t>
      </w:r>
      <w:r w:rsidR="00EF1E49" w:rsidRPr="00450137">
        <w:rPr>
          <w:rFonts w:cs="David" w:hint="cs"/>
          <w:sz w:val="24"/>
          <w:szCs w:val="24"/>
          <w:rtl/>
        </w:rPr>
        <w:t>" (</w:t>
      </w:r>
      <w:r w:rsidR="007F44E6" w:rsidRPr="00450137">
        <w:rPr>
          <w:rFonts w:cs="David" w:hint="cs"/>
          <w:sz w:val="24"/>
          <w:szCs w:val="24"/>
          <w:rtl/>
        </w:rPr>
        <w:t xml:space="preserve">ע/44,45/18 </w:t>
      </w:r>
      <w:r w:rsidR="007F44E6" w:rsidRPr="00450137">
        <w:rPr>
          <w:rFonts w:cs="David" w:hint="cs"/>
          <w:b/>
          <w:bCs/>
          <w:sz w:val="24"/>
          <w:szCs w:val="24"/>
          <w:rtl/>
        </w:rPr>
        <w:t>טור' לוי נ' התובע הצבאי הראשי</w:t>
      </w:r>
      <w:r w:rsidR="007F44E6" w:rsidRPr="00450137">
        <w:rPr>
          <w:rFonts w:cs="David" w:hint="cs"/>
          <w:sz w:val="24"/>
          <w:szCs w:val="24"/>
          <w:rtl/>
        </w:rPr>
        <w:t>, בפס' 95 (2019) והאסמכתאות שם</w:t>
      </w:r>
      <w:r w:rsidR="00EF1E49" w:rsidRPr="00450137">
        <w:rPr>
          <w:rFonts w:cs="David" w:hint="cs"/>
          <w:sz w:val="24"/>
          <w:szCs w:val="24"/>
          <w:rtl/>
        </w:rPr>
        <w:t>).</w:t>
      </w:r>
      <w:r w:rsidR="007F44E6" w:rsidRPr="00450137">
        <w:rPr>
          <w:rFonts w:cs="David" w:hint="cs"/>
          <w:sz w:val="24"/>
          <w:szCs w:val="24"/>
          <w:rtl/>
        </w:rPr>
        <w:t xml:space="preserve"> </w:t>
      </w:r>
      <w:r w:rsidR="00EF1E49" w:rsidRPr="00450137">
        <w:rPr>
          <w:rFonts w:cs="David" w:hint="cs"/>
          <w:sz w:val="24"/>
          <w:szCs w:val="24"/>
          <w:rtl/>
        </w:rPr>
        <w:t xml:space="preserve">בענייננו, בחר </w:t>
      </w:r>
      <w:r w:rsidR="00051B66">
        <w:rPr>
          <w:rFonts w:cs="David" w:hint="cs"/>
          <w:sz w:val="24"/>
          <w:szCs w:val="24"/>
          <w:rtl/>
        </w:rPr>
        <w:t>הנאשם</w:t>
      </w:r>
      <w:r w:rsidR="00EF1E49" w:rsidRPr="00450137">
        <w:rPr>
          <w:rFonts w:cs="David" w:hint="cs"/>
          <w:sz w:val="24"/>
          <w:szCs w:val="24"/>
          <w:rtl/>
        </w:rPr>
        <w:t xml:space="preserve"> לנהל את הגנתו, לא נטל אחריות למעשיו ולא החל בהליך שיק</w:t>
      </w:r>
      <w:r w:rsidR="007F44E6" w:rsidRPr="00450137">
        <w:rPr>
          <w:rFonts w:cs="David" w:hint="cs"/>
          <w:sz w:val="24"/>
          <w:szCs w:val="24"/>
          <w:rtl/>
        </w:rPr>
        <w:t>ומי כלשהו</w:t>
      </w:r>
      <w:r w:rsidR="007C75A2" w:rsidRPr="00450137">
        <w:rPr>
          <w:rFonts w:cs="David" w:hint="cs"/>
          <w:sz w:val="24"/>
          <w:szCs w:val="24"/>
          <w:rtl/>
        </w:rPr>
        <w:t xml:space="preserve">. </w:t>
      </w:r>
      <w:r w:rsidR="00FE3D7D">
        <w:rPr>
          <w:rFonts w:cs="David" w:hint="cs"/>
          <w:sz w:val="24"/>
          <w:szCs w:val="24"/>
          <w:rtl/>
        </w:rPr>
        <w:t xml:space="preserve">לפיכך, </w:t>
      </w:r>
      <w:r w:rsidR="007516DF">
        <w:rPr>
          <w:rFonts w:cs="David" w:hint="cs"/>
          <w:sz w:val="24"/>
          <w:szCs w:val="24"/>
          <w:rtl/>
        </w:rPr>
        <w:t xml:space="preserve">הימשכות ההליך אינה מהווה טעם להקלה ואין הוא </w:t>
      </w:r>
      <w:r w:rsidR="00FE3D7D">
        <w:rPr>
          <w:rFonts w:cs="David" w:hint="cs"/>
          <w:sz w:val="24"/>
          <w:szCs w:val="24"/>
          <w:rtl/>
        </w:rPr>
        <w:t>זכאי גם להקלה השמורה בדין למי ש</w:t>
      </w:r>
      <w:r w:rsidR="007516DF">
        <w:rPr>
          <w:rFonts w:cs="David" w:hint="cs"/>
          <w:sz w:val="24"/>
          <w:szCs w:val="24"/>
          <w:rtl/>
        </w:rPr>
        <w:t>הודה ונטל אחריות.</w:t>
      </w:r>
      <w:r w:rsidR="00B26BE8">
        <w:rPr>
          <w:rFonts w:cs="David" w:hint="cs"/>
          <w:sz w:val="24"/>
          <w:szCs w:val="24"/>
          <w:rtl/>
        </w:rPr>
        <w:t xml:space="preserve"> </w:t>
      </w:r>
    </w:p>
    <w:p w14:paraId="3035CB2C" w14:textId="77777777" w:rsidR="008A0089" w:rsidRPr="008A0089" w:rsidRDefault="007516DF" w:rsidP="00051B66">
      <w:pPr>
        <w:numPr>
          <w:ilvl w:val="0"/>
          <w:numId w:val="9"/>
        </w:numPr>
        <w:tabs>
          <w:tab w:val="num" w:pos="386"/>
        </w:tabs>
        <w:autoSpaceDE w:val="0"/>
        <w:autoSpaceDN w:val="0"/>
        <w:spacing w:after="0" w:line="360" w:lineRule="auto"/>
        <w:ind w:left="360"/>
        <w:jc w:val="both"/>
        <w:rPr>
          <w:rFonts w:cs="David"/>
          <w:sz w:val="24"/>
          <w:szCs w:val="24"/>
        </w:rPr>
      </w:pPr>
      <w:bookmarkStart w:id="1" w:name="_Ref11935029"/>
      <w:r>
        <w:rPr>
          <w:rFonts w:cs="David" w:hint="cs"/>
          <w:sz w:val="24"/>
          <w:szCs w:val="24"/>
          <w:rtl/>
        </w:rPr>
        <w:t xml:space="preserve">לצד כלל האמור, נתנו דעתנו גם לנסיבותיו האישיות של הנאשם. </w:t>
      </w:r>
      <w:r w:rsidR="007F3403">
        <w:rPr>
          <w:rFonts w:cs="David" w:hint="cs"/>
          <w:sz w:val="24"/>
          <w:szCs w:val="24"/>
          <w:rtl/>
        </w:rPr>
        <w:t>שקלנו לקולה את עברו הפלילי הנקי של הנאשם</w:t>
      </w:r>
      <w:r>
        <w:rPr>
          <w:rFonts w:cs="David" w:hint="cs"/>
          <w:sz w:val="24"/>
          <w:szCs w:val="24"/>
          <w:rtl/>
        </w:rPr>
        <w:t>,</w:t>
      </w:r>
      <w:r w:rsidR="007F3403">
        <w:rPr>
          <w:rFonts w:cs="David" w:hint="cs"/>
          <w:sz w:val="24"/>
          <w:szCs w:val="24"/>
          <w:rtl/>
        </w:rPr>
        <w:t xml:space="preserve"> שזו לו מעידתו הראשונה. </w:t>
      </w:r>
      <w:r w:rsidR="007F3403" w:rsidRPr="007F3403">
        <w:rPr>
          <w:rFonts w:cs="David" w:hint="cs"/>
          <w:sz w:val="24"/>
          <w:szCs w:val="24"/>
          <w:rtl/>
        </w:rPr>
        <w:t>הנאשם השתחרר זה מכבר בחודש אוקטובר 2018 מהשירות הצבאי, הוא מחזיק בעבודה מסודרת ובשגרת יום מלאה</w:t>
      </w:r>
      <w:r w:rsidR="007F3403">
        <w:rPr>
          <w:rFonts w:cs="David" w:hint="cs"/>
          <w:sz w:val="24"/>
          <w:szCs w:val="24"/>
          <w:rtl/>
        </w:rPr>
        <w:t xml:space="preserve">. </w:t>
      </w:r>
      <w:r w:rsidR="00E31617">
        <w:rPr>
          <w:rFonts w:cs="David" w:hint="cs"/>
          <w:sz w:val="24"/>
          <w:szCs w:val="24"/>
          <w:rtl/>
        </w:rPr>
        <w:t xml:space="preserve">הוא </w:t>
      </w:r>
      <w:r w:rsidR="00051B66">
        <w:rPr>
          <w:rFonts w:cs="David" w:hint="cs"/>
          <w:sz w:val="24"/>
          <w:szCs w:val="24"/>
          <w:rtl/>
        </w:rPr>
        <w:t>מנהל</w:t>
      </w:r>
      <w:r w:rsidR="00E31617">
        <w:rPr>
          <w:rFonts w:cs="David" w:hint="cs"/>
          <w:sz w:val="24"/>
          <w:szCs w:val="24"/>
          <w:rtl/>
        </w:rPr>
        <w:t xml:space="preserve"> אורח חיים נורמטיבי ויש לו משפחה תומכת. </w:t>
      </w:r>
      <w:r w:rsidR="007F3403">
        <w:rPr>
          <w:rFonts w:cs="David" w:hint="cs"/>
          <w:sz w:val="24"/>
          <w:szCs w:val="24"/>
          <w:rtl/>
        </w:rPr>
        <w:t>שקלנו גם את</w:t>
      </w:r>
      <w:r w:rsidR="007F3403" w:rsidRPr="007F3403">
        <w:rPr>
          <w:rFonts w:cs="David" w:hint="cs"/>
          <w:sz w:val="24"/>
          <w:szCs w:val="24"/>
          <w:rtl/>
        </w:rPr>
        <w:t xml:space="preserve"> נישואיו הצפויים של הנאשם בקרוב. </w:t>
      </w:r>
      <w:r w:rsidR="007F3403">
        <w:rPr>
          <w:rFonts w:cs="David" w:hint="cs"/>
          <w:sz w:val="24"/>
          <w:szCs w:val="24"/>
          <w:rtl/>
        </w:rPr>
        <w:t xml:space="preserve">משדחינו בהכרעת הדין את טיעון הסנגור בדבר אכיפה בררנית, אין מקום לשקול טיעון זה כשלעצמו </w:t>
      </w:r>
      <w:r w:rsidR="007F3403">
        <w:rPr>
          <w:rFonts w:cs="David" w:hint="cs"/>
          <w:sz w:val="24"/>
          <w:szCs w:val="24"/>
          <w:rtl/>
        </w:rPr>
        <w:lastRenderedPageBreak/>
        <w:t xml:space="preserve">במסגרת העונש. יחד עם זאת, לא נעלם מעינינו השלכות העובדה כי הורשע בעברות בעלות אופי מיני. יש לקוות כי </w:t>
      </w:r>
      <w:r w:rsidR="00953A44">
        <w:rPr>
          <w:rFonts w:cs="David" w:hint="cs"/>
          <w:sz w:val="24"/>
          <w:szCs w:val="24"/>
          <w:rtl/>
        </w:rPr>
        <w:t xml:space="preserve">נסיבותיו האישיות והמשפחתיות המשליכות על פוטנציאל שיקומו של הנאשם יביאו לכך שהוא </w:t>
      </w:r>
      <w:r w:rsidR="007F3403">
        <w:rPr>
          <w:rFonts w:cs="David" w:hint="cs"/>
          <w:sz w:val="24"/>
          <w:szCs w:val="24"/>
          <w:rtl/>
        </w:rPr>
        <w:t>לא ישוב וימעד במעשים שכאלה.</w:t>
      </w:r>
      <w:bookmarkEnd w:id="1"/>
      <w:r w:rsidR="007F3403">
        <w:rPr>
          <w:rFonts w:cs="David" w:hint="cs"/>
          <w:sz w:val="24"/>
          <w:szCs w:val="24"/>
          <w:rtl/>
        </w:rPr>
        <w:t xml:space="preserve"> </w:t>
      </w:r>
    </w:p>
    <w:p w14:paraId="1AC036BF" w14:textId="77777777" w:rsidR="00953A44" w:rsidRDefault="00FC1FDD" w:rsidP="00953A44">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 </w:t>
      </w:r>
      <w:r w:rsidR="00953A44">
        <w:rPr>
          <w:rFonts w:cs="David" w:hint="cs"/>
          <w:sz w:val="24"/>
          <w:szCs w:val="24"/>
          <w:rtl/>
        </w:rPr>
        <w:t>העונש הראוי לנאשם הוא ששה חודשי מאסר לריצוי בפועל בכליאה ממשית.</w:t>
      </w:r>
    </w:p>
    <w:p w14:paraId="5B00F61B" w14:textId="77777777" w:rsidR="00953A44" w:rsidRDefault="00953A44" w:rsidP="00953A44">
      <w:pPr>
        <w:autoSpaceDE w:val="0"/>
        <w:autoSpaceDN w:val="0"/>
        <w:spacing w:after="0" w:line="360" w:lineRule="auto"/>
        <w:ind w:left="360"/>
        <w:jc w:val="both"/>
        <w:rPr>
          <w:rFonts w:cs="David"/>
          <w:sz w:val="24"/>
          <w:szCs w:val="24"/>
        </w:rPr>
      </w:pPr>
    </w:p>
    <w:p w14:paraId="4EEE56E7" w14:textId="77777777" w:rsidR="00953A44" w:rsidRDefault="00953A44" w:rsidP="00953A44">
      <w:pPr>
        <w:autoSpaceDE w:val="0"/>
        <w:autoSpaceDN w:val="0"/>
        <w:spacing w:after="0" w:line="360" w:lineRule="auto"/>
        <w:jc w:val="both"/>
        <w:rPr>
          <w:rFonts w:cs="David"/>
          <w:sz w:val="24"/>
          <w:szCs w:val="24"/>
        </w:rPr>
      </w:pPr>
      <w:r w:rsidRPr="00953A44">
        <w:rPr>
          <w:rFonts w:cs="David" w:hint="cs"/>
          <w:b/>
          <w:bCs/>
          <w:sz w:val="24"/>
          <w:szCs w:val="24"/>
          <w:rtl/>
        </w:rPr>
        <w:t>פיצוי לנפגעות העברה</w:t>
      </w:r>
    </w:p>
    <w:p w14:paraId="2888C7BE" w14:textId="77777777" w:rsidR="00A3656F" w:rsidRPr="00A3656F" w:rsidRDefault="00521D95" w:rsidP="00A3656F">
      <w:pPr>
        <w:numPr>
          <w:ilvl w:val="0"/>
          <w:numId w:val="9"/>
        </w:numPr>
        <w:tabs>
          <w:tab w:val="num" w:pos="386"/>
        </w:tabs>
        <w:autoSpaceDE w:val="0"/>
        <w:autoSpaceDN w:val="0"/>
        <w:spacing w:after="0" w:line="360" w:lineRule="auto"/>
        <w:ind w:left="360"/>
        <w:jc w:val="both"/>
        <w:rPr>
          <w:rFonts w:cs="David"/>
          <w:sz w:val="24"/>
          <w:szCs w:val="24"/>
          <w:rtl/>
        </w:rPr>
      </w:pPr>
      <w:r>
        <w:rPr>
          <w:rFonts w:cs="David" w:hint="cs"/>
          <w:sz w:val="24"/>
          <w:szCs w:val="24"/>
          <w:rtl/>
        </w:rPr>
        <w:t xml:space="preserve">בסעיף </w:t>
      </w:r>
      <w:r w:rsidR="001E412F">
        <w:rPr>
          <w:rFonts w:cs="David" w:hint="cs"/>
          <w:sz w:val="24"/>
          <w:szCs w:val="24"/>
          <w:rtl/>
        </w:rPr>
        <w:t xml:space="preserve">35(א) </w:t>
      </w:r>
      <w:r>
        <w:rPr>
          <w:rFonts w:cs="David" w:hint="cs"/>
          <w:sz w:val="24"/>
          <w:szCs w:val="24"/>
          <w:rtl/>
        </w:rPr>
        <w:t xml:space="preserve">לחוק השיפוט הצבאי, </w:t>
      </w:r>
      <w:proofErr w:type="spellStart"/>
      <w:r>
        <w:rPr>
          <w:rFonts w:cs="David" w:hint="cs"/>
          <w:sz w:val="24"/>
          <w:szCs w:val="24"/>
          <w:rtl/>
        </w:rPr>
        <w:t>התשט"ו</w:t>
      </w:r>
      <w:proofErr w:type="spellEnd"/>
      <w:r>
        <w:rPr>
          <w:rFonts w:cs="David" w:hint="cs"/>
          <w:sz w:val="24"/>
          <w:szCs w:val="24"/>
          <w:rtl/>
        </w:rPr>
        <w:t xml:space="preserve"> </w:t>
      </w:r>
      <w:r>
        <w:rPr>
          <w:rFonts w:cs="David"/>
          <w:sz w:val="24"/>
          <w:szCs w:val="24"/>
          <w:rtl/>
        </w:rPr>
        <w:t>–</w:t>
      </w:r>
      <w:r>
        <w:rPr>
          <w:rFonts w:cs="David" w:hint="cs"/>
          <w:sz w:val="24"/>
          <w:szCs w:val="24"/>
          <w:rtl/>
        </w:rPr>
        <w:t xml:space="preserve"> 1955 נקבעה סמכותו של בית הדין הצבאי </w:t>
      </w:r>
      <w:r w:rsidR="000828D8">
        <w:rPr>
          <w:rFonts w:cs="David" w:hint="cs"/>
          <w:sz w:val="24"/>
          <w:szCs w:val="24"/>
          <w:rtl/>
        </w:rPr>
        <w:t>לחייב חייל שהורשע "בשל כל אחת מן העבירות שהורשע בהן, בנוסף על העונש, לשלם למי שניזוק על ידי העבירה סכום כסף שלא יעלה על עשרה שיעורים של שכר יסוד חדשי של טוראי בשירות חובה, כפי שהוא בשעת הטלת החיוב, לפיצוי הנזק או הסבל שנגרם לו".</w:t>
      </w:r>
      <w:r w:rsidR="001E412F">
        <w:rPr>
          <w:rFonts w:cs="David" w:hint="cs"/>
          <w:sz w:val="24"/>
          <w:szCs w:val="24"/>
          <w:rtl/>
        </w:rPr>
        <w:t xml:space="preserve"> בבית הדין הצבאי לערעורים נקבע כי </w:t>
      </w:r>
      <w:r w:rsidR="001E412F">
        <w:rPr>
          <w:rFonts w:hint="cs"/>
          <w:rtl/>
        </w:rPr>
        <w:t>"</w:t>
      </w:r>
      <w:r w:rsidR="001E412F" w:rsidRPr="001E412F">
        <w:rPr>
          <w:rFonts w:cs="David" w:hint="cs"/>
          <w:sz w:val="24"/>
          <w:szCs w:val="24"/>
          <w:rtl/>
        </w:rPr>
        <w:t>פסיקתו העקבית של בית-דין זה מחייבת פסיקת פיצויים למתלונן בעב</w:t>
      </w:r>
      <w:r w:rsidR="001E412F" w:rsidRPr="001E412F">
        <w:rPr>
          <w:rFonts w:cs="David" w:hint="eastAsia"/>
          <w:sz w:val="24"/>
          <w:szCs w:val="24"/>
          <w:rtl/>
        </w:rPr>
        <w:t>ֵ</w:t>
      </w:r>
      <w:r w:rsidR="001E412F" w:rsidRPr="001E412F">
        <w:rPr>
          <w:rFonts w:cs="David" w:hint="cs"/>
          <w:sz w:val="24"/>
          <w:szCs w:val="24"/>
          <w:rtl/>
        </w:rPr>
        <w:t xml:space="preserve">רת מין, כהכרה סמלית בסבלו ובעוגמת הנפש שהייתה מנת חלקו כפועל יוצא של הפגיעה שנעשתה בו" (ע/163,164/08 </w:t>
      </w:r>
      <w:r w:rsidR="001E412F" w:rsidRPr="001E412F">
        <w:rPr>
          <w:rFonts w:cs="David" w:hint="cs"/>
          <w:b/>
          <w:bCs/>
          <w:sz w:val="24"/>
          <w:szCs w:val="24"/>
          <w:rtl/>
        </w:rPr>
        <w:t xml:space="preserve">התובע הצבאי הראשי נ' טור' </w:t>
      </w:r>
      <w:proofErr w:type="spellStart"/>
      <w:r w:rsidR="001E412F" w:rsidRPr="001E412F">
        <w:rPr>
          <w:rFonts w:cs="David" w:hint="cs"/>
          <w:b/>
          <w:bCs/>
          <w:sz w:val="24"/>
          <w:szCs w:val="24"/>
          <w:rtl/>
        </w:rPr>
        <w:t>קרקבדוס</w:t>
      </w:r>
      <w:proofErr w:type="spellEnd"/>
      <w:r w:rsidR="001E412F" w:rsidRPr="001E412F">
        <w:rPr>
          <w:rFonts w:cs="David" w:hint="cs"/>
          <w:sz w:val="24"/>
          <w:szCs w:val="24"/>
          <w:rtl/>
        </w:rPr>
        <w:t xml:space="preserve"> (2009)). </w:t>
      </w:r>
      <w:r w:rsidR="001E412F">
        <w:rPr>
          <w:rFonts w:cs="David" w:hint="cs"/>
          <w:sz w:val="24"/>
          <w:szCs w:val="24"/>
          <w:rtl/>
        </w:rPr>
        <w:t xml:space="preserve">ברוח זו פסקו בתי הדין הצבאיים שיעורי פיצוי כנגזרת של אופי מעשי העברות, היקף הנזק </w:t>
      </w:r>
      <w:r w:rsidR="001E2E1A">
        <w:rPr>
          <w:rFonts w:cs="David" w:hint="cs"/>
          <w:sz w:val="24"/>
          <w:szCs w:val="24"/>
          <w:rtl/>
        </w:rPr>
        <w:t xml:space="preserve">שנגרם כתוצאה מהעברה </w:t>
      </w:r>
      <w:r w:rsidR="001E412F">
        <w:rPr>
          <w:rFonts w:cs="David" w:hint="cs"/>
          <w:sz w:val="24"/>
          <w:szCs w:val="24"/>
          <w:rtl/>
        </w:rPr>
        <w:t>ומצבו האישי והכלכלי של הנאשם,</w:t>
      </w:r>
      <w:r w:rsidR="001E412F" w:rsidRPr="001E412F">
        <w:rPr>
          <w:rFonts w:cs="David" w:hint="cs"/>
          <w:sz w:val="24"/>
          <w:szCs w:val="24"/>
          <w:rtl/>
        </w:rPr>
        <w:t xml:space="preserve"> </w:t>
      </w:r>
      <w:r w:rsidR="001E412F">
        <w:rPr>
          <w:rFonts w:cs="David" w:hint="cs"/>
          <w:sz w:val="24"/>
          <w:szCs w:val="24"/>
          <w:rtl/>
        </w:rPr>
        <w:t>שיעורי פיצוי סמליים לנפגעי העברה</w:t>
      </w:r>
      <w:r w:rsidR="001E2E1A">
        <w:rPr>
          <w:rFonts w:cs="David" w:hint="cs"/>
          <w:sz w:val="24"/>
          <w:szCs w:val="24"/>
          <w:rtl/>
        </w:rPr>
        <w:t xml:space="preserve">, וזאת כחלק מתמהיל הענישה הכולל (למשל: </w:t>
      </w:r>
      <w:r w:rsidR="00A3656F" w:rsidRPr="00A3656F">
        <w:rPr>
          <w:rFonts w:cs="David" w:hint="cs"/>
          <w:sz w:val="24"/>
          <w:szCs w:val="24"/>
          <w:rtl/>
        </w:rPr>
        <w:t xml:space="preserve">ע/56,58/16 </w:t>
      </w:r>
      <w:r w:rsidR="00A3656F" w:rsidRPr="00A3656F">
        <w:rPr>
          <w:rFonts w:cs="David" w:hint="cs"/>
          <w:b/>
          <w:bCs/>
          <w:sz w:val="24"/>
          <w:szCs w:val="24"/>
          <w:rtl/>
        </w:rPr>
        <w:t>סמל ימין נ' התובע הצבאי הראשי</w:t>
      </w:r>
      <w:r w:rsidR="00A3656F">
        <w:rPr>
          <w:rFonts w:cs="David" w:hint="cs"/>
          <w:sz w:val="24"/>
          <w:szCs w:val="24"/>
          <w:rtl/>
        </w:rPr>
        <w:t xml:space="preserve">, פס' 108-103 </w:t>
      </w:r>
      <w:r w:rsidR="00A3656F" w:rsidRPr="00A3656F">
        <w:rPr>
          <w:rFonts w:cs="David" w:hint="cs"/>
          <w:sz w:val="24"/>
          <w:szCs w:val="24"/>
          <w:rtl/>
        </w:rPr>
        <w:t>(2017)</w:t>
      </w:r>
      <w:r w:rsidR="00A3656F">
        <w:rPr>
          <w:rFonts w:cs="David" w:hint="cs"/>
          <w:sz w:val="24"/>
          <w:szCs w:val="24"/>
          <w:rtl/>
        </w:rPr>
        <w:t xml:space="preserve">; </w:t>
      </w:r>
      <w:r w:rsidR="00A3656F" w:rsidRPr="00A3656F">
        <w:rPr>
          <w:rFonts w:cs="David" w:hint="cs"/>
          <w:sz w:val="24"/>
          <w:szCs w:val="24"/>
          <w:rtl/>
        </w:rPr>
        <w:t xml:space="preserve">ע/38,39/18 </w:t>
      </w:r>
      <w:r w:rsidR="00A3656F" w:rsidRPr="00A3656F">
        <w:rPr>
          <w:rFonts w:cs="David" w:hint="cs"/>
          <w:b/>
          <w:bCs/>
          <w:sz w:val="24"/>
          <w:szCs w:val="24"/>
          <w:rtl/>
        </w:rPr>
        <w:t>סגן ברדה נ' התובע הצבאי הראשי</w:t>
      </w:r>
      <w:r w:rsidR="00A3656F" w:rsidRPr="00A3656F">
        <w:rPr>
          <w:rFonts w:cs="David" w:hint="cs"/>
          <w:sz w:val="24"/>
          <w:szCs w:val="24"/>
          <w:rtl/>
        </w:rPr>
        <w:t xml:space="preserve"> </w:t>
      </w:r>
      <w:r w:rsidR="00A3656F">
        <w:rPr>
          <w:rFonts w:cs="David" w:hint="cs"/>
          <w:sz w:val="24"/>
          <w:szCs w:val="24"/>
          <w:rtl/>
        </w:rPr>
        <w:t xml:space="preserve">פס' 55-51 </w:t>
      </w:r>
      <w:r w:rsidR="00A3656F" w:rsidRPr="00A3656F">
        <w:rPr>
          <w:rFonts w:cs="David" w:hint="cs"/>
          <w:sz w:val="24"/>
          <w:szCs w:val="24"/>
          <w:rtl/>
        </w:rPr>
        <w:t>(2019)</w:t>
      </w:r>
      <w:r w:rsidR="00A3656F">
        <w:rPr>
          <w:rFonts w:cs="David" w:hint="cs"/>
          <w:sz w:val="24"/>
          <w:szCs w:val="24"/>
          <w:rtl/>
        </w:rPr>
        <w:t xml:space="preserve">). </w:t>
      </w:r>
    </w:p>
    <w:p w14:paraId="2263861D" w14:textId="77777777" w:rsidR="00FF0880" w:rsidRDefault="00FF0880" w:rsidP="00051B66">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בפסקה </w:t>
      </w:r>
      <w:r>
        <w:rPr>
          <w:rFonts w:cs="David"/>
          <w:sz w:val="24"/>
          <w:szCs w:val="24"/>
          <w:rtl/>
        </w:rPr>
        <w:fldChar w:fldCharType="begin"/>
      </w:r>
      <w:r>
        <w:rPr>
          <w:rFonts w:cs="David"/>
          <w:sz w:val="24"/>
          <w:szCs w:val="24"/>
          <w:rtl/>
        </w:rPr>
        <w:instrText xml:space="preserve"> </w:instrText>
      </w:r>
      <w:r>
        <w:rPr>
          <w:rFonts w:cs="David" w:hint="cs"/>
          <w:sz w:val="24"/>
          <w:szCs w:val="24"/>
        </w:rPr>
        <w:instrText>REF</w:instrText>
      </w:r>
      <w:r>
        <w:rPr>
          <w:rFonts w:cs="David" w:hint="cs"/>
          <w:sz w:val="24"/>
          <w:szCs w:val="24"/>
          <w:rtl/>
        </w:rPr>
        <w:instrText xml:space="preserve"> _</w:instrText>
      </w:r>
      <w:r>
        <w:rPr>
          <w:rFonts w:cs="David" w:hint="cs"/>
          <w:sz w:val="24"/>
          <w:szCs w:val="24"/>
        </w:rPr>
        <w:instrText>Ref12191373 \r \h</w:instrText>
      </w:r>
      <w:r>
        <w:rPr>
          <w:rFonts w:cs="David"/>
          <w:sz w:val="24"/>
          <w:szCs w:val="24"/>
          <w:rtl/>
        </w:rPr>
        <w:instrText xml:space="preserve"> </w:instrText>
      </w:r>
      <w:r w:rsidR="00A3656F">
        <w:rPr>
          <w:rFonts w:cs="David"/>
          <w:sz w:val="24"/>
          <w:szCs w:val="24"/>
          <w:rtl/>
        </w:rPr>
        <w:instrText xml:space="preserve"> \* </w:instrText>
      </w:r>
      <w:r w:rsidR="00A3656F">
        <w:rPr>
          <w:rFonts w:cs="David"/>
          <w:sz w:val="24"/>
          <w:szCs w:val="24"/>
        </w:rPr>
        <w:instrText>MERGEFORMAT</w:instrText>
      </w:r>
      <w:r w:rsidR="00A3656F">
        <w:rPr>
          <w:rFonts w:cs="David"/>
          <w:sz w:val="24"/>
          <w:szCs w:val="24"/>
          <w:rtl/>
        </w:rPr>
        <w:instrText xml:space="preserve"> </w:instrText>
      </w:r>
      <w:r>
        <w:rPr>
          <w:rFonts w:cs="David"/>
          <w:sz w:val="24"/>
          <w:szCs w:val="24"/>
          <w:rtl/>
        </w:rPr>
      </w:r>
      <w:r>
        <w:rPr>
          <w:rFonts w:cs="David"/>
          <w:sz w:val="24"/>
          <w:szCs w:val="24"/>
          <w:rtl/>
        </w:rPr>
        <w:fldChar w:fldCharType="separate"/>
      </w:r>
      <w:r w:rsidR="00C40EC3">
        <w:rPr>
          <w:rFonts w:cs="David" w:hint="cs"/>
          <w:sz w:val="24"/>
          <w:szCs w:val="24"/>
          <w:cs/>
        </w:rPr>
        <w:t>‎</w:t>
      </w:r>
      <w:r w:rsidR="00C40EC3">
        <w:rPr>
          <w:rFonts w:cs="David"/>
          <w:sz w:val="24"/>
          <w:szCs w:val="24"/>
        </w:rPr>
        <w:t>13</w:t>
      </w:r>
      <w:r>
        <w:rPr>
          <w:rFonts w:cs="David"/>
          <w:sz w:val="24"/>
          <w:szCs w:val="24"/>
          <w:rtl/>
        </w:rPr>
        <w:fldChar w:fldCharType="end"/>
      </w:r>
      <w:r>
        <w:rPr>
          <w:rFonts w:cs="David" w:hint="cs"/>
          <w:sz w:val="24"/>
          <w:szCs w:val="24"/>
          <w:rtl/>
        </w:rPr>
        <w:t xml:space="preserve"> לעיל עמדנו על הנזק שנגרם לשלוש החיילות - נפגעות העברה</w:t>
      </w:r>
      <w:r w:rsidR="00A3656F">
        <w:rPr>
          <w:rFonts w:cs="David" w:hint="cs"/>
          <w:sz w:val="24"/>
          <w:szCs w:val="24"/>
          <w:rtl/>
        </w:rPr>
        <w:t xml:space="preserve"> -</w:t>
      </w:r>
      <w:r>
        <w:rPr>
          <w:rFonts w:cs="David" w:hint="cs"/>
          <w:sz w:val="24"/>
          <w:szCs w:val="24"/>
          <w:rtl/>
        </w:rPr>
        <w:t xml:space="preserve"> שצולמו. </w:t>
      </w:r>
      <w:r w:rsidR="00A3656F">
        <w:rPr>
          <w:rFonts w:cs="David" w:hint="cs"/>
          <w:sz w:val="24"/>
          <w:szCs w:val="24"/>
          <w:rtl/>
        </w:rPr>
        <w:t>פירטנו</w:t>
      </w:r>
      <w:r>
        <w:rPr>
          <w:rFonts w:cs="David" w:hint="cs"/>
          <w:sz w:val="24"/>
          <w:szCs w:val="24"/>
          <w:rtl/>
        </w:rPr>
        <w:t xml:space="preserve"> לעיל </w:t>
      </w:r>
      <w:r w:rsidR="00521D95">
        <w:rPr>
          <w:rFonts w:cs="David" w:hint="cs"/>
          <w:sz w:val="24"/>
          <w:szCs w:val="24"/>
          <w:rtl/>
        </w:rPr>
        <w:t xml:space="preserve">מה </w:t>
      </w:r>
      <w:proofErr w:type="spellStart"/>
      <w:r w:rsidR="00521D95">
        <w:rPr>
          <w:rFonts w:cs="David" w:hint="cs"/>
          <w:sz w:val="24"/>
          <w:szCs w:val="24"/>
          <w:rtl/>
        </w:rPr>
        <w:t>היתה</w:t>
      </w:r>
      <w:proofErr w:type="spellEnd"/>
      <w:r>
        <w:rPr>
          <w:rFonts w:cs="David" w:hint="cs"/>
          <w:sz w:val="24"/>
          <w:szCs w:val="24"/>
          <w:rtl/>
        </w:rPr>
        <w:t xml:space="preserve"> השפעת האירוע על </w:t>
      </w:r>
      <w:r w:rsidR="00521D95">
        <w:rPr>
          <w:rFonts w:cs="David" w:hint="cs"/>
          <w:sz w:val="24"/>
          <w:szCs w:val="24"/>
          <w:rtl/>
        </w:rPr>
        <w:t>המשך ה</w:t>
      </w:r>
      <w:r>
        <w:rPr>
          <w:rFonts w:cs="David" w:hint="cs"/>
          <w:sz w:val="24"/>
          <w:szCs w:val="24"/>
          <w:rtl/>
        </w:rPr>
        <w:t xml:space="preserve">שירות הצבאי </w:t>
      </w:r>
      <w:r w:rsidR="00521D95">
        <w:rPr>
          <w:rFonts w:cs="David" w:hint="cs"/>
          <w:sz w:val="24"/>
          <w:szCs w:val="24"/>
          <w:rtl/>
        </w:rPr>
        <w:t xml:space="preserve">של כל אחת </w:t>
      </w:r>
      <w:r w:rsidR="00A3656F">
        <w:rPr>
          <w:rFonts w:cs="David" w:hint="cs"/>
          <w:sz w:val="24"/>
          <w:szCs w:val="24"/>
          <w:rtl/>
        </w:rPr>
        <w:t>מהן</w:t>
      </w:r>
      <w:r>
        <w:rPr>
          <w:rFonts w:cs="David" w:hint="cs"/>
          <w:sz w:val="24"/>
          <w:szCs w:val="24"/>
          <w:rtl/>
        </w:rPr>
        <w:t xml:space="preserve"> </w:t>
      </w:r>
      <w:r w:rsidR="00521D95">
        <w:rPr>
          <w:rFonts w:cs="David" w:hint="cs"/>
          <w:sz w:val="24"/>
          <w:szCs w:val="24"/>
          <w:rtl/>
        </w:rPr>
        <w:t xml:space="preserve">וכיצד השפיע האירוע על המצב </w:t>
      </w:r>
      <w:r>
        <w:rPr>
          <w:rFonts w:cs="David" w:hint="cs"/>
          <w:sz w:val="24"/>
          <w:szCs w:val="24"/>
          <w:rtl/>
        </w:rPr>
        <w:t>הנ</w:t>
      </w:r>
      <w:r w:rsidR="00521D95">
        <w:rPr>
          <w:rFonts w:cs="David" w:hint="cs"/>
          <w:sz w:val="24"/>
          <w:szCs w:val="24"/>
          <w:rtl/>
        </w:rPr>
        <w:t>פ</w:t>
      </w:r>
      <w:r>
        <w:rPr>
          <w:rFonts w:cs="David" w:hint="cs"/>
          <w:sz w:val="24"/>
          <w:szCs w:val="24"/>
          <w:rtl/>
        </w:rPr>
        <w:t xml:space="preserve">שי של כל אחת </w:t>
      </w:r>
      <w:r w:rsidR="00A3656F">
        <w:rPr>
          <w:rFonts w:cs="David" w:hint="cs"/>
          <w:sz w:val="24"/>
          <w:szCs w:val="24"/>
          <w:rtl/>
        </w:rPr>
        <w:t>ואחת</w:t>
      </w:r>
      <w:r>
        <w:rPr>
          <w:rFonts w:cs="David" w:hint="cs"/>
          <w:sz w:val="24"/>
          <w:szCs w:val="24"/>
          <w:rtl/>
        </w:rPr>
        <w:t xml:space="preserve">. בקביעת שיעור הפיצוי נטלנו בחשבון את </w:t>
      </w:r>
      <w:r w:rsidR="00521D95">
        <w:rPr>
          <w:rFonts w:cs="David" w:hint="cs"/>
          <w:sz w:val="24"/>
          <w:szCs w:val="24"/>
          <w:rtl/>
        </w:rPr>
        <w:t xml:space="preserve">היקף הפגיעה בפרטיותן של המתלוננות </w:t>
      </w:r>
      <w:r w:rsidR="00051B66">
        <w:rPr>
          <w:rFonts w:cs="David" w:hint="cs"/>
          <w:sz w:val="24"/>
          <w:szCs w:val="24"/>
          <w:rtl/>
        </w:rPr>
        <w:t>ו</w:t>
      </w:r>
      <w:r w:rsidR="00521D95">
        <w:rPr>
          <w:rFonts w:cs="David" w:hint="cs"/>
          <w:sz w:val="24"/>
          <w:szCs w:val="24"/>
          <w:rtl/>
        </w:rPr>
        <w:t xml:space="preserve">את הנזקים שהסבו להם מעשי הצילום. </w:t>
      </w:r>
      <w:r w:rsidR="00A3656F">
        <w:rPr>
          <w:rFonts w:cs="David" w:hint="cs"/>
          <w:sz w:val="24"/>
          <w:szCs w:val="24"/>
          <w:rtl/>
        </w:rPr>
        <w:t xml:space="preserve">בקביעת שיעור הפיצוי </w:t>
      </w:r>
      <w:r w:rsidR="00521D95">
        <w:rPr>
          <w:rFonts w:cs="David" w:hint="cs"/>
          <w:sz w:val="24"/>
          <w:szCs w:val="24"/>
          <w:rtl/>
        </w:rPr>
        <w:t xml:space="preserve">נתנו דעתו </w:t>
      </w:r>
      <w:r w:rsidR="00A3656F">
        <w:rPr>
          <w:rFonts w:cs="David" w:hint="cs"/>
          <w:sz w:val="24"/>
          <w:szCs w:val="24"/>
          <w:rtl/>
        </w:rPr>
        <w:t xml:space="preserve">גם </w:t>
      </w:r>
      <w:r w:rsidR="00521D95">
        <w:rPr>
          <w:rFonts w:cs="David" w:hint="cs"/>
          <w:sz w:val="24"/>
          <w:szCs w:val="24"/>
          <w:rtl/>
        </w:rPr>
        <w:t xml:space="preserve">למצבו האישי והכלכלי של הנאשם. </w:t>
      </w:r>
      <w:r w:rsidR="00A3656F">
        <w:rPr>
          <w:rFonts w:cs="David" w:hint="cs"/>
          <w:sz w:val="24"/>
          <w:szCs w:val="24"/>
          <w:rtl/>
        </w:rPr>
        <w:t xml:space="preserve">לאור האמור, </w:t>
      </w:r>
      <w:r w:rsidR="00521D95">
        <w:rPr>
          <w:rFonts w:cs="David" w:hint="cs"/>
          <w:sz w:val="24"/>
          <w:szCs w:val="24"/>
          <w:rtl/>
        </w:rPr>
        <w:t xml:space="preserve">מצאנו להעמיד את שיעור הפיצוי על סך </w:t>
      </w:r>
      <w:r w:rsidR="00892183">
        <w:rPr>
          <w:rFonts w:cs="David" w:hint="cs"/>
          <w:sz w:val="24"/>
          <w:szCs w:val="24"/>
          <w:rtl/>
        </w:rPr>
        <w:t>8000</w:t>
      </w:r>
      <w:r w:rsidR="00521D95">
        <w:rPr>
          <w:rFonts w:cs="David" w:hint="cs"/>
          <w:sz w:val="24"/>
          <w:szCs w:val="24"/>
          <w:rtl/>
        </w:rPr>
        <w:t xml:space="preserve"> ₪. </w:t>
      </w:r>
      <w:r w:rsidR="00892183">
        <w:rPr>
          <w:rFonts w:cs="David" w:hint="cs"/>
          <w:sz w:val="24"/>
          <w:szCs w:val="24"/>
          <w:rtl/>
        </w:rPr>
        <w:t xml:space="preserve">לנפגעת העברה </w:t>
      </w:r>
      <w:r w:rsidR="004F7279">
        <w:rPr>
          <w:rFonts w:cs="David" w:hint="cs"/>
          <w:sz w:val="24"/>
          <w:szCs w:val="24"/>
          <w:rtl/>
        </w:rPr>
        <w:t>ע' ב'</w:t>
      </w:r>
      <w:r w:rsidR="00892183">
        <w:rPr>
          <w:rFonts w:cs="David" w:hint="cs"/>
          <w:sz w:val="24"/>
          <w:szCs w:val="24"/>
          <w:rtl/>
        </w:rPr>
        <w:t xml:space="preserve"> שצולמה הן ביום</w:t>
      </w:r>
      <w:r w:rsidR="004F7279">
        <w:rPr>
          <w:rFonts w:cs="David" w:hint="cs"/>
          <w:sz w:val="24"/>
          <w:szCs w:val="24"/>
          <w:rtl/>
        </w:rPr>
        <w:t xml:space="preserve"> 22.20.2017</w:t>
      </w:r>
      <w:r w:rsidR="00892183">
        <w:rPr>
          <w:rFonts w:cs="David" w:hint="cs"/>
          <w:sz w:val="24"/>
          <w:szCs w:val="24"/>
          <w:rtl/>
        </w:rPr>
        <w:t xml:space="preserve"> הן ביום </w:t>
      </w:r>
      <w:r w:rsidR="004F7279">
        <w:rPr>
          <w:rFonts w:cs="David" w:hint="cs"/>
          <w:sz w:val="24"/>
          <w:szCs w:val="24"/>
          <w:rtl/>
        </w:rPr>
        <w:t>23.10.2017</w:t>
      </w:r>
      <w:r w:rsidR="00892183">
        <w:rPr>
          <w:rFonts w:cs="David" w:hint="cs"/>
          <w:sz w:val="24"/>
          <w:szCs w:val="24"/>
          <w:rtl/>
        </w:rPr>
        <w:t xml:space="preserve"> ישלם הנאשם פיצוי בסך 3000₪</w:t>
      </w:r>
      <w:r w:rsidR="004F7279">
        <w:rPr>
          <w:rFonts w:cs="David" w:hint="cs"/>
          <w:sz w:val="24"/>
          <w:szCs w:val="24"/>
          <w:rtl/>
        </w:rPr>
        <w:t>.</w:t>
      </w:r>
      <w:r w:rsidR="00892183">
        <w:rPr>
          <w:rFonts w:cs="David" w:hint="cs"/>
          <w:sz w:val="24"/>
          <w:szCs w:val="24"/>
          <w:rtl/>
        </w:rPr>
        <w:t xml:space="preserve"> לנפגעות העברה </w:t>
      </w:r>
      <w:r w:rsidR="004F7279">
        <w:rPr>
          <w:rFonts w:cs="David" w:hint="cs"/>
          <w:sz w:val="24"/>
          <w:szCs w:val="24"/>
          <w:rtl/>
        </w:rPr>
        <w:t>ע' ש'</w:t>
      </w:r>
      <w:r w:rsidR="00892183">
        <w:rPr>
          <w:rFonts w:cs="David" w:hint="cs"/>
          <w:sz w:val="24"/>
          <w:szCs w:val="24"/>
          <w:rtl/>
        </w:rPr>
        <w:t xml:space="preserve"> </w:t>
      </w:r>
      <w:r w:rsidR="004F7279">
        <w:rPr>
          <w:rFonts w:cs="David" w:hint="cs"/>
          <w:sz w:val="24"/>
          <w:szCs w:val="24"/>
          <w:rtl/>
        </w:rPr>
        <w:t>ו-נ' ב'</w:t>
      </w:r>
      <w:r w:rsidR="00892183">
        <w:rPr>
          <w:rFonts w:cs="David" w:hint="cs"/>
          <w:sz w:val="24"/>
          <w:szCs w:val="24"/>
          <w:rtl/>
        </w:rPr>
        <w:t xml:space="preserve"> ישלם הנאשם פיצוי כספי בסך 2500₪ </w:t>
      </w:r>
      <w:r w:rsidR="004F7279">
        <w:rPr>
          <w:rFonts w:cs="David" w:hint="cs"/>
          <w:sz w:val="24"/>
          <w:szCs w:val="24"/>
          <w:rtl/>
        </w:rPr>
        <w:t>ל</w:t>
      </w:r>
      <w:r w:rsidR="00892183">
        <w:rPr>
          <w:rFonts w:cs="David" w:hint="cs"/>
          <w:sz w:val="24"/>
          <w:szCs w:val="24"/>
          <w:rtl/>
        </w:rPr>
        <w:t xml:space="preserve">כל אחת. </w:t>
      </w:r>
      <w:r w:rsidR="00521D95">
        <w:rPr>
          <w:rFonts w:cs="David" w:hint="cs"/>
          <w:sz w:val="24"/>
          <w:szCs w:val="24"/>
          <w:rtl/>
        </w:rPr>
        <w:t xml:space="preserve">מדובר </w:t>
      </w:r>
      <w:r w:rsidR="00A3656F">
        <w:rPr>
          <w:rFonts w:cs="David" w:hint="cs"/>
          <w:sz w:val="24"/>
          <w:szCs w:val="24"/>
          <w:rtl/>
        </w:rPr>
        <w:t>כאמור</w:t>
      </w:r>
      <w:r w:rsidR="00521D95">
        <w:rPr>
          <w:rFonts w:cs="David" w:hint="cs"/>
          <w:sz w:val="24"/>
          <w:szCs w:val="24"/>
          <w:rtl/>
        </w:rPr>
        <w:t xml:space="preserve"> בסכום פיצוי סמלי שאין בו כדי לכסות את מלוא שיעור הנזק ועוגמת הנפש שנגרמ</w:t>
      </w:r>
      <w:r w:rsidR="00892183">
        <w:rPr>
          <w:rFonts w:cs="David" w:hint="cs"/>
          <w:sz w:val="24"/>
          <w:szCs w:val="24"/>
          <w:rtl/>
        </w:rPr>
        <w:t>ו לחיילות המצולמות בגין המעשים, אך יש בו כדי להעביר להן מסר כי בית הדין ער לסבלן ומכיר בעוגמת הנפש שנגרמה להן.</w:t>
      </w:r>
    </w:p>
    <w:p w14:paraId="5F1CC1F4" w14:textId="77777777" w:rsidR="00A3656F" w:rsidRDefault="00A3656F" w:rsidP="00A3656F">
      <w:pPr>
        <w:autoSpaceDE w:val="0"/>
        <w:autoSpaceDN w:val="0"/>
        <w:spacing w:after="0" w:line="360" w:lineRule="auto"/>
        <w:jc w:val="both"/>
        <w:rPr>
          <w:rFonts w:cs="David"/>
          <w:sz w:val="24"/>
          <w:szCs w:val="24"/>
          <w:rtl/>
        </w:rPr>
      </w:pPr>
    </w:p>
    <w:p w14:paraId="6D49890D" w14:textId="77777777" w:rsidR="00FC1FDD" w:rsidRDefault="00C40EC3" w:rsidP="00A3656F">
      <w:pPr>
        <w:autoSpaceDE w:val="0"/>
        <w:autoSpaceDN w:val="0"/>
        <w:spacing w:after="0" w:line="360" w:lineRule="auto"/>
        <w:jc w:val="both"/>
        <w:rPr>
          <w:rFonts w:cs="David"/>
          <w:sz w:val="24"/>
          <w:szCs w:val="24"/>
          <w:rtl/>
        </w:rPr>
      </w:pPr>
      <w:r>
        <w:rPr>
          <w:rFonts w:cs="David" w:hint="cs"/>
          <w:b/>
          <w:bCs/>
          <w:sz w:val="24"/>
          <w:szCs w:val="24"/>
          <w:rtl/>
        </w:rPr>
        <w:t>הוראות בנוגע ל</w:t>
      </w:r>
      <w:r w:rsidR="00FC1FDD" w:rsidRPr="00A3656F">
        <w:rPr>
          <w:rFonts w:cs="David" w:hint="cs"/>
          <w:b/>
          <w:bCs/>
          <w:sz w:val="24"/>
          <w:szCs w:val="24"/>
          <w:rtl/>
        </w:rPr>
        <w:t>מכשיר הטלפון הנייד</w:t>
      </w:r>
    </w:p>
    <w:p w14:paraId="391BA8A4" w14:textId="77777777" w:rsidR="00FE3D7D" w:rsidRDefault="00A3656F" w:rsidP="009A26DB">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 xml:space="preserve">בהתאם </w:t>
      </w:r>
      <w:r w:rsidR="00FC414A">
        <w:rPr>
          <w:rFonts w:cs="David" w:hint="cs"/>
          <w:sz w:val="24"/>
          <w:szCs w:val="24"/>
          <w:rtl/>
        </w:rPr>
        <w:t xml:space="preserve">להוראת סעיף 39 לפקודת סדר הדין הפלילי (מעצר וחיפוש), </w:t>
      </w:r>
      <w:proofErr w:type="spellStart"/>
      <w:r w:rsidR="00FC414A">
        <w:rPr>
          <w:rFonts w:cs="David" w:hint="cs"/>
          <w:sz w:val="24"/>
          <w:szCs w:val="24"/>
          <w:rtl/>
        </w:rPr>
        <w:t>התשכ"ט</w:t>
      </w:r>
      <w:proofErr w:type="spellEnd"/>
      <w:r w:rsidR="00FC414A">
        <w:rPr>
          <w:rFonts w:cs="David" w:hint="cs"/>
          <w:sz w:val="24"/>
          <w:szCs w:val="24"/>
          <w:rtl/>
        </w:rPr>
        <w:t xml:space="preserve"> </w:t>
      </w:r>
      <w:r w:rsidR="00FC414A">
        <w:rPr>
          <w:rFonts w:cs="David"/>
          <w:sz w:val="24"/>
          <w:szCs w:val="24"/>
          <w:rtl/>
        </w:rPr>
        <w:t>–</w:t>
      </w:r>
      <w:r w:rsidR="00FC414A">
        <w:rPr>
          <w:rFonts w:cs="David" w:hint="cs"/>
          <w:sz w:val="24"/>
          <w:szCs w:val="24"/>
          <w:rtl/>
        </w:rPr>
        <w:t xml:space="preserve"> 1939 ביקשה התביעה הצבאית בנספח לכתב האישום לחלט את מכשיר הטלפון הסלולרי של הנאשם מסוג </w:t>
      </w:r>
      <w:proofErr w:type="spellStart"/>
      <w:r w:rsidR="00FC414A">
        <w:rPr>
          <w:rFonts w:cs="David" w:hint="cs"/>
          <w:sz w:val="24"/>
          <w:szCs w:val="24"/>
          <w:rtl/>
        </w:rPr>
        <w:t>אייפון</w:t>
      </w:r>
      <w:proofErr w:type="spellEnd"/>
      <w:r w:rsidR="00FC414A">
        <w:rPr>
          <w:rFonts w:cs="David" w:hint="cs"/>
          <w:sz w:val="24"/>
          <w:szCs w:val="24"/>
          <w:rtl/>
        </w:rPr>
        <w:t xml:space="preserve"> </w:t>
      </w:r>
      <w:r w:rsidR="00FC414A">
        <w:rPr>
          <w:rFonts w:cs="David"/>
          <w:sz w:val="24"/>
          <w:szCs w:val="24"/>
        </w:rPr>
        <w:t>6S</w:t>
      </w:r>
      <w:r w:rsidR="00FC414A">
        <w:rPr>
          <w:rFonts w:cs="David" w:hint="cs"/>
          <w:sz w:val="24"/>
          <w:szCs w:val="24"/>
          <w:rtl/>
        </w:rPr>
        <w:t xml:space="preserve">, אשר הנאשם עשה בו שימוש לצורך ביצוע העברות המפורטות בכתב האישום ושבהן הורשע. בסיכומיה חזרה התביעה על הבקשה האמורה. במסגרת התייחסות בכתב מיום 4.6.2019 ציינו התובעות הצבאיות, כי שתי תכליות ניצבות בבסיס בקשה זו האחת </w:t>
      </w:r>
      <w:proofErr w:type="spellStart"/>
      <w:r w:rsidR="00FC414A" w:rsidRPr="00FC414A">
        <w:rPr>
          <w:rFonts w:cs="David" w:hint="cs"/>
          <w:b/>
          <w:bCs/>
          <w:sz w:val="24"/>
          <w:szCs w:val="24"/>
          <w:rtl/>
        </w:rPr>
        <w:t>עונשית</w:t>
      </w:r>
      <w:proofErr w:type="spellEnd"/>
      <w:r w:rsidR="00FC414A">
        <w:rPr>
          <w:rFonts w:cs="David" w:hint="cs"/>
          <w:sz w:val="24"/>
          <w:szCs w:val="24"/>
          <w:rtl/>
        </w:rPr>
        <w:t xml:space="preserve"> שלפיה מעשה החילוט הוא גמול לאופי מעשיו של הנאשם שנעשו באמצעות מכשיר הטלפון האמור, האחרת, מניעתית ויסודה בחשש שמא ניתן היה לאו התפתחות הטכנולוגית לשחזר בעתיד את הסרטונים שצילם הנאשם באמצעות מכשיר הטלפון האמור. עוד העלו  התובעות </w:t>
      </w:r>
      <w:r w:rsidR="00FC414A">
        <w:rPr>
          <w:rFonts w:cs="David" w:hint="cs"/>
          <w:sz w:val="24"/>
          <w:szCs w:val="24"/>
          <w:rtl/>
        </w:rPr>
        <w:lastRenderedPageBreak/>
        <w:t>הצבאיות את החשש כי הנאשם יש</w:t>
      </w:r>
      <w:r w:rsidR="00051B66">
        <w:rPr>
          <w:rFonts w:cs="David" w:hint="cs"/>
          <w:sz w:val="24"/>
          <w:szCs w:val="24"/>
          <w:rtl/>
        </w:rPr>
        <w:t>ו</w:t>
      </w:r>
      <w:r w:rsidR="00FC414A">
        <w:rPr>
          <w:rFonts w:cs="David" w:hint="cs"/>
          <w:sz w:val="24"/>
          <w:szCs w:val="24"/>
          <w:rtl/>
        </w:rPr>
        <w:t xml:space="preserve">ב וישתמש בטלפון הנייד למטרות פסולות שכאלה. הסנגור המלומד, הותיר את בקשת התביעה הצבאית לשיקול דעת בית הדין. </w:t>
      </w:r>
    </w:p>
    <w:p w14:paraId="75216B39" w14:textId="77777777" w:rsidR="00A3656F" w:rsidRDefault="00C40EC3" w:rsidP="009A26DB">
      <w:pPr>
        <w:numPr>
          <w:ilvl w:val="0"/>
          <w:numId w:val="9"/>
        </w:numPr>
        <w:tabs>
          <w:tab w:val="num" w:pos="386"/>
        </w:tabs>
        <w:autoSpaceDE w:val="0"/>
        <w:autoSpaceDN w:val="0"/>
        <w:spacing w:after="0" w:line="360" w:lineRule="auto"/>
        <w:ind w:left="360"/>
        <w:jc w:val="both"/>
        <w:rPr>
          <w:rFonts w:cs="David"/>
          <w:sz w:val="24"/>
          <w:szCs w:val="24"/>
        </w:rPr>
      </w:pPr>
      <w:r>
        <w:rPr>
          <w:rFonts w:cs="David" w:hint="cs"/>
          <w:sz w:val="24"/>
          <w:szCs w:val="24"/>
          <w:rtl/>
        </w:rPr>
        <w:t>ערב הקראת גזר הדין הורינו לצדדים למסור התייחסותם לאפשרות השמדת מכשיר הטלפון הנייד חלף חילוטו לטובת אוצר המדינה, בהתחשב באופי התכנים שצולמו בו, והחשש העתיד</w:t>
      </w:r>
      <w:r w:rsidR="00051B66">
        <w:rPr>
          <w:rFonts w:cs="David" w:hint="cs"/>
          <w:sz w:val="24"/>
          <w:szCs w:val="24"/>
          <w:rtl/>
        </w:rPr>
        <w:t>י</w:t>
      </w:r>
      <w:r>
        <w:rPr>
          <w:rFonts w:cs="David" w:hint="cs"/>
          <w:sz w:val="24"/>
          <w:szCs w:val="24"/>
          <w:rtl/>
        </w:rPr>
        <w:t xml:space="preserve"> כי ניתן יהיה באמצעים טכנולוגים כאלה או אחרים לשחזרם. הצדדים הותירו זאת לשיקול דעת בית הדין. </w:t>
      </w:r>
      <w:r w:rsidR="009A26DB">
        <w:rPr>
          <w:rFonts w:cs="David" w:hint="cs"/>
          <w:sz w:val="24"/>
          <w:szCs w:val="24"/>
          <w:rtl/>
        </w:rPr>
        <w:t xml:space="preserve">ההגנה עתרה לעכב את הביצוע של רכיב זה בגזר הדין על מנת שלא לסכל את אפשרות הגשת הערעור. </w:t>
      </w:r>
      <w:r w:rsidR="00FC414A">
        <w:rPr>
          <w:rFonts w:cs="David" w:hint="cs"/>
          <w:sz w:val="24"/>
          <w:szCs w:val="24"/>
          <w:rtl/>
        </w:rPr>
        <w:t xml:space="preserve">לנוכח האמור, אנו מורים על </w:t>
      </w:r>
      <w:r>
        <w:rPr>
          <w:rFonts w:cs="David" w:hint="cs"/>
          <w:sz w:val="24"/>
          <w:szCs w:val="24"/>
          <w:rtl/>
        </w:rPr>
        <w:t xml:space="preserve">השמדת מכשיר הטלפון הנייד </w:t>
      </w:r>
      <w:r w:rsidR="00FE3D7D">
        <w:rPr>
          <w:rFonts w:cs="David" w:hint="cs"/>
          <w:sz w:val="24"/>
          <w:szCs w:val="24"/>
          <w:rtl/>
        </w:rPr>
        <w:t>של הנאשם שעמו בוצעה העברה</w:t>
      </w:r>
      <w:r w:rsidR="00FC414A">
        <w:rPr>
          <w:rFonts w:cs="David" w:hint="cs"/>
          <w:sz w:val="24"/>
          <w:szCs w:val="24"/>
          <w:rtl/>
        </w:rPr>
        <w:t xml:space="preserve"> ואשר מצוי בידי הגוף החוקר</w:t>
      </w:r>
      <w:r w:rsidR="00FE3D7D">
        <w:rPr>
          <w:rFonts w:cs="David" w:hint="cs"/>
          <w:sz w:val="24"/>
          <w:szCs w:val="24"/>
          <w:rtl/>
        </w:rPr>
        <w:t>, ומקבלים את בקשת ההגנה לעיכוב ביצוע רכיב זה עד להגשת הערעור</w:t>
      </w:r>
      <w:r w:rsidR="00FC414A">
        <w:rPr>
          <w:rFonts w:cs="David" w:hint="cs"/>
          <w:sz w:val="24"/>
          <w:szCs w:val="24"/>
          <w:rtl/>
        </w:rPr>
        <w:t>.</w:t>
      </w:r>
    </w:p>
    <w:p w14:paraId="1E1B6D22" w14:textId="77777777" w:rsidR="00ED2992" w:rsidRDefault="00ED2992" w:rsidP="00FE79B4">
      <w:pPr>
        <w:autoSpaceDE w:val="0"/>
        <w:autoSpaceDN w:val="0"/>
        <w:spacing w:after="0" w:line="360" w:lineRule="auto"/>
        <w:jc w:val="both"/>
        <w:rPr>
          <w:rFonts w:cs="David"/>
          <w:sz w:val="24"/>
          <w:szCs w:val="24"/>
          <w:rtl/>
        </w:rPr>
      </w:pPr>
    </w:p>
    <w:p w14:paraId="1D367BE8" w14:textId="77777777" w:rsidR="002A2451" w:rsidRPr="002A2451" w:rsidRDefault="00FC414A" w:rsidP="00FC414A">
      <w:pPr>
        <w:autoSpaceDE w:val="0"/>
        <w:autoSpaceDN w:val="0"/>
        <w:spacing w:after="0" w:line="360" w:lineRule="auto"/>
        <w:jc w:val="both"/>
        <w:rPr>
          <w:rFonts w:cs="David"/>
          <w:sz w:val="24"/>
          <w:szCs w:val="24"/>
          <w:rtl/>
        </w:rPr>
      </w:pPr>
      <w:r>
        <w:rPr>
          <w:rFonts w:cs="David" w:hint="cs"/>
          <w:b/>
          <w:bCs/>
          <w:sz w:val="24"/>
          <w:szCs w:val="24"/>
          <w:u w:val="single"/>
          <w:rtl/>
        </w:rPr>
        <w:t>כללו של דבר</w:t>
      </w:r>
    </w:p>
    <w:p w14:paraId="4E3C42DB" w14:textId="77777777" w:rsidR="002A2451" w:rsidRDefault="002A2451" w:rsidP="00FC414A">
      <w:pPr>
        <w:numPr>
          <w:ilvl w:val="0"/>
          <w:numId w:val="9"/>
        </w:numPr>
        <w:tabs>
          <w:tab w:val="num" w:pos="386"/>
        </w:tabs>
        <w:autoSpaceDE w:val="0"/>
        <w:autoSpaceDN w:val="0"/>
        <w:spacing w:after="0" w:line="360" w:lineRule="auto"/>
        <w:ind w:left="360"/>
        <w:jc w:val="both"/>
        <w:rPr>
          <w:rFonts w:cs="David"/>
          <w:sz w:val="24"/>
          <w:szCs w:val="24"/>
        </w:rPr>
      </w:pPr>
      <w:r w:rsidRPr="002A2451">
        <w:rPr>
          <w:rFonts w:cs="David" w:hint="cs"/>
          <w:sz w:val="24"/>
          <w:szCs w:val="24"/>
          <w:rtl/>
        </w:rPr>
        <w:t>על הנאשם יוטלו העונשים הבאים:</w:t>
      </w:r>
    </w:p>
    <w:p w14:paraId="78DDA1A6" w14:textId="77777777" w:rsidR="002A2451" w:rsidRPr="002A2451" w:rsidRDefault="00FC414A" w:rsidP="00706B92">
      <w:pPr>
        <w:numPr>
          <w:ilvl w:val="0"/>
          <w:numId w:val="7"/>
        </w:numPr>
        <w:spacing w:before="100" w:beforeAutospacing="1" w:after="240" w:line="360" w:lineRule="auto"/>
        <w:jc w:val="both"/>
        <w:rPr>
          <w:rFonts w:cs="David"/>
          <w:sz w:val="24"/>
          <w:szCs w:val="24"/>
        </w:rPr>
      </w:pPr>
      <w:r>
        <w:rPr>
          <w:rFonts w:cs="David" w:hint="cs"/>
          <w:sz w:val="24"/>
          <w:szCs w:val="24"/>
          <w:rtl/>
        </w:rPr>
        <w:t>ששה</w:t>
      </w:r>
      <w:r w:rsidR="002A2451" w:rsidRPr="002A2451">
        <w:rPr>
          <w:rFonts w:cs="David" w:hint="cs"/>
          <w:sz w:val="24"/>
          <w:szCs w:val="24"/>
          <w:rtl/>
        </w:rPr>
        <w:t xml:space="preserve"> (</w:t>
      </w:r>
      <w:r>
        <w:rPr>
          <w:rFonts w:cs="David" w:hint="cs"/>
          <w:sz w:val="24"/>
          <w:szCs w:val="24"/>
          <w:rtl/>
        </w:rPr>
        <w:t>6</w:t>
      </w:r>
      <w:r w:rsidR="002A2451" w:rsidRPr="002A2451">
        <w:rPr>
          <w:rFonts w:cs="David" w:hint="cs"/>
          <w:sz w:val="24"/>
          <w:szCs w:val="24"/>
          <w:rtl/>
        </w:rPr>
        <w:t>)</w:t>
      </w:r>
      <w:r w:rsidR="00706B92">
        <w:rPr>
          <w:rFonts w:cs="David"/>
          <w:sz w:val="24"/>
          <w:szCs w:val="24"/>
          <w:rtl/>
        </w:rPr>
        <w:t xml:space="preserve"> חודשי מאסר לריצוי בפועל</w:t>
      </w:r>
      <w:r w:rsidR="00706B92">
        <w:rPr>
          <w:rFonts w:cs="David" w:hint="cs"/>
          <w:sz w:val="24"/>
          <w:szCs w:val="24"/>
          <w:rtl/>
        </w:rPr>
        <w:t xml:space="preserve">. </w:t>
      </w:r>
      <w:r w:rsidR="002A2451" w:rsidRPr="002A2451">
        <w:rPr>
          <w:rFonts w:cs="David"/>
          <w:sz w:val="24"/>
          <w:szCs w:val="24"/>
          <w:rtl/>
        </w:rPr>
        <w:t xml:space="preserve">הנאשם יתייצב לריצוי </w:t>
      </w:r>
      <w:r w:rsidR="00706B92">
        <w:rPr>
          <w:rFonts w:cs="David" w:hint="cs"/>
          <w:sz w:val="24"/>
          <w:szCs w:val="24"/>
          <w:rtl/>
        </w:rPr>
        <w:t xml:space="preserve">עונשו ביום.... </w:t>
      </w:r>
      <w:r w:rsidR="002A2451" w:rsidRPr="002A2451">
        <w:rPr>
          <w:rFonts w:cs="David"/>
          <w:sz w:val="24"/>
          <w:szCs w:val="24"/>
          <w:rtl/>
        </w:rPr>
        <w:t xml:space="preserve"> עד השעה </w:t>
      </w:r>
      <w:r w:rsidR="002A2451" w:rsidRPr="002A2451">
        <w:rPr>
          <w:rFonts w:cs="David"/>
          <w:b/>
          <w:bCs/>
          <w:sz w:val="24"/>
          <w:szCs w:val="24"/>
          <w:rtl/>
        </w:rPr>
        <w:t>1</w:t>
      </w:r>
      <w:r w:rsidR="002A2451" w:rsidRPr="002A2451">
        <w:rPr>
          <w:rFonts w:cs="David" w:hint="cs"/>
          <w:b/>
          <w:bCs/>
          <w:sz w:val="24"/>
          <w:szCs w:val="24"/>
          <w:rtl/>
        </w:rPr>
        <w:t>0</w:t>
      </w:r>
      <w:r w:rsidR="002A2451" w:rsidRPr="002A2451">
        <w:rPr>
          <w:rFonts w:cs="David"/>
          <w:b/>
          <w:bCs/>
          <w:sz w:val="24"/>
          <w:szCs w:val="24"/>
          <w:rtl/>
        </w:rPr>
        <w:t>:00</w:t>
      </w:r>
      <w:r w:rsidR="002A2451" w:rsidRPr="002A2451">
        <w:rPr>
          <w:rFonts w:cs="David"/>
          <w:sz w:val="24"/>
          <w:szCs w:val="24"/>
          <w:rtl/>
        </w:rPr>
        <w:t xml:space="preserve"> </w:t>
      </w:r>
      <w:proofErr w:type="spellStart"/>
      <w:r w:rsidR="002A2451" w:rsidRPr="002A2451">
        <w:rPr>
          <w:rFonts w:cs="David"/>
          <w:sz w:val="24"/>
          <w:szCs w:val="24"/>
          <w:rtl/>
        </w:rPr>
        <w:t>בבס"כ</w:t>
      </w:r>
      <w:proofErr w:type="spellEnd"/>
      <w:r w:rsidR="002A2451" w:rsidRPr="002A2451">
        <w:rPr>
          <w:rFonts w:cs="David" w:hint="cs"/>
          <w:sz w:val="24"/>
          <w:szCs w:val="24"/>
          <w:rtl/>
        </w:rPr>
        <w:t xml:space="preserve"> 396</w:t>
      </w:r>
      <w:r w:rsidR="002A2451" w:rsidRPr="002A2451">
        <w:rPr>
          <w:rFonts w:cs="David"/>
          <w:sz w:val="24"/>
          <w:szCs w:val="24"/>
          <w:rtl/>
        </w:rPr>
        <w:t xml:space="preserve">. </w:t>
      </w:r>
    </w:p>
    <w:p w14:paraId="698F5231" w14:textId="77777777" w:rsidR="002A2451" w:rsidRPr="002A2451" w:rsidRDefault="002A2451" w:rsidP="00706B92">
      <w:pPr>
        <w:numPr>
          <w:ilvl w:val="0"/>
          <w:numId w:val="7"/>
        </w:numPr>
        <w:spacing w:before="100" w:beforeAutospacing="1" w:after="240" w:line="360" w:lineRule="auto"/>
        <w:jc w:val="both"/>
        <w:rPr>
          <w:rFonts w:cs="David"/>
          <w:sz w:val="24"/>
          <w:szCs w:val="24"/>
          <w:rtl/>
        </w:rPr>
      </w:pPr>
      <w:r w:rsidRPr="002A2451">
        <w:rPr>
          <w:rFonts w:cs="David"/>
          <w:sz w:val="24"/>
          <w:szCs w:val="24"/>
          <w:rtl/>
        </w:rPr>
        <w:t xml:space="preserve"> </w:t>
      </w:r>
      <w:r w:rsidRPr="002A2451">
        <w:rPr>
          <w:rFonts w:cs="David" w:hint="cs"/>
          <w:sz w:val="24"/>
          <w:szCs w:val="24"/>
          <w:rtl/>
        </w:rPr>
        <w:t xml:space="preserve">שלושה (3) </w:t>
      </w:r>
      <w:r w:rsidRPr="002A2451">
        <w:rPr>
          <w:rFonts w:cs="David"/>
          <w:sz w:val="24"/>
          <w:szCs w:val="24"/>
          <w:rtl/>
        </w:rPr>
        <w:t xml:space="preserve">חודשי מאסר </w:t>
      </w:r>
      <w:r w:rsidR="00706B92">
        <w:rPr>
          <w:rFonts w:cs="David" w:hint="cs"/>
          <w:sz w:val="24"/>
          <w:szCs w:val="24"/>
          <w:rtl/>
        </w:rPr>
        <w:t>על תנאי</w:t>
      </w:r>
      <w:r w:rsidRPr="002A2451">
        <w:rPr>
          <w:rFonts w:cs="David"/>
          <w:sz w:val="24"/>
          <w:szCs w:val="24"/>
          <w:rtl/>
        </w:rPr>
        <w:t>, למשך שלוש שנים שלא יעבור עב</w:t>
      </w:r>
      <w:r w:rsidRPr="002A2451">
        <w:rPr>
          <w:rFonts w:cs="David" w:hint="cs"/>
          <w:sz w:val="24"/>
          <w:szCs w:val="24"/>
          <w:rtl/>
        </w:rPr>
        <w:t>ֵ</w:t>
      </w:r>
      <w:r w:rsidRPr="002A2451">
        <w:rPr>
          <w:rFonts w:cs="David"/>
          <w:sz w:val="24"/>
          <w:szCs w:val="24"/>
          <w:rtl/>
        </w:rPr>
        <w:t xml:space="preserve">רה </w:t>
      </w:r>
      <w:r w:rsidRPr="002A2451">
        <w:rPr>
          <w:rFonts w:cs="David" w:hint="cs"/>
          <w:sz w:val="24"/>
          <w:szCs w:val="24"/>
          <w:rtl/>
        </w:rPr>
        <w:t xml:space="preserve">כלשהי בניגוד לסימן ה' לפרק ו' לחוק העונשין, או עבירה כלשהי בניגוד לחוק למניעת הטרדה מינית, </w:t>
      </w:r>
      <w:proofErr w:type="spellStart"/>
      <w:r w:rsidRPr="002A2451">
        <w:rPr>
          <w:rFonts w:cs="David" w:hint="cs"/>
          <w:sz w:val="24"/>
          <w:szCs w:val="24"/>
          <w:rtl/>
        </w:rPr>
        <w:t>התשנ"ח</w:t>
      </w:r>
      <w:proofErr w:type="spellEnd"/>
      <w:r w:rsidRPr="002A2451">
        <w:rPr>
          <w:rFonts w:cs="David" w:hint="cs"/>
          <w:sz w:val="24"/>
          <w:szCs w:val="24"/>
          <w:rtl/>
        </w:rPr>
        <w:t xml:space="preserve"> </w:t>
      </w:r>
      <w:r w:rsidRPr="002A2451">
        <w:rPr>
          <w:rFonts w:cs="David"/>
          <w:sz w:val="24"/>
          <w:szCs w:val="24"/>
          <w:rtl/>
        </w:rPr>
        <w:t>–</w:t>
      </w:r>
      <w:r w:rsidRPr="002A2451">
        <w:rPr>
          <w:rFonts w:cs="David" w:hint="cs"/>
          <w:sz w:val="24"/>
          <w:szCs w:val="24"/>
          <w:rtl/>
        </w:rPr>
        <w:t xml:space="preserve"> 1998.</w:t>
      </w:r>
    </w:p>
    <w:p w14:paraId="3A51096D" w14:textId="77777777" w:rsidR="002A2451" w:rsidRDefault="002A2451" w:rsidP="002A2451">
      <w:pPr>
        <w:numPr>
          <w:ilvl w:val="0"/>
          <w:numId w:val="7"/>
        </w:numPr>
        <w:spacing w:before="100" w:beforeAutospacing="1" w:after="240" w:line="360" w:lineRule="auto"/>
        <w:jc w:val="both"/>
        <w:rPr>
          <w:rFonts w:cs="David"/>
          <w:sz w:val="24"/>
          <w:szCs w:val="24"/>
        </w:rPr>
      </w:pPr>
      <w:r w:rsidRPr="002A2451">
        <w:rPr>
          <w:rFonts w:cs="David" w:hint="cs"/>
          <w:sz w:val="24"/>
          <w:szCs w:val="24"/>
          <w:rtl/>
        </w:rPr>
        <w:t>הורדה לדרגת טוראי.</w:t>
      </w:r>
    </w:p>
    <w:p w14:paraId="51E37C74" w14:textId="77777777" w:rsidR="00904F1B" w:rsidRDefault="009A26DB" w:rsidP="00051B66">
      <w:pPr>
        <w:numPr>
          <w:ilvl w:val="0"/>
          <w:numId w:val="7"/>
        </w:numPr>
        <w:spacing w:before="100" w:beforeAutospacing="1" w:after="240" w:line="360" w:lineRule="auto"/>
        <w:jc w:val="both"/>
        <w:rPr>
          <w:rFonts w:cs="David"/>
          <w:sz w:val="24"/>
          <w:szCs w:val="24"/>
        </w:rPr>
      </w:pPr>
      <w:r>
        <w:rPr>
          <w:rFonts w:cs="David" w:hint="cs"/>
          <w:sz w:val="24"/>
          <w:szCs w:val="24"/>
          <w:rtl/>
        </w:rPr>
        <w:t xml:space="preserve">השמדת </w:t>
      </w:r>
      <w:r w:rsidR="00904F1B">
        <w:rPr>
          <w:rFonts w:cs="David" w:hint="cs"/>
          <w:sz w:val="24"/>
          <w:szCs w:val="24"/>
          <w:rtl/>
        </w:rPr>
        <w:t>מכשיר הטלפון הנייד של הנאש</w:t>
      </w:r>
      <w:r w:rsidR="00706B92">
        <w:rPr>
          <w:rFonts w:cs="David" w:hint="cs"/>
          <w:sz w:val="24"/>
          <w:szCs w:val="24"/>
          <w:rtl/>
        </w:rPr>
        <w:t>ם</w:t>
      </w:r>
      <w:r>
        <w:rPr>
          <w:rFonts w:cs="David" w:hint="cs"/>
          <w:sz w:val="24"/>
          <w:szCs w:val="24"/>
          <w:rtl/>
        </w:rPr>
        <w:t xml:space="preserve"> שעמו המצוי בידי הגוף החוקר </w:t>
      </w:r>
      <w:r>
        <w:rPr>
          <w:rFonts w:cs="David"/>
          <w:sz w:val="24"/>
          <w:szCs w:val="24"/>
          <w:rtl/>
        </w:rPr>
        <w:t>–</w:t>
      </w:r>
      <w:r>
        <w:rPr>
          <w:rFonts w:cs="David" w:hint="cs"/>
          <w:sz w:val="24"/>
          <w:szCs w:val="24"/>
          <w:rtl/>
        </w:rPr>
        <w:t xml:space="preserve"> העתק יופנה למפקד מצ"ח באר שבע. </w:t>
      </w:r>
      <w:r w:rsidR="00051B66">
        <w:rPr>
          <w:rFonts w:cs="David" w:hint="cs"/>
          <w:b/>
          <w:bCs/>
          <w:sz w:val="24"/>
          <w:szCs w:val="24"/>
          <w:rtl/>
        </w:rPr>
        <w:t>יש לעכב</w:t>
      </w:r>
      <w:r w:rsidRPr="00FE3D7D">
        <w:rPr>
          <w:rFonts w:cs="David" w:hint="cs"/>
          <w:b/>
          <w:bCs/>
          <w:sz w:val="24"/>
          <w:szCs w:val="24"/>
          <w:rtl/>
        </w:rPr>
        <w:t xml:space="preserve"> ביצוע רכיב זה בגזר הדין עד להגשת הערעור</w:t>
      </w:r>
      <w:r>
        <w:rPr>
          <w:rFonts w:cs="David" w:hint="cs"/>
          <w:sz w:val="24"/>
          <w:szCs w:val="24"/>
          <w:rtl/>
        </w:rPr>
        <w:t xml:space="preserve">. </w:t>
      </w:r>
      <w:r w:rsidR="00904F1B">
        <w:rPr>
          <w:rFonts w:cs="David" w:hint="cs"/>
          <w:sz w:val="24"/>
          <w:szCs w:val="24"/>
          <w:rtl/>
        </w:rPr>
        <w:t xml:space="preserve"> </w:t>
      </w:r>
    </w:p>
    <w:p w14:paraId="1F2A5086" w14:textId="77777777" w:rsidR="00904F1B" w:rsidRPr="002A2451" w:rsidRDefault="00904F1B" w:rsidP="004F7279">
      <w:pPr>
        <w:numPr>
          <w:ilvl w:val="0"/>
          <w:numId w:val="7"/>
        </w:numPr>
        <w:spacing w:before="100" w:beforeAutospacing="1" w:after="240" w:line="360" w:lineRule="auto"/>
        <w:jc w:val="both"/>
        <w:rPr>
          <w:rFonts w:cs="David"/>
          <w:sz w:val="24"/>
          <w:szCs w:val="24"/>
          <w:rtl/>
        </w:rPr>
      </w:pPr>
      <w:r>
        <w:rPr>
          <w:rFonts w:cs="David" w:hint="cs"/>
          <w:sz w:val="24"/>
          <w:szCs w:val="24"/>
          <w:rtl/>
        </w:rPr>
        <w:t xml:space="preserve">פיצוי </w:t>
      </w:r>
      <w:r w:rsidR="00706B92">
        <w:rPr>
          <w:rFonts w:cs="David" w:hint="cs"/>
          <w:sz w:val="24"/>
          <w:szCs w:val="24"/>
          <w:rtl/>
        </w:rPr>
        <w:t xml:space="preserve">לנפגעות העברה </w:t>
      </w:r>
      <w:r>
        <w:rPr>
          <w:rFonts w:cs="David" w:hint="cs"/>
          <w:sz w:val="24"/>
          <w:szCs w:val="24"/>
          <w:rtl/>
        </w:rPr>
        <w:t>בסך</w:t>
      </w:r>
      <w:r w:rsidR="00706B92">
        <w:rPr>
          <w:rFonts w:cs="David" w:hint="cs"/>
          <w:sz w:val="24"/>
          <w:szCs w:val="24"/>
          <w:rtl/>
        </w:rPr>
        <w:t xml:space="preserve"> </w:t>
      </w:r>
      <w:r w:rsidR="00F5249F">
        <w:rPr>
          <w:rFonts w:cs="David" w:hint="cs"/>
          <w:sz w:val="24"/>
          <w:szCs w:val="24"/>
          <w:rtl/>
        </w:rPr>
        <w:t xml:space="preserve">כולל </w:t>
      </w:r>
      <w:r w:rsidR="00706B92">
        <w:rPr>
          <w:rFonts w:cs="David" w:hint="cs"/>
          <w:sz w:val="24"/>
          <w:szCs w:val="24"/>
          <w:rtl/>
        </w:rPr>
        <w:t>של</w:t>
      </w:r>
      <w:r>
        <w:rPr>
          <w:rFonts w:cs="David" w:hint="cs"/>
          <w:sz w:val="24"/>
          <w:szCs w:val="24"/>
          <w:rtl/>
        </w:rPr>
        <w:t xml:space="preserve"> </w:t>
      </w:r>
      <w:r w:rsidR="002E6AAB">
        <w:rPr>
          <w:rFonts w:cs="David" w:hint="cs"/>
          <w:sz w:val="24"/>
          <w:szCs w:val="24"/>
          <w:rtl/>
        </w:rPr>
        <w:t>8000₪, שישולם באופן הבא: 3</w:t>
      </w:r>
      <w:r w:rsidR="00F5249F">
        <w:rPr>
          <w:rFonts w:cs="David" w:hint="cs"/>
          <w:sz w:val="24"/>
          <w:szCs w:val="24"/>
          <w:rtl/>
        </w:rPr>
        <w:t>000</w:t>
      </w:r>
      <w:r w:rsidR="00706B92">
        <w:rPr>
          <w:rFonts w:cs="David" w:hint="cs"/>
          <w:sz w:val="24"/>
          <w:szCs w:val="24"/>
          <w:rtl/>
        </w:rPr>
        <w:t xml:space="preserve">₪ </w:t>
      </w:r>
      <w:r w:rsidR="002E6AAB">
        <w:rPr>
          <w:rFonts w:cs="David" w:hint="cs"/>
          <w:sz w:val="24"/>
          <w:szCs w:val="24"/>
          <w:rtl/>
        </w:rPr>
        <w:t xml:space="preserve">יעביר הנאשם לע' </w:t>
      </w:r>
      <w:r w:rsidR="004F7279">
        <w:rPr>
          <w:rFonts w:cs="David" w:hint="cs"/>
          <w:sz w:val="24"/>
          <w:szCs w:val="24"/>
          <w:rtl/>
        </w:rPr>
        <w:t>ב</w:t>
      </w:r>
      <w:r w:rsidR="00F5249F">
        <w:rPr>
          <w:rFonts w:cs="David" w:hint="cs"/>
          <w:sz w:val="24"/>
          <w:szCs w:val="24"/>
          <w:rtl/>
        </w:rPr>
        <w:t>'. 2500</w:t>
      </w:r>
      <w:r w:rsidR="002E6AAB">
        <w:rPr>
          <w:rFonts w:cs="David" w:hint="cs"/>
          <w:sz w:val="24"/>
          <w:szCs w:val="24"/>
          <w:rtl/>
        </w:rPr>
        <w:t xml:space="preserve">₪ יעביר הנאשם לע' </w:t>
      </w:r>
      <w:r w:rsidR="004F7279">
        <w:rPr>
          <w:rFonts w:cs="David" w:hint="cs"/>
          <w:sz w:val="24"/>
          <w:szCs w:val="24"/>
          <w:rtl/>
        </w:rPr>
        <w:t>ש</w:t>
      </w:r>
      <w:r w:rsidR="002E6AAB">
        <w:rPr>
          <w:rFonts w:cs="David" w:hint="cs"/>
          <w:sz w:val="24"/>
          <w:szCs w:val="24"/>
          <w:rtl/>
        </w:rPr>
        <w:t xml:space="preserve">' ו </w:t>
      </w:r>
      <w:r w:rsidR="002E6AAB">
        <w:rPr>
          <w:rFonts w:cs="David"/>
          <w:sz w:val="24"/>
          <w:szCs w:val="24"/>
          <w:rtl/>
        </w:rPr>
        <w:t>–</w:t>
      </w:r>
      <w:r w:rsidR="00F5249F">
        <w:rPr>
          <w:rFonts w:cs="David" w:hint="cs"/>
          <w:sz w:val="24"/>
          <w:szCs w:val="24"/>
          <w:rtl/>
        </w:rPr>
        <w:t xml:space="preserve"> 2500</w:t>
      </w:r>
      <w:r w:rsidR="002E6AAB">
        <w:rPr>
          <w:rFonts w:cs="David" w:hint="cs"/>
          <w:sz w:val="24"/>
          <w:szCs w:val="24"/>
          <w:rtl/>
        </w:rPr>
        <w:t xml:space="preserve">₪ יעביר הנאשם </w:t>
      </w:r>
      <w:proofErr w:type="spellStart"/>
      <w:r w:rsidR="002E6AAB">
        <w:rPr>
          <w:rFonts w:cs="David" w:hint="cs"/>
          <w:sz w:val="24"/>
          <w:szCs w:val="24"/>
          <w:rtl/>
        </w:rPr>
        <w:t>לנ</w:t>
      </w:r>
      <w:proofErr w:type="spellEnd"/>
      <w:r w:rsidR="002E6AAB">
        <w:rPr>
          <w:rFonts w:cs="David" w:hint="cs"/>
          <w:sz w:val="24"/>
          <w:szCs w:val="24"/>
          <w:rtl/>
        </w:rPr>
        <w:t xml:space="preserve">' ב'. </w:t>
      </w:r>
      <w:r w:rsidR="00F5249F">
        <w:rPr>
          <w:rFonts w:cs="David" w:hint="cs"/>
          <w:sz w:val="24"/>
          <w:szCs w:val="24"/>
          <w:rtl/>
        </w:rPr>
        <w:t>ה</w:t>
      </w:r>
      <w:r w:rsidR="009A26DB">
        <w:rPr>
          <w:rFonts w:cs="David" w:hint="cs"/>
          <w:sz w:val="24"/>
          <w:szCs w:val="24"/>
          <w:rtl/>
        </w:rPr>
        <w:t>פיצויים ישולמו עד ליום 1.8.2019, בהתאם לפרטים שתמסור התביעה הצבאית</w:t>
      </w:r>
    </w:p>
    <w:p w14:paraId="355FEB1D" w14:textId="77777777" w:rsidR="002A2451" w:rsidRPr="002A2451" w:rsidRDefault="002A2451" w:rsidP="002A2451">
      <w:pPr>
        <w:spacing w:line="360" w:lineRule="auto"/>
        <w:outlineLvl w:val="0"/>
        <w:rPr>
          <w:rFonts w:cs="David"/>
          <w:b/>
          <w:bCs/>
          <w:sz w:val="24"/>
          <w:szCs w:val="24"/>
          <w:rtl/>
        </w:rPr>
      </w:pPr>
    </w:p>
    <w:p w14:paraId="3BCB877C" w14:textId="77777777" w:rsidR="002A2451" w:rsidRPr="002A2451" w:rsidRDefault="002A2451" w:rsidP="002A2451">
      <w:pPr>
        <w:spacing w:line="360" w:lineRule="auto"/>
        <w:outlineLvl w:val="0"/>
        <w:rPr>
          <w:rFonts w:cs="David"/>
          <w:b/>
          <w:bCs/>
          <w:sz w:val="24"/>
          <w:szCs w:val="24"/>
          <w:rtl/>
        </w:rPr>
      </w:pPr>
      <w:r w:rsidRPr="002A2451">
        <w:rPr>
          <w:rFonts w:cs="David" w:hint="cs"/>
          <w:b/>
          <w:bCs/>
          <w:sz w:val="24"/>
          <w:szCs w:val="24"/>
          <w:u w:val="single"/>
          <w:rtl/>
        </w:rPr>
        <w:t xml:space="preserve">העתק מגזר הדין יועבר </w:t>
      </w:r>
      <w:proofErr w:type="spellStart"/>
      <w:r w:rsidRPr="002A2451">
        <w:rPr>
          <w:rFonts w:cs="David" w:hint="cs"/>
          <w:b/>
          <w:bCs/>
          <w:sz w:val="24"/>
          <w:szCs w:val="24"/>
          <w:u w:val="single"/>
          <w:rtl/>
        </w:rPr>
        <w:t>למב"ן</w:t>
      </w:r>
      <w:proofErr w:type="spellEnd"/>
      <w:r w:rsidRPr="002A2451">
        <w:rPr>
          <w:rFonts w:cs="David" w:hint="cs"/>
          <w:b/>
          <w:bCs/>
          <w:sz w:val="24"/>
          <w:szCs w:val="24"/>
          <w:rtl/>
        </w:rPr>
        <w:t xml:space="preserve">. </w:t>
      </w:r>
    </w:p>
    <w:p w14:paraId="0A19729F" w14:textId="77777777" w:rsidR="002A2451" w:rsidRPr="002A2451" w:rsidRDefault="002A2451" w:rsidP="002A2451">
      <w:pPr>
        <w:spacing w:line="360" w:lineRule="auto"/>
        <w:outlineLvl w:val="0"/>
        <w:rPr>
          <w:rFonts w:cs="David"/>
          <w:b/>
          <w:bCs/>
          <w:sz w:val="24"/>
          <w:szCs w:val="24"/>
          <w:rtl/>
        </w:rPr>
      </w:pPr>
    </w:p>
    <w:p w14:paraId="0D4EF7AF" w14:textId="77777777" w:rsidR="002A2451" w:rsidRPr="002A2451" w:rsidRDefault="002A2451" w:rsidP="00706B92">
      <w:pPr>
        <w:spacing w:line="360" w:lineRule="auto"/>
        <w:outlineLvl w:val="0"/>
        <w:rPr>
          <w:rFonts w:cs="David"/>
          <w:b/>
          <w:bCs/>
          <w:sz w:val="24"/>
          <w:szCs w:val="24"/>
          <w:rtl/>
        </w:rPr>
      </w:pPr>
      <w:r w:rsidRPr="002A2451">
        <w:rPr>
          <w:rFonts w:cs="David" w:hint="cs"/>
          <w:b/>
          <w:bCs/>
          <w:sz w:val="24"/>
          <w:szCs w:val="24"/>
          <w:rtl/>
        </w:rPr>
        <w:t xml:space="preserve">ניתן היום, </w:t>
      </w:r>
      <w:r w:rsidR="00706B92">
        <w:rPr>
          <w:rFonts w:cs="David" w:hint="cs"/>
          <w:b/>
          <w:bCs/>
          <w:sz w:val="24"/>
          <w:szCs w:val="24"/>
          <w:rtl/>
        </w:rPr>
        <w:t>27.6.2019</w:t>
      </w:r>
      <w:r w:rsidRPr="002A2451">
        <w:rPr>
          <w:rFonts w:cs="David" w:hint="cs"/>
          <w:b/>
          <w:bCs/>
          <w:sz w:val="24"/>
          <w:szCs w:val="24"/>
          <w:rtl/>
        </w:rPr>
        <w:t xml:space="preserve">, בפומבי ובמעמד הנאשם והצדדים. </w:t>
      </w:r>
    </w:p>
    <w:p w14:paraId="2980B7B6" w14:textId="77777777" w:rsidR="002A2451" w:rsidRPr="002A2451" w:rsidRDefault="002A2451" w:rsidP="002A2451">
      <w:pPr>
        <w:spacing w:line="360" w:lineRule="auto"/>
        <w:rPr>
          <w:rFonts w:cs="David"/>
          <w:b/>
          <w:bCs/>
          <w:sz w:val="24"/>
          <w:szCs w:val="24"/>
          <w:rtl/>
        </w:rPr>
      </w:pPr>
    </w:p>
    <w:p w14:paraId="4A14915D" w14:textId="77777777" w:rsidR="002A2451" w:rsidRPr="002A2451" w:rsidRDefault="002A2451" w:rsidP="002A2451">
      <w:pPr>
        <w:spacing w:line="360" w:lineRule="auto"/>
        <w:rPr>
          <w:rFonts w:cs="David"/>
          <w:sz w:val="24"/>
          <w:szCs w:val="24"/>
          <w:rtl/>
        </w:rPr>
      </w:pPr>
      <w:r w:rsidRPr="002A2451">
        <w:rPr>
          <w:rFonts w:cs="David" w:hint="cs"/>
          <w:b/>
          <w:bCs/>
          <w:sz w:val="24"/>
          <w:szCs w:val="24"/>
          <w:rtl/>
        </w:rPr>
        <w:t>זכות ערעור כחוק.</w:t>
      </w:r>
    </w:p>
    <w:p w14:paraId="12198B3C" w14:textId="77777777" w:rsidR="002A2451" w:rsidRPr="002A2451" w:rsidRDefault="002A2451" w:rsidP="002A2451">
      <w:pPr>
        <w:spacing w:line="360" w:lineRule="auto"/>
        <w:rPr>
          <w:rFonts w:cs="David"/>
          <w:sz w:val="24"/>
          <w:szCs w:val="24"/>
          <w:rtl/>
        </w:rPr>
      </w:pPr>
    </w:p>
    <w:p w14:paraId="78FF263B" w14:textId="77777777" w:rsidR="002A2451" w:rsidRPr="002A2451" w:rsidRDefault="002A2451" w:rsidP="002A2451">
      <w:pPr>
        <w:spacing w:line="360" w:lineRule="auto"/>
        <w:rPr>
          <w:rFonts w:cs="David"/>
          <w:sz w:val="24"/>
          <w:szCs w:val="24"/>
          <w:rtl/>
        </w:rPr>
      </w:pPr>
    </w:p>
    <w:p w14:paraId="6F6A906E" w14:textId="77777777" w:rsidR="002A2451" w:rsidRPr="002A2451" w:rsidRDefault="002A2451" w:rsidP="002A2451">
      <w:pPr>
        <w:spacing w:line="360" w:lineRule="auto"/>
        <w:rPr>
          <w:rFonts w:cs="David"/>
          <w:b/>
          <w:bCs/>
          <w:sz w:val="24"/>
          <w:szCs w:val="24"/>
          <w:rtl/>
        </w:rPr>
      </w:pPr>
      <w:r w:rsidRPr="002A2451">
        <w:rPr>
          <w:rFonts w:cs="David" w:hint="cs"/>
          <w:b/>
          <w:bCs/>
          <w:sz w:val="24"/>
          <w:szCs w:val="24"/>
          <w:rtl/>
        </w:rPr>
        <w:t xml:space="preserve">        (---------)                                      (---------)                                         (---------)                              </w:t>
      </w:r>
    </w:p>
    <w:p w14:paraId="6633B47C" w14:textId="77777777" w:rsidR="002A2451" w:rsidRPr="001C0AE8" w:rsidRDefault="00706B92" w:rsidP="00706B92">
      <w:pPr>
        <w:spacing w:line="360" w:lineRule="auto"/>
        <w:rPr>
          <w:b/>
          <w:bCs/>
        </w:rPr>
      </w:pPr>
      <w:r>
        <w:rPr>
          <w:rFonts w:cs="David" w:hint="cs"/>
          <w:b/>
          <w:bCs/>
          <w:sz w:val="24"/>
          <w:szCs w:val="24"/>
          <w:rtl/>
        </w:rPr>
        <w:t xml:space="preserve">            </w:t>
      </w:r>
      <w:r w:rsidRPr="002A2451">
        <w:rPr>
          <w:rFonts w:cs="David" w:hint="cs"/>
          <w:b/>
          <w:bCs/>
          <w:sz w:val="24"/>
          <w:szCs w:val="24"/>
          <w:rtl/>
        </w:rPr>
        <w:t>שופט</w:t>
      </w:r>
      <w:r w:rsidR="002A2451" w:rsidRPr="002A2451">
        <w:rPr>
          <w:rFonts w:cs="David" w:hint="cs"/>
          <w:b/>
          <w:bCs/>
          <w:sz w:val="24"/>
          <w:szCs w:val="24"/>
          <w:rtl/>
        </w:rPr>
        <w:tab/>
        <w:t xml:space="preserve">                                            </w:t>
      </w:r>
      <w:r w:rsidRPr="002A2451">
        <w:rPr>
          <w:rFonts w:cs="David" w:hint="cs"/>
          <w:b/>
          <w:bCs/>
          <w:sz w:val="24"/>
          <w:szCs w:val="24"/>
          <w:rtl/>
        </w:rPr>
        <w:t>אב"ד</w:t>
      </w:r>
      <w:r w:rsidR="002A2451" w:rsidRPr="002A2451">
        <w:rPr>
          <w:rFonts w:cs="David" w:hint="cs"/>
          <w:b/>
          <w:bCs/>
          <w:sz w:val="24"/>
          <w:szCs w:val="24"/>
          <w:rtl/>
        </w:rPr>
        <w:tab/>
      </w:r>
      <w:r w:rsidR="002A2451" w:rsidRPr="002A2451">
        <w:rPr>
          <w:rFonts w:cs="David" w:hint="cs"/>
          <w:b/>
          <w:bCs/>
          <w:sz w:val="24"/>
          <w:szCs w:val="24"/>
          <w:rtl/>
        </w:rPr>
        <w:tab/>
        <w:t xml:space="preserve">                        </w:t>
      </w:r>
      <w:r>
        <w:rPr>
          <w:rFonts w:cs="David"/>
          <w:b/>
          <w:bCs/>
          <w:sz w:val="24"/>
          <w:szCs w:val="24"/>
          <w:rtl/>
        </w:rPr>
        <w:tab/>
      </w:r>
      <w:r>
        <w:rPr>
          <w:rFonts w:cs="David" w:hint="cs"/>
          <w:b/>
          <w:bCs/>
          <w:sz w:val="24"/>
          <w:szCs w:val="24"/>
          <w:rtl/>
        </w:rPr>
        <w:t xml:space="preserve">            </w:t>
      </w:r>
      <w:r w:rsidR="002A2451" w:rsidRPr="002A2451">
        <w:rPr>
          <w:rFonts w:cs="David" w:hint="cs"/>
          <w:b/>
          <w:bCs/>
          <w:sz w:val="24"/>
          <w:szCs w:val="24"/>
          <w:rtl/>
        </w:rPr>
        <w:t>שופט</w:t>
      </w:r>
    </w:p>
    <w:p w14:paraId="689FE1DF" w14:textId="77777777" w:rsidR="005074D8" w:rsidRDefault="005074D8" w:rsidP="00706B92">
      <w:pPr>
        <w:pStyle w:val="ListParagraph"/>
      </w:pPr>
    </w:p>
    <w:sectPr w:rsidR="005074D8" w:rsidSect="009E1530">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B03C" w14:textId="77777777" w:rsidR="00D473A9" w:rsidRDefault="00D473A9" w:rsidP="00B94576">
      <w:pPr>
        <w:spacing w:after="0" w:line="240" w:lineRule="auto"/>
      </w:pPr>
      <w:r>
        <w:separator/>
      </w:r>
    </w:p>
  </w:endnote>
  <w:endnote w:type="continuationSeparator" w:id="0">
    <w:p w14:paraId="335AC92B" w14:textId="77777777" w:rsidR="00D473A9" w:rsidRDefault="00D473A9" w:rsidP="00B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5560223"/>
      <w:docPartObj>
        <w:docPartGallery w:val="Page Numbers (Bottom of Page)"/>
        <w:docPartUnique/>
      </w:docPartObj>
    </w:sdtPr>
    <w:sdtEndPr>
      <w:rPr>
        <w:cs/>
      </w:rPr>
    </w:sdtEndPr>
    <w:sdtContent>
      <w:p w14:paraId="5334EAA0" w14:textId="77777777" w:rsidR="00F801C6" w:rsidRDefault="00F801C6">
        <w:pPr>
          <w:pStyle w:val="Footer"/>
          <w:jc w:val="center"/>
          <w:rPr>
            <w:rtl/>
            <w:cs/>
          </w:rPr>
        </w:pPr>
        <w:r>
          <w:fldChar w:fldCharType="begin"/>
        </w:r>
        <w:r>
          <w:rPr>
            <w:rtl/>
            <w:cs/>
          </w:rPr>
          <w:instrText>PAGE   \* MERGEFORMAT</w:instrText>
        </w:r>
        <w:r>
          <w:fldChar w:fldCharType="separate"/>
        </w:r>
        <w:r w:rsidR="00051B66" w:rsidRPr="00051B66">
          <w:rPr>
            <w:noProof/>
            <w:rtl/>
            <w:lang w:val="he-IL"/>
          </w:rPr>
          <w:t>10</w:t>
        </w:r>
        <w:r>
          <w:fldChar w:fldCharType="end"/>
        </w:r>
      </w:p>
    </w:sdtContent>
  </w:sdt>
  <w:p w14:paraId="3019EC5E" w14:textId="77777777" w:rsidR="00F801C6" w:rsidRDefault="00F80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E9BE" w14:textId="77777777" w:rsidR="00D473A9" w:rsidRDefault="00D473A9" w:rsidP="00B94576">
      <w:pPr>
        <w:spacing w:after="0" w:line="240" w:lineRule="auto"/>
      </w:pPr>
      <w:r>
        <w:separator/>
      </w:r>
    </w:p>
  </w:footnote>
  <w:footnote w:type="continuationSeparator" w:id="0">
    <w:p w14:paraId="6491FAEC" w14:textId="77777777" w:rsidR="00D473A9" w:rsidRDefault="00D473A9" w:rsidP="00B9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C109" w14:textId="77777777" w:rsidR="00F801C6" w:rsidRPr="00843FE1" w:rsidRDefault="00F801C6" w:rsidP="00843FE1">
    <w:pPr>
      <w:pStyle w:val="Header"/>
      <w:spacing w:line="360" w:lineRule="auto"/>
      <w:rPr>
        <w:rFonts w:cs="David"/>
        <w:rtl/>
      </w:rPr>
    </w:pPr>
    <w:r w:rsidRPr="00843FE1">
      <w:rPr>
        <w:rFonts w:cs="David" w:hint="cs"/>
        <w:rtl/>
      </w:rPr>
      <w:t>מרכז (מחוזי) 78/18</w:t>
    </w:r>
  </w:p>
  <w:p w14:paraId="7BDC3E7F" w14:textId="3E99DF61" w:rsidR="00F801C6" w:rsidRDefault="00F801C6" w:rsidP="00843FE1">
    <w:pPr>
      <w:pStyle w:val="Header"/>
      <w:spacing w:line="360" w:lineRule="auto"/>
      <w:rPr>
        <w:rFonts w:cs="David"/>
        <w:rtl/>
      </w:rPr>
    </w:pPr>
    <w:r w:rsidRPr="00843FE1">
      <w:rPr>
        <w:rFonts w:cs="David" w:hint="cs"/>
        <w:rtl/>
      </w:rPr>
      <w:t>ח/</w:t>
    </w:r>
    <w:r w:rsidR="00C174A7">
      <w:rPr>
        <w:rFonts w:cs="David" w:hint="cs"/>
      </w:rPr>
      <w:t>XXX</w:t>
    </w:r>
    <w:r w:rsidRPr="00843FE1">
      <w:rPr>
        <w:rFonts w:cs="David" w:hint="cs"/>
        <w:rtl/>
      </w:rPr>
      <w:t xml:space="preserve"> סמל ש</w:t>
    </w:r>
    <w:r w:rsidR="009A7478">
      <w:rPr>
        <w:rFonts w:cs="David" w:hint="cs"/>
        <w:rtl/>
      </w:rPr>
      <w:t>'</w:t>
    </w:r>
    <w:r w:rsidRPr="00843FE1">
      <w:rPr>
        <w:rFonts w:cs="David" w:hint="cs"/>
        <w:rtl/>
      </w:rPr>
      <w:t xml:space="preserve"> נ</w:t>
    </w:r>
    <w:r w:rsidR="009A7478">
      <w:rPr>
        <w:rFonts w:cs="David" w:hint="cs"/>
        <w:rtl/>
      </w:rPr>
      <w:t>'</w:t>
    </w:r>
  </w:p>
  <w:p w14:paraId="59BC6E9F" w14:textId="167805F7" w:rsidR="00C174A7" w:rsidRPr="00843FE1" w:rsidRDefault="00C174A7" w:rsidP="00C174A7">
    <w:pPr>
      <w:pStyle w:val="Header"/>
      <w:spacing w:line="360" w:lineRule="auto"/>
      <w:jc w:val="center"/>
      <w:rPr>
        <w:rFonts w:cs="David"/>
      </w:rPr>
    </w:pPr>
    <w:r>
      <w:rPr>
        <w:rFonts w:cs="David" w:hint="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6F09"/>
    <w:multiLevelType w:val="hybridMultilevel"/>
    <w:tmpl w:val="1D0CC434"/>
    <w:lvl w:ilvl="0" w:tplc="72488D2C">
      <w:start w:val="1"/>
      <w:numFmt w:val="decimal"/>
      <w:pStyle w:val="a"/>
      <w:lvlText w:val="%1."/>
      <w:lvlJc w:val="left"/>
      <w:pPr>
        <w:ind w:left="360" w:hanging="360"/>
      </w:pPr>
      <w:rPr>
        <w:rFonts w:hint="default"/>
        <w:b/>
        <w:bCs w:val="0"/>
        <w:u w:val="none"/>
        <w:lang w:val="en-US" w:bidi="he-IL"/>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13FA24BE"/>
    <w:multiLevelType w:val="hybridMultilevel"/>
    <w:tmpl w:val="F7BECA8A"/>
    <w:lvl w:ilvl="0" w:tplc="B2F4F006">
      <w:start w:val="1"/>
      <w:numFmt w:val="hebrew1"/>
      <w:lvlText w:val="%1."/>
      <w:lvlJc w:val="left"/>
      <w:pPr>
        <w:ind w:left="1080" w:hanging="360"/>
      </w:pPr>
      <w:rPr>
        <w:rFonts w:ascii="Times New Roman" w:eastAsia="Times New Roman" w:hAnsi="Times New Roman"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E357F"/>
    <w:multiLevelType w:val="hybridMultilevel"/>
    <w:tmpl w:val="A3BE4284"/>
    <w:lvl w:ilvl="0" w:tplc="9FEEF29E">
      <w:start w:val="1"/>
      <w:numFmt w:val="decimal"/>
      <w:lvlText w:val="%1."/>
      <w:lvlJc w:val="left"/>
      <w:pPr>
        <w:ind w:left="360" w:hanging="360"/>
      </w:pPr>
      <w:rPr>
        <w:rFonts w:cs="David" w:hint="cs"/>
        <w:sz w:val="28"/>
        <w:szCs w:val="28"/>
        <w:lang w:val="en-US"/>
      </w:rPr>
    </w:lvl>
    <w:lvl w:ilvl="1" w:tplc="1D14E2E2">
      <w:start w:val="1"/>
      <w:numFmt w:val="lowerLetter"/>
      <w:lvlText w:val="%2."/>
      <w:lvlJc w:val="left"/>
      <w:pPr>
        <w:ind w:left="1080" w:hanging="360"/>
      </w:pPr>
    </w:lvl>
    <w:lvl w:ilvl="2" w:tplc="9BCC7E6A">
      <w:start w:val="1"/>
      <w:numFmt w:val="lowerRoman"/>
      <w:lvlText w:val="%3."/>
      <w:lvlJc w:val="right"/>
      <w:pPr>
        <w:ind w:left="1800" w:hanging="180"/>
      </w:pPr>
    </w:lvl>
    <w:lvl w:ilvl="3" w:tplc="372E26DE">
      <w:start w:val="1"/>
      <w:numFmt w:val="decimal"/>
      <w:lvlText w:val="%4."/>
      <w:lvlJc w:val="left"/>
      <w:pPr>
        <w:ind w:left="2520" w:hanging="360"/>
      </w:pPr>
    </w:lvl>
    <w:lvl w:ilvl="4" w:tplc="5B902D2C">
      <w:start w:val="1"/>
      <w:numFmt w:val="lowerLetter"/>
      <w:lvlText w:val="%5."/>
      <w:lvlJc w:val="left"/>
      <w:pPr>
        <w:ind w:left="3240" w:hanging="360"/>
      </w:pPr>
    </w:lvl>
    <w:lvl w:ilvl="5" w:tplc="6CA8F780">
      <w:start w:val="1"/>
      <w:numFmt w:val="lowerRoman"/>
      <w:lvlText w:val="%6."/>
      <w:lvlJc w:val="right"/>
      <w:pPr>
        <w:ind w:left="3960" w:hanging="180"/>
      </w:pPr>
    </w:lvl>
    <w:lvl w:ilvl="6" w:tplc="A6BE50BA">
      <w:start w:val="1"/>
      <w:numFmt w:val="decimal"/>
      <w:lvlText w:val="%7."/>
      <w:lvlJc w:val="left"/>
      <w:pPr>
        <w:ind w:left="4680" w:hanging="360"/>
      </w:pPr>
    </w:lvl>
    <w:lvl w:ilvl="7" w:tplc="3FC4D084">
      <w:start w:val="1"/>
      <w:numFmt w:val="lowerLetter"/>
      <w:lvlText w:val="%8."/>
      <w:lvlJc w:val="left"/>
      <w:pPr>
        <w:ind w:left="5400" w:hanging="360"/>
      </w:pPr>
    </w:lvl>
    <w:lvl w:ilvl="8" w:tplc="FBAEF976">
      <w:start w:val="1"/>
      <w:numFmt w:val="lowerRoman"/>
      <w:lvlText w:val="%9."/>
      <w:lvlJc w:val="right"/>
      <w:pPr>
        <w:ind w:left="6120" w:hanging="180"/>
      </w:pPr>
    </w:lvl>
  </w:abstractNum>
  <w:abstractNum w:abstractNumId="3" w15:restartNumberingAfterBreak="0">
    <w:nsid w:val="22EC7A2F"/>
    <w:multiLevelType w:val="hybridMultilevel"/>
    <w:tmpl w:val="12443184"/>
    <w:lvl w:ilvl="0" w:tplc="2DAA24BE">
      <w:start w:val="1"/>
      <w:numFmt w:val="decimal"/>
      <w:pStyle w:val="Title"/>
      <w:lvlText w:val="%1."/>
      <w:lvlJc w:val="left"/>
      <w:pPr>
        <w:tabs>
          <w:tab w:val="num" w:pos="720"/>
        </w:tabs>
        <w:ind w:left="720" w:hanging="360"/>
      </w:pPr>
      <w:rPr>
        <w:rFonts w:hint="default"/>
        <w:b w:val="0"/>
        <w:bCs w:val="0"/>
        <w:sz w:val="20"/>
        <w:szCs w:val="20"/>
        <w:lang w:bidi="he-IL"/>
      </w:rPr>
    </w:lvl>
    <w:lvl w:ilvl="1" w:tplc="C288523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B468B6"/>
    <w:multiLevelType w:val="multilevel"/>
    <w:tmpl w:val="59349364"/>
    <w:lvl w:ilvl="0">
      <w:start w:val="1"/>
      <w:numFmt w:val="decimal"/>
      <w:lvlText w:val="%1."/>
      <w:lvlJc w:val="left"/>
      <w:pPr>
        <w:ind w:left="643" w:hanging="360"/>
      </w:pPr>
      <w:rPr>
        <w:rFonts w:asciiTheme="majorBidi" w:hAnsiTheme="majorBidi" w:cstheme="majorBidi" w:hint="default"/>
        <w:color w:val="auto"/>
        <w:sz w:val="24"/>
        <w:szCs w:val="24"/>
      </w:rPr>
    </w:lvl>
    <w:lvl w:ilvl="1">
      <w:start w:val="1"/>
      <w:numFmt w:val="decimal"/>
      <w:isLgl/>
      <w:lvlText w:val="%1.%2"/>
      <w:lvlJc w:val="left"/>
      <w:pPr>
        <w:ind w:left="1080" w:hanging="360"/>
      </w:pPr>
    </w:lvl>
    <w:lvl w:ilvl="2">
      <w:start w:val="1"/>
      <w:numFmt w:val="decimal"/>
      <w:isLgl/>
      <w:lvlText w:val="%1.%2.%3"/>
      <w:lvlJc w:val="left"/>
      <w:pPr>
        <w:ind w:left="1877" w:hanging="720"/>
      </w:pPr>
    </w:lvl>
    <w:lvl w:ilvl="3">
      <w:start w:val="1"/>
      <w:numFmt w:val="decimal"/>
      <w:isLgl/>
      <w:lvlText w:val="%1.%2.%3.%4"/>
      <w:lvlJc w:val="left"/>
      <w:pPr>
        <w:ind w:left="2314" w:hanging="720"/>
      </w:pPr>
    </w:lvl>
    <w:lvl w:ilvl="4">
      <w:start w:val="1"/>
      <w:numFmt w:val="decimal"/>
      <w:isLgl/>
      <w:lvlText w:val="%1.%2.%3.%4.%5"/>
      <w:lvlJc w:val="left"/>
      <w:pPr>
        <w:ind w:left="3111" w:hanging="1080"/>
      </w:pPr>
    </w:lvl>
    <w:lvl w:ilvl="5">
      <w:start w:val="1"/>
      <w:numFmt w:val="decimal"/>
      <w:isLgl/>
      <w:lvlText w:val="%1.%2.%3.%4.%5.%6"/>
      <w:lvlJc w:val="left"/>
      <w:pPr>
        <w:ind w:left="3548" w:hanging="1080"/>
      </w:pPr>
    </w:lvl>
    <w:lvl w:ilvl="6">
      <w:start w:val="1"/>
      <w:numFmt w:val="decimal"/>
      <w:isLgl/>
      <w:lvlText w:val="%1.%2.%3.%4.%5.%6.%7"/>
      <w:lvlJc w:val="left"/>
      <w:pPr>
        <w:ind w:left="3985" w:hanging="1080"/>
      </w:pPr>
    </w:lvl>
    <w:lvl w:ilvl="7">
      <w:start w:val="1"/>
      <w:numFmt w:val="decimal"/>
      <w:isLgl/>
      <w:lvlText w:val="%1.%2.%3.%4.%5.%6.%7.%8"/>
      <w:lvlJc w:val="left"/>
      <w:pPr>
        <w:ind w:left="4782" w:hanging="1440"/>
      </w:pPr>
    </w:lvl>
    <w:lvl w:ilvl="8">
      <w:start w:val="1"/>
      <w:numFmt w:val="decimal"/>
      <w:isLgl/>
      <w:lvlText w:val="%1.%2.%3.%4.%5.%6.%7.%8.%9"/>
      <w:lvlJc w:val="left"/>
      <w:pPr>
        <w:ind w:left="5219" w:hanging="1440"/>
      </w:p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39E42FAC"/>
    <w:multiLevelType w:val="multilevel"/>
    <w:tmpl w:val="C52A5278"/>
    <w:lvl w:ilvl="0">
      <w:start w:val="1"/>
      <w:numFmt w:val="decimal"/>
      <w:lvlText w:val="%1."/>
      <w:lvlJc w:val="left"/>
      <w:pPr>
        <w:ind w:left="720" w:hanging="360"/>
      </w:pPr>
      <w:rPr>
        <w:rFonts w:asciiTheme="minorHAnsi" w:eastAsiaTheme="minorHAnsi" w:hAnsiTheme="minorHAnsi" w:cs="David"/>
      </w:rPr>
    </w:lvl>
    <w:lvl w:ilvl="1">
      <w:start w:val="1"/>
      <w:numFmt w:val="decimal"/>
      <w:isLgl/>
      <w:lvlText w:val="%1.%2"/>
      <w:lvlJc w:val="left"/>
      <w:pPr>
        <w:ind w:left="1074" w:hanging="36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2142" w:hanging="720"/>
      </w:pPr>
      <w:rPr>
        <w:rFonts w:hint="default"/>
        <w:b/>
      </w:rPr>
    </w:lvl>
    <w:lvl w:ilvl="4">
      <w:start w:val="1"/>
      <w:numFmt w:val="decimal"/>
      <w:isLgl/>
      <w:lvlText w:val="%1.%2.%3.%4.%5"/>
      <w:lvlJc w:val="left"/>
      <w:pPr>
        <w:ind w:left="2856"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24" w:hanging="1440"/>
      </w:pPr>
      <w:rPr>
        <w:rFonts w:hint="default"/>
        <w:b/>
      </w:rPr>
    </w:lvl>
    <w:lvl w:ilvl="7">
      <w:start w:val="1"/>
      <w:numFmt w:val="decimal"/>
      <w:isLgl/>
      <w:lvlText w:val="%1.%2.%3.%4.%5.%6.%7.%8"/>
      <w:lvlJc w:val="left"/>
      <w:pPr>
        <w:ind w:left="4278" w:hanging="1440"/>
      </w:pPr>
      <w:rPr>
        <w:rFonts w:hint="default"/>
        <w:b/>
      </w:rPr>
    </w:lvl>
    <w:lvl w:ilvl="8">
      <w:start w:val="1"/>
      <w:numFmt w:val="decimal"/>
      <w:isLgl/>
      <w:lvlText w:val="%1.%2.%3.%4.%5.%6.%7.%8.%9"/>
      <w:lvlJc w:val="left"/>
      <w:pPr>
        <w:ind w:left="4992" w:hanging="1800"/>
      </w:pPr>
      <w:rPr>
        <w:rFonts w:hint="default"/>
        <w:b/>
      </w:rPr>
    </w:lvl>
  </w:abstractNum>
  <w:abstractNum w:abstractNumId="7" w15:restartNumberingAfterBreak="0">
    <w:nsid w:val="3B155B0C"/>
    <w:multiLevelType w:val="hybridMultilevel"/>
    <w:tmpl w:val="921848BE"/>
    <w:lvl w:ilvl="0" w:tplc="06E24C32">
      <w:start w:val="1"/>
      <w:numFmt w:val="decimal"/>
      <w:lvlText w:val="%1."/>
      <w:lvlJc w:val="left"/>
      <w:pPr>
        <w:ind w:left="720" w:hanging="360"/>
      </w:pPr>
      <w:rPr>
        <w:rFonts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26C19"/>
    <w:multiLevelType w:val="multilevel"/>
    <w:tmpl w:val="DC425322"/>
    <w:lvl w:ilvl="0">
      <w:start w:val="1"/>
      <w:numFmt w:val="decimal"/>
      <w:lvlText w:val="%1."/>
      <w:lvlJc w:val="left"/>
      <w:pPr>
        <w:ind w:left="142" w:firstLine="0"/>
      </w:pPr>
      <w:rPr>
        <w:rFonts w:ascii="David" w:hAnsi="David" w:cs="David" w:hint="default"/>
        <w:b/>
        <w:bCs w:val="0"/>
        <w:sz w:val="28"/>
        <w:szCs w:val="24"/>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9" w15:restartNumberingAfterBreak="0">
    <w:nsid w:val="610A077E"/>
    <w:multiLevelType w:val="multilevel"/>
    <w:tmpl w:val="C52A5278"/>
    <w:lvl w:ilvl="0">
      <w:start w:val="1"/>
      <w:numFmt w:val="decimal"/>
      <w:lvlText w:val="%1."/>
      <w:lvlJc w:val="left"/>
      <w:pPr>
        <w:ind w:left="720" w:hanging="360"/>
      </w:pPr>
      <w:rPr>
        <w:rFonts w:asciiTheme="minorHAnsi" w:eastAsiaTheme="minorHAnsi" w:hAnsiTheme="minorHAnsi" w:cs="David"/>
      </w:rPr>
    </w:lvl>
    <w:lvl w:ilvl="1">
      <w:start w:val="1"/>
      <w:numFmt w:val="decimal"/>
      <w:isLgl/>
      <w:lvlText w:val="%1.%2"/>
      <w:lvlJc w:val="left"/>
      <w:pPr>
        <w:ind w:left="1074" w:hanging="36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2142" w:hanging="720"/>
      </w:pPr>
      <w:rPr>
        <w:rFonts w:hint="default"/>
        <w:b/>
      </w:rPr>
    </w:lvl>
    <w:lvl w:ilvl="4">
      <w:start w:val="1"/>
      <w:numFmt w:val="decimal"/>
      <w:isLgl/>
      <w:lvlText w:val="%1.%2.%3.%4.%5"/>
      <w:lvlJc w:val="left"/>
      <w:pPr>
        <w:ind w:left="2856"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24" w:hanging="1440"/>
      </w:pPr>
      <w:rPr>
        <w:rFonts w:hint="default"/>
        <w:b/>
      </w:rPr>
    </w:lvl>
    <w:lvl w:ilvl="7">
      <w:start w:val="1"/>
      <w:numFmt w:val="decimal"/>
      <w:isLgl/>
      <w:lvlText w:val="%1.%2.%3.%4.%5.%6.%7.%8"/>
      <w:lvlJc w:val="left"/>
      <w:pPr>
        <w:ind w:left="4278" w:hanging="1440"/>
      </w:pPr>
      <w:rPr>
        <w:rFonts w:hint="default"/>
        <w:b/>
      </w:rPr>
    </w:lvl>
    <w:lvl w:ilvl="8">
      <w:start w:val="1"/>
      <w:numFmt w:val="decimal"/>
      <w:isLgl/>
      <w:lvlText w:val="%1.%2.%3.%4.%5.%6.%7.%8.%9"/>
      <w:lvlJc w:val="left"/>
      <w:pPr>
        <w:ind w:left="4992" w:hanging="1800"/>
      </w:pPr>
      <w:rPr>
        <w:rFonts w:hint="default"/>
        <w:b/>
      </w:rPr>
    </w:lvl>
  </w:abstractNum>
  <w:abstractNum w:abstractNumId="10" w15:restartNumberingAfterBreak="0">
    <w:nsid w:val="7AC22B4B"/>
    <w:multiLevelType w:val="hybridMultilevel"/>
    <w:tmpl w:val="38CE87BC"/>
    <w:lvl w:ilvl="0" w:tplc="541E9B38">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0"/>
  </w:num>
  <w:num w:numId="5">
    <w:abstractNumId w:val="7"/>
  </w:num>
  <w:num w:numId="6">
    <w:abstractNumId w:val="9"/>
  </w:num>
  <w:num w:numId="7">
    <w:abstractNumId w:val="1"/>
  </w:num>
  <w:num w:numId="8">
    <w:abstractNumId w:val="6"/>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BB"/>
    <w:rsid w:val="00007D79"/>
    <w:rsid w:val="00010038"/>
    <w:rsid w:val="000275FC"/>
    <w:rsid w:val="00051B66"/>
    <w:rsid w:val="00061EC4"/>
    <w:rsid w:val="000636C8"/>
    <w:rsid w:val="000828D8"/>
    <w:rsid w:val="00082FB8"/>
    <w:rsid w:val="000C44A3"/>
    <w:rsid w:val="000C7E60"/>
    <w:rsid w:val="000E16EB"/>
    <w:rsid w:val="000E37FE"/>
    <w:rsid w:val="000E4CD6"/>
    <w:rsid w:val="000F6630"/>
    <w:rsid w:val="0010656D"/>
    <w:rsid w:val="00130DE2"/>
    <w:rsid w:val="0013487B"/>
    <w:rsid w:val="00187DB7"/>
    <w:rsid w:val="001A4841"/>
    <w:rsid w:val="001B2997"/>
    <w:rsid w:val="001D3D0D"/>
    <w:rsid w:val="001E2E1A"/>
    <w:rsid w:val="001E412F"/>
    <w:rsid w:val="001E6F29"/>
    <w:rsid w:val="00215C0A"/>
    <w:rsid w:val="00230096"/>
    <w:rsid w:val="002323A1"/>
    <w:rsid w:val="00283CEF"/>
    <w:rsid w:val="00290150"/>
    <w:rsid w:val="00290D5B"/>
    <w:rsid w:val="002A054F"/>
    <w:rsid w:val="002A2451"/>
    <w:rsid w:val="002B39A8"/>
    <w:rsid w:val="002B4CDA"/>
    <w:rsid w:val="002C093D"/>
    <w:rsid w:val="002C163F"/>
    <w:rsid w:val="002E444D"/>
    <w:rsid w:val="002E6AAB"/>
    <w:rsid w:val="002F4210"/>
    <w:rsid w:val="0034668A"/>
    <w:rsid w:val="003513C8"/>
    <w:rsid w:val="0036494B"/>
    <w:rsid w:val="00385416"/>
    <w:rsid w:val="003A49C8"/>
    <w:rsid w:val="003D78D6"/>
    <w:rsid w:val="003F1CC4"/>
    <w:rsid w:val="0043405B"/>
    <w:rsid w:val="00441565"/>
    <w:rsid w:val="00450137"/>
    <w:rsid w:val="004712FF"/>
    <w:rsid w:val="004A7F48"/>
    <w:rsid w:val="004C6A6C"/>
    <w:rsid w:val="004D069D"/>
    <w:rsid w:val="004D46BD"/>
    <w:rsid w:val="004F7279"/>
    <w:rsid w:val="005057A5"/>
    <w:rsid w:val="00505CD5"/>
    <w:rsid w:val="005060C4"/>
    <w:rsid w:val="005074D8"/>
    <w:rsid w:val="00521D95"/>
    <w:rsid w:val="00524E5B"/>
    <w:rsid w:val="00546E9C"/>
    <w:rsid w:val="005579F4"/>
    <w:rsid w:val="005669BB"/>
    <w:rsid w:val="005B4C65"/>
    <w:rsid w:val="006241A9"/>
    <w:rsid w:val="006248E8"/>
    <w:rsid w:val="00627ED7"/>
    <w:rsid w:val="00642022"/>
    <w:rsid w:val="006464D7"/>
    <w:rsid w:val="00652740"/>
    <w:rsid w:val="00655532"/>
    <w:rsid w:val="006811DF"/>
    <w:rsid w:val="00683371"/>
    <w:rsid w:val="006A08A6"/>
    <w:rsid w:val="006A5DB2"/>
    <w:rsid w:val="006A64D9"/>
    <w:rsid w:val="00706B92"/>
    <w:rsid w:val="00717011"/>
    <w:rsid w:val="007235C6"/>
    <w:rsid w:val="00743499"/>
    <w:rsid w:val="007516DF"/>
    <w:rsid w:val="007542F8"/>
    <w:rsid w:val="00793F8A"/>
    <w:rsid w:val="007A23A8"/>
    <w:rsid w:val="007C75A2"/>
    <w:rsid w:val="007D4780"/>
    <w:rsid w:val="007F286D"/>
    <w:rsid w:val="007F3403"/>
    <w:rsid w:val="007F44E6"/>
    <w:rsid w:val="0080021B"/>
    <w:rsid w:val="00803EB6"/>
    <w:rsid w:val="00823489"/>
    <w:rsid w:val="00833822"/>
    <w:rsid w:val="00834326"/>
    <w:rsid w:val="00843BC4"/>
    <w:rsid w:val="00843FE1"/>
    <w:rsid w:val="00857D44"/>
    <w:rsid w:val="00880EB9"/>
    <w:rsid w:val="00891E1E"/>
    <w:rsid w:val="00892183"/>
    <w:rsid w:val="008A0089"/>
    <w:rsid w:val="008A59C3"/>
    <w:rsid w:val="008B3D58"/>
    <w:rsid w:val="008B3DA8"/>
    <w:rsid w:val="008C4C25"/>
    <w:rsid w:val="008D777E"/>
    <w:rsid w:val="008E149F"/>
    <w:rsid w:val="008E3AC6"/>
    <w:rsid w:val="008E3BC5"/>
    <w:rsid w:val="00904F1B"/>
    <w:rsid w:val="00906294"/>
    <w:rsid w:val="0092205D"/>
    <w:rsid w:val="0093234E"/>
    <w:rsid w:val="00937461"/>
    <w:rsid w:val="00953A44"/>
    <w:rsid w:val="0099214A"/>
    <w:rsid w:val="009A26DB"/>
    <w:rsid w:val="009A4E40"/>
    <w:rsid w:val="009A7478"/>
    <w:rsid w:val="009D24ED"/>
    <w:rsid w:val="009D48CE"/>
    <w:rsid w:val="009E1530"/>
    <w:rsid w:val="00A14A23"/>
    <w:rsid w:val="00A3656F"/>
    <w:rsid w:val="00A40C19"/>
    <w:rsid w:val="00A80B31"/>
    <w:rsid w:val="00A84FC3"/>
    <w:rsid w:val="00AA7780"/>
    <w:rsid w:val="00AC56EE"/>
    <w:rsid w:val="00AE30C6"/>
    <w:rsid w:val="00B0727B"/>
    <w:rsid w:val="00B07801"/>
    <w:rsid w:val="00B22CAC"/>
    <w:rsid w:val="00B23546"/>
    <w:rsid w:val="00B2477D"/>
    <w:rsid w:val="00B26BE8"/>
    <w:rsid w:val="00B30414"/>
    <w:rsid w:val="00B72B87"/>
    <w:rsid w:val="00B76AD2"/>
    <w:rsid w:val="00B94576"/>
    <w:rsid w:val="00BA25D2"/>
    <w:rsid w:val="00BA2F98"/>
    <w:rsid w:val="00BA6BC4"/>
    <w:rsid w:val="00BC2DA2"/>
    <w:rsid w:val="00BC5885"/>
    <w:rsid w:val="00BF1831"/>
    <w:rsid w:val="00C003F1"/>
    <w:rsid w:val="00C0342D"/>
    <w:rsid w:val="00C174A7"/>
    <w:rsid w:val="00C21EC9"/>
    <w:rsid w:val="00C24759"/>
    <w:rsid w:val="00C40EC3"/>
    <w:rsid w:val="00C450CB"/>
    <w:rsid w:val="00C67760"/>
    <w:rsid w:val="00C67A4F"/>
    <w:rsid w:val="00C701A9"/>
    <w:rsid w:val="00C85587"/>
    <w:rsid w:val="00C93900"/>
    <w:rsid w:val="00CA0CB3"/>
    <w:rsid w:val="00CB13BB"/>
    <w:rsid w:val="00CB6556"/>
    <w:rsid w:val="00CC3702"/>
    <w:rsid w:val="00CF4535"/>
    <w:rsid w:val="00D218F3"/>
    <w:rsid w:val="00D21986"/>
    <w:rsid w:val="00D26A61"/>
    <w:rsid w:val="00D36BF8"/>
    <w:rsid w:val="00D36D6E"/>
    <w:rsid w:val="00D473A9"/>
    <w:rsid w:val="00D772CF"/>
    <w:rsid w:val="00DA2FFA"/>
    <w:rsid w:val="00DB0EE5"/>
    <w:rsid w:val="00DE7646"/>
    <w:rsid w:val="00E07A79"/>
    <w:rsid w:val="00E21089"/>
    <w:rsid w:val="00E31617"/>
    <w:rsid w:val="00E36DD3"/>
    <w:rsid w:val="00E93886"/>
    <w:rsid w:val="00EC584F"/>
    <w:rsid w:val="00ED2992"/>
    <w:rsid w:val="00EE0A5C"/>
    <w:rsid w:val="00EF1E49"/>
    <w:rsid w:val="00F01B63"/>
    <w:rsid w:val="00F5249F"/>
    <w:rsid w:val="00F72B6D"/>
    <w:rsid w:val="00F801C6"/>
    <w:rsid w:val="00F85772"/>
    <w:rsid w:val="00FC02C8"/>
    <w:rsid w:val="00FC1FDD"/>
    <w:rsid w:val="00FC209E"/>
    <w:rsid w:val="00FC414A"/>
    <w:rsid w:val="00FD59B8"/>
    <w:rsid w:val="00FE3D7D"/>
    <w:rsid w:val="00FE79B4"/>
    <w:rsid w:val="00FF08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E9C1"/>
  <w15:chartTrackingRefBased/>
  <w15:docId w15:val="{A84ABFE2-B9FF-43EF-9AE3-98654232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BB"/>
    <w:pPr>
      <w:bidi/>
      <w:spacing w:line="480" w:lineRule="auto"/>
    </w:pPr>
  </w:style>
  <w:style w:type="paragraph" w:styleId="Heading1">
    <w:name w:val="heading 1"/>
    <w:basedOn w:val="Normal"/>
    <w:next w:val="Normal"/>
    <w:link w:val="Heading1Char"/>
    <w:uiPriority w:val="9"/>
    <w:qFormat/>
    <w:rsid w:val="002A2451"/>
    <w:pPr>
      <w:keepNext/>
      <w:spacing w:before="240" w:after="60" w:line="360" w:lineRule="auto"/>
      <w:jc w:val="both"/>
      <w:outlineLvl w:val="0"/>
    </w:pPr>
    <w:rPr>
      <w:rFonts w:ascii="Calibri Light" w:eastAsia="Times New Roman" w:hAnsi="Calibri Light" w:cs="David"/>
      <w:b/>
      <w:bCs/>
      <w:kern w:val="32"/>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669BB"/>
    <w:rPr>
      <w:color w:val="0000FF"/>
      <w:u w:val="single"/>
    </w:rPr>
  </w:style>
  <w:style w:type="character" w:customStyle="1" w:styleId="ListParagraphChar">
    <w:name w:val="List Paragraph Char"/>
    <w:link w:val="ListParagraph"/>
    <w:uiPriority w:val="34"/>
    <w:locked/>
    <w:rsid w:val="005669BB"/>
  </w:style>
  <w:style w:type="paragraph" w:styleId="ListParagraph">
    <w:name w:val="List Paragraph"/>
    <w:basedOn w:val="Normal"/>
    <w:link w:val="ListParagraphChar"/>
    <w:uiPriority w:val="34"/>
    <w:qFormat/>
    <w:rsid w:val="005669BB"/>
    <w:pPr>
      <w:ind w:left="720"/>
      <w:contextualSpacing/>
    </w:pPr>
  </w:style>
  <w:style w:type="paragraph" w:styleId="BalloonText">
    <w:name w:val="Balloon Text"/>
    <w:basedOn w:val="Normal"/>
    <w:link w:val="BalloonTextChar"/>
    <w:uiPriority w:val="99"/>
    <w:semiHidden/>
    <w:unhideWhenUsed/>
    <w:rsid w:val="005B4C6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B4C65"/>
    <w:rPr>
      <w:rFonts w:ascii="Tahoma" w:hAnsi="Tahoma" w:cs="Tahoma"/>
      <w:sz w:val="18"/>
      <w:szCs w:val="18"/>
    </w:rPr>
  </w:style>
  <w:style w:type="paragraph" w:customStyle="1" w:styleId="a">
    <w:name w:val="טקסט"/>
    <w:basedOn w:val="ListParagraph"/>
    <w:link w:val="a0"/>
    <w:qFormat/>
    <w:rsid w:val="00C21EC9"/>
    <w:pPr>
      <w:numPr>
        <w:numId w:val="4"/>
      </w:numPr>
      <w:spacing w:after="120" w:line="360" w:lineRule="auto"/>
      <w:contextualSpacing w:val="0"/>
      <w:jc w:val="both"/>
      <w:outlineLvl w:val="0"/>
    </w:pPr>
    <w:rPr>
      <w:rFonts w:ascii="Times New Roman" w:eastAsia="Times New Roman" w:hAnsi="Times New Roman" w:cs="David"/>
      <w:sz w:val="28"/>
      <w:szCs w:val="28"/>
    </w:rPr>
  </w:style>
  <w:style w:type="character" w:customStyle="1" w:styleId="a0">
    <w:name w:val="טקסט תו"/>
    <w:basedOn w:val="ListParagraphChar"/>
    <w:link w:val="a"/>
    <w:rsid w:val="00C21EC9"/>
    <w:rPr>
      <w:rFonts w:ascii="Times New Roman" w:eastAsia="Times New Roman" w:hAnsi="Times New Roman" w:cs="David"/>
      <w:sz w:val="28"/>
      <w:szCs w:val="28"/>
    </w:rPr>
  </w:style>
  <w:style w:type="paragraph" w:styleId="Header">
    <w:name w:val="header"/>
    <w:basedOn w:val="Normal"/>
    <w:link w:val="HeaderChar"/>
    <w:uiPriority w:val="99"/>
    <w:unhideWhenUsed/>
    <w:rsid w:val="00B945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4576"/>
  </w:style>
  <w:style w:type="paragraph" w:styleId="Footer">
    <w:name w:val="footer"/>
    <w:basedOn w:val="Normal"/>
    <w:link w:val="FooterChar"/>
    <w:uiPriority w:val="99"/>
    <w:unhideWhenUsed/>
    <w:rsid w:val="00B945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4576"/>
  </w:style>
  <w:style w:type="character" w:customStyle="1" w:styleId="Heading1Char">
    <w:name w:val="Heading 1 Char"/>
    <w:basedOn w:val="DefaultParagraphFont"/>
    <w:link w:val="Heading1"/>
    <w:uiPriority w:val="9"/>
    <w:rsid w:val="002A2451"/>
    <w:rPr>
      <w:rFonts w:ascii="Calibri Light" w:eastAsia="Times New Roman" w:hAnsi="Calibri Light" w:cs="David"/>
      <w:b/>
      <w:bCs/>
      <w:kern w:val="32"/>
      <w:sz w:val="32"/>
      <w:szCs w:val="24"/>
      <w:u w:val="single"/>
    </w:rPr>
  </w:style>
  <w:style w:type="paragraph" w:styleId="BlockText">
    <w:name w:val="Block Text"/>
    <w:basedOn w:val="Normal"/>
    <w:rsid w:val="002A2451"/>
    <w:pPr>
      <w:spacing w:before="240" w:after="360" w:line="240" w:lineRule="auto"/>
      <w:ind w:left="1134" w:right="1134"/>
      <w:contextualSpacing/>
      <w:jc w:val="both"/>
    </w:pPr>
    <w:rPr>
      <w:rFonts w:ascii="Californian FB" w:eastAsia="Times New Roman" w:hAnsi="Californian FB" w:cs="David"/>
      <w:sz w:val="24"/>
      <w:szCs w:val="28"/>
    </w:rPr>
  </w:style>
  <w:style w:type="paragraph" w:styleId="Title">
    <w:name w:val="Title"/>
    <w:basedOn w:val="Normal"/>
    <w:link w:val="TitleChar"/>
    <w:qFormat/>
    <w:rsid w:val="00C450CB"/>
    <w:pPr>
      <w:numPr>
        <w:numId w:val="9"/>
      </w:numPr>
      <w:spacing w:after="0" w:line="360" w:lineRule="auto"/>
      <w:jc w:val="both"/>
    </w:pPr>
    <w:rPr>
      <w:rFonts w:ascii="Calibri" w:eastAsia="Calibri" w:hAnsi="Calibri" w:cs="David"/>
      <w:sz w:val="24"/>
      <w:szCs w:val="24"/>
    </w:rPr>
  </w:style>
  <w:style w:type="character" w:customStyle="1" w:styleId="TitleChar">
    <w:name w:val="Title Char"/>
    <w:basedOn w:val="DefaultParagraphFont"/>
    <w:link w:val="Title"/>
    <w:rsid w:val="00C450CB"/>
    <w:rPr>
      <w:rFonts w:ascii="Calibri" w:eastAsia="Calibri" w:hAnsi="Calibri" w:cs="David"/>
      <w:sz w:val="24"/>
      <w:szCs w:val="24"/>
    </w:rPr>
  </w:style>
  <w:style w:type="paragraph" w:customStyle="1" w:styleId="a1">
    <w:name w:val="תמצית"/>
    <w:basedOn w:val="Normal"/>
    <w:next w:val="a2"/>
    <w:link w:val="a3"/>
    <w:rsid w:val="00B07801"/>
    <w:pPr>
      <w:keepNext/>
      <w:spacing w:after="0" w:line="240" w:lineRule="auto"/>
      <w:jc w:val="both"/>
    </w:pPr>
    <w:rPr>
      <w:rFonts w:ascii="Trebuchet MS" w:eastAsia="Times New Roman" w:hAnsi="Trebuchet MS" w:cs="Levenim MT"/>
      <w:sz w:val="20"/>
      <w:szCs w:val="18"/>
    </w:rPr>
  </w:style>
  <w:style w:type="paragraph" w:customStyle="1" w:styleId="a2">
    <w:name w:val="הפניה"/>
    <w:basedOn w:val="a1"/>
    <w:link w:val="a4"/>
    <w:rsid w:val="00B07801"/>
    <w:pPr>
      <w:keepNext w:val="0"/>
      <w:spacing w:after="120"/>
      <w:ind w:left="284"/>
      <w:jc w:val="left"/>
    </w:pPr>
  </w:style>
  <w:style w:type="character" w:customStyle="1" w:styleId="a3">
    <w:name w:val="תמצית תו"/>
    <w:link w:val="a1"/>
    <w:rsid w:val="00B07801"/>
    <w:rPr>
      <w:rFonts w:ascii="Trebuchet MS" w:eastAsia="Times New Roman" w:hAnsi="Trebuchet MS" w:cs="Levenim MT"/>
      <w:sz w:val="20"/>
      <w:szCs w:val="18"/>
    </w:rPr>
  </w:style>
  <w:style w:type="character" w:customStyle="1" w:styleId="a4">
    <w:name w:val="הפניה תו"/>
    <w:basedOn w:val="a3"/>
    <w:link w:val="a2"/>
    <w:rsid w:val="00B07801"/>
    <w:rPr>
      <w:rFonts w:ascii="Trebuchet MS" w:eastAsia="Times New Roman" w:hAnsi="Trebuchet MS" w:cs="Levenim MT"/>
      <w:sz w:val="20"/>
      <w:szCs w:val="18"/>
    </w:rPr>
  </w:style>
  <w:style w:type="character" w:styleId="CommentReference">
    <w:name w:val="annotation reference"/>
    <w:basedOn w:val="DefaultParagraphFont"/>
    <w:uiPriority w:val="99"/>
    <w:semiHidden/>
    <w:unhideWhenUsed/>
    <w:rsid w:val="00C93900"/>
    <w:rPr>
      <w:sz w:val="16"/>
      <w:szCs w:val="16"/>
    </w:rPr>
  </w:style>
  <w:style w:type="paragraph" w:styleId="CommentText">
    <w:name w:val="annotation text"/>
    <w:basedOn w:val="Normal"/>
    <w:link w:val="CommentTextChar"/>
    <w:uiPriority w:val="99"/>
    <w:semiHidden/>
    <w:unhideWhenUsed/>
    <w:rsid w:val="00C93900"/>
    <w:pPr>
      <w:spacing w:line="240" w:lineRule="auto"/>
    </w:pPr>
    <w:rPr>
      <w:sz w:val="20"/>
      <w:szCs w:val="20"/>
    </w:rPr>
  </w:style>
  <w:style w:type="character" w:customStyle="1" w:styleId="CommentTextChar">
    <w:name w:val="Comment Text Char"/>
    <w:basedOn w:val="DefaultParagraphFont"/>
    <w:link w:val="CommentText"/>
    <w:uiPriority w:val="99"/>
    <w:semiHidden/>
    <w:rsid w:val="00C93900"/>
    <w:rPr>
      <w:sz w:val="20"/>
      <w:szCs w:val="20"/>
    </w:rPr>
  </w:style>
  <w:style w:type="paragraph" w:styleId="CommentSubject">
    <w:name w:val="annotation subject"/>
    <w:basedOn w:val="CommentText"/>
    <w:next w:val="CommentText"/>
    <w:link w:val="CommentSubjectChar"/>
    <w:uiPriority w:val="99"/>
    <w:semiHidden/>
    <w:unhideWhenUsed/>
    <w:rsid w:val="00C93900"/>
    <w:rPr>
      <w:b/>
      <w:bCs/>
    </w:rPr>
  </w:style>
  <w:style w:type="character" w:customStyle="1" w:styleId="CommentSubjectChar">
    <w:name w:val="Comment Subject Char"/>
    <w:basedOn w:val="CommentTextChar"/>
    <w:link w:val="CommentSubject"/>
    <w:uiPriority w:val="99"/>
    <w:semiHidden/>
    <w:rsid w:val="00C93900"/>
    <w:rPr>
      <w:b/>
      <w:bCs/>
      <w:sz w:val="20"/>
      <w:szCs w:val="20"/>
    </w:rPr>
  </w:style>
  <w:style w:type="character" w:customStyle="1" w:styleId="a5">
    <w:name w:val="ציטוט תו"/>
    <w:link w:val="1"/>
    <w:rsid w:val="00FE79B4"/>
    <w:rPr>
      <w:i/>
      <w:iCs/>
      <w:color w:val="404040"/>
    </w:rPr>
  </w:style>
  <w:style w:type="paragraph" w:customStyle="1" w:styleId="1">
    <w:name w:val="ציטוט1"/>
    <w:basedOn w:val="Normal"/>
    <w:link w:val="a5"/>
    <w:qFormat/>
    <w:rsid w:val="00FE79B4"/>
    <w:pPr>
      <w:spacing w:after="480" w:line="240" w:lineRule="auto"/>
      <w:ind w:left="1134" w:right="1134"/>
      <w:contextualSpacing/>
      <w:jc w:val="both"/>
      <w:outlineLvl w:val="0"/>
    </w:pPr>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0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6B0D-25D6-421E-9884-66EA81FC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4601</Words>
  <Characters>23009</Characters>
  <Application>Microsoft Office Word</Application>
  <DocSecurity>0</DocSecurity>
  <Lines>191</Lines>
  <Paragraphs>55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s4835146</dc:creator>
  <cp:keywords/>
  <dc:description/>
  <cp:lastModifiedBy>יבד"ץ 205/בית דין צפון וח"י/עוזרת משפטית/אלה לרנר</cp:lastModifiedBy>
  <cp:revision>2</cp:revision>
  <cp:lastPrinted>2019-06-27T07:01:00Z</cp:lastPrinted>
  <dcterms:created xsi:type="dcterms:W3CDTF">2023-03-07T11:20:00Z</dcterms:created>
  <dcterms:modified xsi:type="dcterms:W3CDTF">2023-03-07T11:20:00Z</dcterms:modified>
</cp:coreProperties>
</file>