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jc w:val="center"/>
        <w:rPr>
          <w:rFonts w:ascii="David" w:cs="David" w:eastAsia="David" w:hAnsi="Davi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מערך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שיעור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לדרג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החייל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 |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spacing w:line="360" w:lineRule="auto"/>
        <w:jc w:val="both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המפקד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</w:t>
      </w:r>
    </w:p>
    <w:p w:rsidR="00000000" w:rsidDel="00000000" w:rsidP="00000000" w:rsidRDefault="00000000" w:rsidRPr="00000000" w14:paraId="00000003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אירועים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ערכיים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שאינם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עולים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בקנה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ביניהם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פוגעים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בעמידתנו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במשימה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ומשליכים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לכידות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המסגרת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והחוסן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עליך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המפקד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מוטלת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האחריות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פקודיך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המדגיש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המצפן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לאורו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אנחנו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נלחמים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ופועלים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להבהיר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הציפיות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להתנהגות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מקצועית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ולשמירה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המשמעת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והתרבות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הצבאית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ולחדד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המותר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והאסור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שאלות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לשיח</w:t>
      </w:r>
      <w:r w:rsidDel="00000000" w:rsidR="00000000" w:rsidRPr="00000000">
        <w:rPr>
          <w:rFonts w:ascii="David" w:cs="David" w:eastAsia="David" w:hAnsi="David"/>
          <w:rtl w:val="0"/>
        </w:rPr>
        <w:t xml:space="preserve">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מהי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?</w:t>
      </w:r>
    </w:p>
    <w:p w:rsidR="00000000" w:rsidDel="00000000" w:rsidP="00000000" w:rsidRDefault="00000000" w:rsidRPr="00000000" w14:paraId="00000007">
      <w:pPr>
        <w:bidi w:val="1"/>
        <w:spacing w:line="360" w:lineRule="auto"/>
        <w:ind w:left="509" w:firstLine="0"/>
        <w:jc w:val="both"/>
        <w:rPr>
          <w:rFonts w:ascii="David" w:cs="David" w:eastAsia="David" w:hAnsi="David"/>
          <w:i w:val="1"/>
          <w:iCs w:val="1"/>
        </w:rPr>
      </w:pP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למפקד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מתרחשת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כשחייל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לוקח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פעילות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בשטח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לצרכיו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הפרטיים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ובניגוד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לפקודות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אמל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מדים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סמלים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ארגון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פרטי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אזרחי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ננטש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במרחב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הלחימה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נמצא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במבנה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שייהרס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החייל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מפעיל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כוח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לקחת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הרכוש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הרכוש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מרצון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וללא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תמורה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החייל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ביצע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נטילת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מזכרות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סמליות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נחשבת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לביזה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האסורה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בחוק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ובפקודות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הצבא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מהי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המשמעות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rtl w:val="1"/>
        </w:rPr>
        <w:t xml:space="preserve">"?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לוקח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משהו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אביב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שהמוכר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נמצא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rtl w:val="1"/>
        </w:rPr>
        <w:t xml:space="preserve">?</w:t>
      </w:r>
    </w:p>
    <w:p w:rsidR="00000000" w:rsidDel="00000000" w:rsidP="00000000" w:rsidRDefault="00000000" w:rsidRPr="00000000" w14:paraId="0000000A">
      <w:pPr>
        <w:bidi w:val="1"/>
        <w:spacing w:line="360" w:lineRule="auto"/>
        <w:ind w:left="509" w:firstLine="0"/>
        <w:jc w:val="both"/>
        <w:rPr>
          <w:rFonts w:ascii="David" w:cs="David" w:eastAsia="David" w:hAnsi="David"/>
          <w:i w:val="1"/>
          <w:iCs w:val="1"/>
        </w:rPr>
      </w:pP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למפקד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: 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גניבה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והיעדרות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הבעלים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בשל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אינה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הופכת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הרכוש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הפקר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".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המחיר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לצוות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לוקח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מזכרת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מפעילות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מבצעית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?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ההבדל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שימוש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למטרות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מבצעיות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נטילתו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כמזכרת</w:t>
      </w:r>
      <w:r w:rsidDel="00000000" w:rsidR="00000000" w:rsidRPr="00000000">
        <w:rPr>
          <w:rFonts w:ascii="David" w:cs="David" w:eastAsia="David" w:hAnsi="David"/>
          <w:rtl w:val="1"/>
        </w:rPr>
        <w:t xml:space="preserve">?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נטילת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נשק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אמצעי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כמזכרת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פוגעת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rtl w:val="1"/>
        </w:rPr>
        <w:t xml:space="preserve">”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?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מהי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האחריות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תופעה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?</w:t>
      </w:r>
    </w:p>
    <w:p w:rsidR="00000000" w:rsidDel="00000000" w:rsidP="00000000" w:rsidRDefault="00000000" w:rsidRPr="00000000" w14:paraId="0000000F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דגשים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לשיח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פיקודי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דבקות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במשימה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הפעלת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הצבאי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נועדה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להשגת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ודיכוי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אחרת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ניצול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לרעה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הצבאי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לטובת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רווח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אישי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מהווה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חריגה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מוחלטת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מייעודנו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כלוחמים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לדייק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האבחנה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מבצעית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נטילת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פרטי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שחי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המשמעות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התדמיתית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והתודעתית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לוחם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בודד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בשטח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משקף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כולו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דמותה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המוסרית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אירועי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פוגעים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באמון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החברה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הישראלית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בצבא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ובצדקת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הדרך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מהוות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נשק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תודעתי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המסייע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לערער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הלגיטימציה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לפעול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הקרב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ולהציג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אותנו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כצבא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הפועל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מוסרי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מקצועיות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ודריכות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מניעת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שחיקה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מבצעית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ותרבותית</w:t>
      </w:r>
      <w:r w:rsidDel="00000000" w:rsidR="00000000" w:rsidRPr="00000000">
        <w:rPr>
          <w:rFonts w:ascii="David" w:cs="David" w:eastAsia="David" w:hAnsi="David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ונטילת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אינן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מקצועי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המסיט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הקשב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מהמשימה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ופוגע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בדריכות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המבצעית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עיסוק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מייצר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מדרון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חלקלק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שעלול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להוביל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לתרבות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שקר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והסתרה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היחידה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תרבות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כזו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שוחקת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האמון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הלוחמים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ופוגעת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בלכידות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המסגרת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וביכולת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התפקוד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דיווח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אמת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מלא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ומדויק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נורמה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יחידתית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מחייבת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המהווה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הבסיס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למקצועיות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בשגרה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הסתרה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שקר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בנוגע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לאירועי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אינם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פגיעה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אנושה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באמון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ובנורמות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הדיווח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המהווים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תנאי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הכרחי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ללמידה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ולתיקון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טעויות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תרבות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הסתרה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מחלחלת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למרקם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היחידתי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פוגעת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בלכידות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הצוות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ומערערת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היכולת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המשליך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איכות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המבצעית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ביטחון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כוחותינו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הגדרת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הראוי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והמותר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איזה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ציוד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מותר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לקחת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ולהשתמש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במסגרת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המשימה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הצבאית</w:t>
      </w:r>
      <w:r w:rsidDel="00000000" w:rsidR="00000000" w:rsidRPr="00000000">
        <w:rPr>
          <w:rFonts w:ascii="David" w:cs="David" w:eastAsia="David" w:hAnsi="David"/>
          <w:rtl w:val="0"/>
        </w:rPr>
        <w:t xml:space="preserve">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מותר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להשתמש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במבנים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בציוד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ובמזון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לצרכים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חיוניים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הכוחות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ובלבד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שהדבר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נעשה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לצורך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מבצעי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השימוש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בציוד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להשאירו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לקחת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כדוגמת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מחשבי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מסמכי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ואמצעי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איסוף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מסמכים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ושלל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טכני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מהמשימה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המבצעית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איסוף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חיוני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נעשה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עפ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הפקודות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מתועד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ומועבר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לגורמים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המוסמכים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בצבא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חיונית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נדרשת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לקיחת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שלל</w:t>
      </w:r>
      <w:r w:rsidDel="00000000" w:rsidR="00000000" w:rsidRPr="00000000">
        <w:rPr>
          <w:rFonts w:ascii="David" w:cs="David" w:eastAsia="David" w:hAnsi="David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במסגרת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בקנה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המעשה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הצבאי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הדרישה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המבצעית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והמצפן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spacing w:line="480" w:lineRule="auto"/>
        <w:jc w:val="both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המפקד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רשום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הדגשים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שלך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למערך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שתף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בחוויות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אישיות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ובמרחבי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דילמה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פגשת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..</w:t>
      </w:r>
    </w:p>
    <w:p w:rsidR="00000000" w:rsidDel="00000000" w:rsidP="00000000" w:rsidRDefault="00000000" w:rsidRPr="00000000" w14:paraId="00000022">
      <w:pPr>
        <w:bidi w:val="1"/>
        <w:spacing w:line="48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David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5402580</wp:posOffset>
          </wp:positionH>
          <wp:positionV relativeFrom="paragraph">
            <wp:posOffset>-60959</wp:posOffset>
          </wp:positionV>
          <wp:extent cx="600710" cy="558800"/>
          <wp:effectExtent b="0" l="0" r="0" t="0"/>
          <wp:wrapSquare wrapText="bothSides" distB="0" distT="0" distL="114300" distR="114300"/>
          <wp:docPr descr="סמל צבא הגנה לישראל – ויקיפדיה" id="1" name="image1.jpg"/>
          <a:graphic>
            <a:graphicData uri="http://schemas.openxmlformats.org/drawingml/2006/picture">
              <pic:pic>
                <pic:nvPicPr>
                  <pic:cNvPr descr="סמל צבא הגנה לישראל – ויקיפדיה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710" cy="558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bidi w:val="1"/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DU+rTzWg3h2fhc14A6CKQH24Uw==">CgMxLjA4AHIhMU83aWJ4YUhXZ1MyUnhvTVJHajhqVGJDazJuM2NaWTU3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