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27914" w14:textId="77777777" w:rsidR="00491565" w:rsidRDefault="00491565" w:rsidP="00491565">
      <w:pPr>
        <w:tabs>
          <w:tab w:val="right" w:pos="6518"/>
        </w:tabs>
        <w:spacing w:line="480" w:lineRule="auto"/>
        <w:ind w:left="2407" w:right="1985"/>
        <w:rPr>
          <w:rtl/>
        </w:rPr>
      </w:pPr>
      <w:bookmarkStart w:id="0" w:name="_Hlk149821736"/>
      <w:bookmarkStart w:id="1" w:name="_Hlk80875619"/>
      <w:r w:rsidRPr="00164FD0">
        <w:rPr>
          <w:noProof/>
        </w:rPr>
        <w:drawing>
          <wp:inline distT="0" distB="0" distL="0" distR="0" wp14:anchorId="1F4BC5CA" wp14:editId="38EFA1D6">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5C206535" wp14:editId="61D7939E">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4BD575D" w14:textId="4DB8E4E6" w:rsidR="00491565" w:rsidRPr="00FD2DDA" w:rsidRDefault="004A2493" w:rsidP="00491565">
      <w:pPr>
        <w:bidi w:val="0"/>
        <w:spacing w:line="480" w:lineRule="auto"/>
        <w:jc w:val="center"/>
        <w:rPr>
          <w:rFonts w:ascii="David" w:hAnsi="David"/>
          <w:b/>
          <w:bCs/>
          <w:sz w:val="28"/>
          <w:u w:val="single"/>
        </w:rPr>
      </w:pPr>
      <w:r w:rsidRPr="00FD2DDA">
        <w:rPr>
          <w:rFonts w:ascii="David" w:hAnsi="David" w:hint="cs"/>
          <w:b/>
          <w:bCs/>
          <w:sz w:val="28"/>
          <w:u w:val="single"/>
          <w:rtl/>
        </w:rPr>
        <w:t>בבית הדין הצבאי לערעורי</w:t>
      </w:r>
      <w:r>
        <w:rPr>
          <w:rFonts w:ascii="David" w:hAnsi="David" w:hint="cs"/>
          <w:b/>
          <w:bCs/>
          <w:sz w:val="28"/>
          <w:u w:val="single"/>
          <w:rtl/>
        </w:rPr>
        <w:t>ם</w:t>
      </w:r>
    </w:p>
    <w:p w14:paraId="501A302F" w14:textId="77777777" w:rsidR="004A2493" w:rsidRPr="00FD2DDA" w:rsidRDefault="004A2493" w:rsidP="004A2493">
      <w:pPr>
        <w:spacing w:before="120" w:after="0" w:line="480" w:lineRule="auto"/>
        <w:rPr>
          <w:rFonts w:ascii="David" w:hAnsi="David"/>
          <w:sz w:val="28"/>
          <w:rtl/>
        </w:rPr>
      </w:pPr>
      <w:r w:rsidRPr="00FD2DDA">
        <w:rPr>
          <w:rFonts w:ascii="David" w:hAnsi="David" w:hint="cs"/>
          <w:sz w:val="28"/>
          <w:rtl/>
        </w:rPr>
        <w:t>בפני:</w:t>
      </w:r>
    </w:p>
    <w:p w14:paraId="17B76B52" w14:textId="71C3A95D" w:rsidR="004A2493" w:rsidRDefault="004A2493" w:rsidP="004A2493">
      <w:pPr>
        <w:spacing w:line="240" w:lineRule="auto"/>
        <w:jc w:val="center"/>
        <w:rPr>
          <w:sz w:val="28"/>
          <w:rtl/>
        </w:rPr>
      </w:pPr>
      <w:r w:rsidRPr="00ED4EF3">
        <w:rPr>
          <w:rFonts w:hint="cs"/>
          <w:b/>
          <w:bCs/>
          <w:sz w:val="28"/>
          <w:rtl/>
        </w:rPr>
        <w:t>אל"ם מאיה גולדשמידט</w:t>
      </w:r>
      <w:r>
        <w:rPr>
          <w:rFonts w:hint="cs"/>
          <w:sz w:val="28"/>
          <w:rtl/>
        </w:rPr>
        <w:t xml:space="preserve">    -   שופטת</w:t>
      </w:r>
    </w:p>
    <w:p w14:paraId="729CE002" w14:textId="4F113425" w:rsidR="004A2493" w:rsidRDefault="004A2493" w:rsidP="004A2493">
      <w:pPr>
        <w:rPr>
          <w:rFonts w:ascii="David" w:hAnsi="David"/>
          <w:sz w:val="28"/>
          <w:rtl/>
        </w:rPr>
      </w:pPr>
      <w:r w:rsidRPr="00FD2DDA">
        <w:rPr>
          <w:rFonts w:ascii="David" w:hAnsi="David" w:hint="cs"/>
          <w:sz w:val="28"/>
          <w:rtl/>
        </w:rPr>
        <w:t>בעניין:</w:t>
      </w:r>
    </w:p>
    <w:p w14:paraId="074AA7EA" w14:textId="070A4470" w:rsidR="004A2493" w:rsidRPr="00FD2DDA" w:rsidRDefault="004A2493" w:rsidP="004A2493">
      <w:pPr>
        <w:bidi w:val="0"/>
        <w:jc w:val="center"/>
        <w:rPr>
          <w:rFonts w:ascii="David" w:hAnsi="David"/>
          <w:sz w:val="28"/>
          <w:rtl/>
        </w:rPr>
      </w:pPr>
      <w:r w:rsidRPr="00FD2DDA">
        <w:rPr>
          <w:rFonts w:ascii="David" w:hAnsi="David" w:hint="cs"/>
          <w:b/>
          <w:bCs/>
          <w:sz w:val="28"/>
          <w:rtl/>
        </w:rPr>
        <w:t>התובע הצבאי הראשי –</w:t>
      </w:r>
      <w:r w:rsidRPr="00FD2DDA">
        <w:rPr>
          <w:rFonts w:ascii="David" w:hAnsi="David" w:hint="cs"/>
          <w:sz w:val="28"/>
          <w:rtl/>
        </w:rPr>
        <w:t xml:space="preserve"> המערער (ע"י ב"כ,</w:t>
      </w:r>
      <w:r>
        <w:rPr>
          <w:rFonts w:ascii="David" w:hAnsi="David" w:hint="cs"/>
          <w:sz w:val="28"/>
          <w:rtl/>
        </w:rPr>
        <w:t xml:space="preserve"> סרן תכלת מרדכי פיגנסון</w:t>
      </w:r>
      <w:r w:rsidRPr="00FD2DDA">
        <w:rPr>
          <w:rFonts w:ascii="David" w:hAnsi="David" w:hint="cs"/>
          <w:sz w:val="28"/>
          <w:rtl/>
        </w:rPr>
        <w:t>)</w:t>
      </w:r>
    </w:p>
    <w:p w14:paraId="561860CC" w14:textId="77777777" w:rsidR="004A2493" w:rsidRPr="00FD2DDA" w:rsidRDefault="004A2493" w:rsidP="004A2493">
      <w:pPr>
        <w:jc w:val="center"/>
        <w:rPr>
          <w:rFonts w:ascii="David" w:hAnsi="David"/>
          <w:sz w:val="28"/>
          <w:rtl/>
        </w:rPr>
      </w:pPr>
    </w:p>
    <w:p w14:paraId="00465312" w14:textId="14207FF9" w:rsidR="004A2493" w:rsidRDefault="004A2493" w:rsidP="004A2493">
      <w:pPr>
        <w:spacing w:after="360"/>
        <w:jc w:val="center"/>
        <w:rPr>
          <w:rFonts w:ascii="David" w:hAnsi="David"/>
          <w:b/>
          <w:bCs/>
          <w:sz w:val="28"/>
          <w:rtl/>
        </w:rPr>
      </w:pPr>
      <w:r w:rsidRPr="00FD2DDA">
        <w:rPr>
          <w:rFonts w:ascii="David" w:hAnsi="David" w:hint="cs"/>
          <w:b/>
          <w:bCs/>
          <w:sz w:val="28"/>
          <w:rtl/>
        </w:rPr>
        <w:t xml:space="preserve">נ ג ד </w:t>
      </w:r>
    </w:p>
    <w:p w14:paraId="24ED8EAA" w14:textId="7BB6C077" w:rsidR="004A2493" w:rsidRPr="006F2F30" w:rsidRDefault="004A2493" w:rsidP="006F2F30">
      <w:pPr>
        <w:spacing w:after="120"/>
        <w:jc w:val="center"/>
        <w:rPr>
          <w:rFonts w:ascii="David" w:hAnsi="David"/>
          <w:b/>
          <w:bCs/>
          <w:sz w:val="28"/>
          <w:rtl/>
        </w:rPr>
      </w:pPr>
      <w:r>
        <w:rPr>
          <w:rFonts w:ascii="Times New Roman" w:eastAsia="Times New Roman" w:hAnsi="Times New Roman" w:hint="cs"/>
          <w:b/>
          <w:bCs/>
          <w:sz w:val="32"/>
          <w:rtl/>
        </w:rPr>
        <w:t>מ/</w:t>
      </w:r>
      <w:r w:rsidR="00D44D15">
        <w:rPr>
          <w:rFonts w:ascii="Times New Roman" w:eastAsia="Times New Roman" w:hAnsi="Times New Roman" w:hint="cs"/>
          <w:b/>
          <w:bCs/>
          <w:sz w:val="32"/>
        </w:rPr>
        <w:t>XXXXXX</w:t>
      </w:r>
      <w:r w:rsidRPr="00251330">
        <w:rPr>
          <w:rFonts w:ascii="Times New Roman" w:eastAsia="Times New Roman" w:hAnsi="Times New Roman" w:hint="cs"/>
          <w:b/>
          <w:bCs/>
          <w:sz w:val="32"/>
          <w:rtl/>
        </w:rPr>
        <w:t xml:space="preserve"> </w:t>
      </w:r>
      <w:r>
        <w:rPr>
          <w:rFonts w:ascii="David" w:hAnsi="David" w:hint="cs"/>
          <w:b/>
          <w:bCs/>
          <w:sz w:val="28"/>
          <w:rtl/>
        </w:rPr>
        <w:t xml:space="preserve">רס"ם </w:t>
      </w:r>
      <w:r w:rsidR="00D44D15">
        <w:rPr>
          <w:rFonts w:ascii="David" w:hAnsi="David" w:hint="cs"/>
          <w:b/>
          <w:bCs/>
          <w:sz w:val="28"/>
          <w:rtl/>
        </w:rPr>
        <w:t>נ'</w:t>
      </w:r>
      <w:r w:rsidR="006F2F30">
        <w:rPr>
          <w:rFonts w:ascii="David" w:hAnsi="David" w:hint="cs"/>
          <w:b/>
          <w:bCs/>
          <w:sz w:val="28"/>
          <w:rtl/>
        </w:rPr>
        <w:t xml:space="preserve"> </w:t>
      </w:r>
      <w:r w:rsidR="00D44D15">
        <w:rPr>
          <w:rFonts w:ascii="David" w:hAnsi="David" w:hint="cs"/>
          <w:b/>
          <w:bCs/>
          <w:sz w:val="28"/>
          <w:rtl/>
        </w:rPr>
        <w:t>י'</w:t>
      </w:r>
      <w:r w:rsidR="00CB1711">
        <w:rPr>
          <w:rFonts w:ascii="David" w:hAnsi="David" w:hint="cs"/>
          <w:b/>
          <w:bCs/>
          <w:sz w:val="28"/>
          <w:rtl/>
        </w:rPr>
        <w:t xml:space="preserve"> </w:t>
      </w:r>
      <w:r w:rsidRPr="00FD2DDA">
        <w:rPr>
          <w:rFonts w:ascii="David" w:hAnsi="David" w:hint="cs"/>
          <w:b/>
          <w:bCs/>
          <w:sz w:val="28"/>
          <w:rtl/>
        </w:rPr>
        <w:t xml:space="preserve"> –</w:t>
      </w:r>
      <w:r w:rsidRPr="00FD2DDA">
        <w:rPr>
          <w:rFonts w:ascii="David" w:hAnsi="David" w:hint="cs"/>
          <w:sz w:val="28"/>
          <w:rtl/>
        </w:rPr>
        <w:t xml:space="preserve"> המשיב (ע"י ב"כ,</w:t>
      </w:r>
      <w:r>
        <w:rPr>
          <w:rFonts w:ascii="David" w:hAnsi="David" w:hint="cs"/>
          <w:sz w:val="28"/>
          <w:rtl/>
        </w:rPr>
        <w:t xml:space="preserve"> עו"ד אלון הראל; עו"ד קובי מרגולוב</w:t>
      </w:r>
      <w:r w:rsidRPr="00FD2DDA">
        <w:rPr>
          <w:rFonts w:ascii="David" w:hAnsi="David" w:hint="cs"/>
          <w:sz w:val="28"/>
          <w:rtl/>
        </w:rPr>
        <w:t>)</w:t>
      </w:r>
    </w:p>
    <w:p w14:paraId="4886E148" w14:textId="77777777" w:rsidR="004A2493" w:rsidRPr="00D44D15" w:rsidRDefault="004A2493" w:rsidP="004A2493">
      <w:pPr>
        <w:spacing w:after="360" w:line="360" w:lineRule="auto"/>
        <w:rPr>
          <w:rFonts w:ascii="David" w:hAnsi="David"/>
          <w:b/>
          <w:bCs/>
          <w:sz w:val="6"/>
          <w:szCs w:val="6"/>
          <w:u w:val="single"/>
          <w:rtl/>
        </w:rPr>
      </w:pPr>
    </w:p>
    <w:p w14:paraId="53E5E948" w14:textId="745C78C5" w:rsidR="00964CD7" w:rsidRDefault="004A2493" w:rsidP="0095728E">
      <w:pPr>
        <w:spacing w:before="240" w:after="240" w:line="360" w:lineRule="auto"/>
        <w:jc w:val="both"/>
        <w:rPr>
          <w:b/>
          <w:bCs/>
          <w:sz w:val="28"/>
          <w:u w:val="single"/>
          <w:rtl/>
        </w:rPr>
      </w:pPr>
      <w:r w:rsidRPr="00FD2DDA">
        <w:rPr>
          <w:rFonts w:ascii="David" w:hAnsi="David" w:hint="cs"/>
          <w:sz w:val="28"/>
          <w:rtl/>
        </w:rPr>
        <w:t xml:space="preserve">ערעור על </w:t>
      </w:r>
      <w:r>
        <w:rPr>
          <w:rFonts w:ascii="David" w:hAnsi="David" w:hint="cs"/>
          <w:sz w:val="28"/>
          <w:rtl/>
        </w:rPr>
        <w:t>החלטה</w:t>
      </w:r>
      <w:r w:rsidRPr="00FD2DDA">
        <w:rPr>
          <w:rFonts w:ascii="David" w:hAnsi="David" w:hint="cs"/>
          <w:sz w:val="28"/>
          <w:rtl/>
        </w:rPr>
        <w:t xml:space="preserve"> של בית הדין הצבאי המחוזי במחוז שיפוטי </w:t>
      </w:r>
      <w:r>
        <w:rPr>
          <w:rFonts w:ascii="David" w:hAnsi="David" w:hint="cs"/>
          <w:sz w:val="28"/>
          <w:rtl/>
        </w:rPr>
        <w:t>המרכז</w:t>
      </w:r>
      <w:r w:rsidRPr="00FD2DDA">
        <w:rPr>
          <w:rFonts w:ascii="David" w:hAnsi="David" w:hint="cs"/>
          <w:sz w:val="28"/>
          <w:rtl/>
        </w:rPr>
        <w:t xml:space="preserve"> שניתן בתיק </w:t>
      </w:r>
      <w:r>
        <w:rPr>
          <w:rFonts w:ascii="David" w:hAnsi="David" w:hint="cs"/>
          <w:sz w:val="28"/>
          <w:rtl/>
        </w:rPr>
        <w:t>מרכז</w:t>
      </w:r>
      <w:r w:rsidRPr="00FD2DDA">
        <w:rPr>
          <w:rFonts w:ascii="David" w:hAnsi="David" w:hint="cs"/>
          <w:sz w:val="28"/>
          <w:rtl/>
        </w:rPr>
        <w:t xml:space="preserve"> </w:t>
      </w:r>
      <w:r w:rsidRPr="00FE7B6F">
        <w:rPr>
          <w:rFonts w:ascii="David" w:hAnsi="David" w:hint="cs"/>
          <w:sz w:val="28"/>
          <w:rtl/>
        </w:rPr>
        <w:t xml:space="preserve">(מחוזי) </w:t>
      </w:r>
      <w:r>
        <w:rPr>
          <w:rFonts w:ascii="David" w:hAnsi="David" w:hint="cs"/>
          <w:sz w:val="28"/>
          <w:rtl/>
        </w:rPr>
        <w:t>157/24</w:t>
      </w:r>
      <w:r w:rsidRPr="00FE7B6F">
        <w:rPr>
          <w:rFonts w:ascii="David" w:hAnsi="David" w:hint="cs"/>
          <w:sz w:val="28"/>
          <w:rtl/>
        </w:rPr>
        <w:t xml:space="preserve"> (</w:t>
      </w:r>
      <w:r>
        <w:rPr>
          <w:rFonts w:ascii="David" w:hAnsi="David" w:hint="cs"/>
          <w:sz w:val="28"/>
          <w:rtl/>
        </w:rPr>
        <w:t>סא"ל מיכל אמברם שחר- סגנית הנשיא</w:t>
      </w:r>
      <w:r w:rsidRPr="00FE7B6F">
        <w:rPr>
          <w:rFonts w:ascii="David" w:hAnsi="David" w:hint="cs"/>
          <w:sz w:val="28"/>
          <w:rtl/>
        </w:rPr>
        <w:t xml:space="preserve">) ביום </w:t>
      </w:r>
      <w:r>
        <w:rPr>
          <w:rFonts w:ascii="David" w:hAnsi="David" w:hint="cs"/>
          <w:sz w:val="28"/>
          <w:rtl/>
        </w:rPr>
        <w:t>4</w:t>
      </w:r>
      <w:r w:rsidRPr="00FE7B6F">
        <w:rPr>
          <w:rFonts w:ascii="David" w:hAnsi="David" w:hint="cs"/>
          <w:sz w:val="28"/>
          <w:rtl/>
        </w:rPr>
        <w:t>.</w:t>
      </w:r>
      <w:r>
        <w:rPr>
          <w:rFonts w:ascii="David" w:hAnsi="David" w:hint="cs"/>
          <w:sz w:val="28"/>
          <w:rtl/>
        </w:rPr>
        <w:t>8</w:t>
      </w:r>
      <w:r w:rsidRPr="00FE7B6F">
        <w:rPr>
          <w:rFonts w:ascii="David" w:hAnsi="David" w:hint="cs"/>
          <w:sz w:val="28"/>
          <w:rtl/>
        </w:rPr>
        <w:t>.202</w:t>
      </w:r>
      <w:r w:rsidR="00DE6DFC">
        <w:rPr>
          <w:rFonts w:ascii="David" w:hAnsi="David" w:hint="cs"/>
          <w:sz w:val="28"/>
          <w:rtl/>
        </w:rPr>
        <w:t>4</w:t>
      </w:r>
      <w:r w:rsidRPr="00FE7B6F">
        <w:rPr>
          <w:rFonts w:ascii="David" w:hAnsi="David" w:hint="cs"/>
          <w:sz w:val="28"/>
          <w:rtl/>
        </w:rPr>
        <w:t xml:space="preserve">. </w:t>
      </w:r>
      <w:r>
        <w:rPr>
          <w:rFonts w:ascii="David" w:hAnsi="David" w:hint="cs"/>
          <w:sz w:val="28"/>
          <w:rtl/>
        </w:rPr>
        <w:t>ה</w:t>
      </w:r>
      <w:r w:rsidRPr="00FE7B6F">
        <w:rPr>
          <w:rFonts w:ascii="David" w:hAnsi="David" w:hint="cs"/>
          <w:sz w:val="28"/>
          <w:rtl/>
        </w:rPr>
        <w:t>ערעור התקבל</w:t>
      </w:r>
      <w:bookmarkEnd w:id="0"/>
      <w:r>
        <w:rPr>
          <w:rFonts w:hint="cs"/>
          <w:sz w:val="28"/>
          <w:rtl/>
        </w:rPr>
        <w:t xml:space="preserve"> באופן חלקי</w:t>
      </w:r>
      <w:r w:rsidRPr="004A2493">
        <w:rPr>
          <w:rFonts w:hint="cs"/>
          <w:sz w:val="28"/>
          <w:rtl/>
        </w:rPr>
        <w:t>.</w:t>
      </w:r>
    </w:p>
    <w:p w14:paraId="363346C0" w14:textId="77777777" w:rsidR="009A6264" w:rsidRPr="00766BAC" w:rsidRDefault="009A6264" w:rsidP="00352EC1">
      <w:pPr>
        <w:spacing w:before="240" w:after="240" w:line="360" w:lineRule="auto"/>
        <w:jc w:val="center"/>
        <w:rPr>
          <w:b/>
          <w:bCs/>
          <w:sz w:val="28"/>
          <w:u w:val="single"/>
          <w:rtl/>
        </w:rPr>
      </w:pPr>
      <w:r>
        <w:rPr>
          <w:rFonts w:hint="cs"/>
          <w:b/>
          <w:bCs/>
          <w:sz w:val="28"/>
          <w:u w:val="single"/>
          <w:rtl/>
        </w:rPr>
        <w:t>ה</w:t>
      </w:r>
      <w:r w:rsidRPr="005D744B">
        <w:rPr>
          <w:rFonts w:hint="cs"/>
          <w:b/>
          <w:bCs/>
          <w:sz w:val="28"/>
          <w:u w:val="single"/>
          <w:rtl/>
        </w:rPr>
        <w:t xml:space="preserve"> ח ל ט ה</w:t>
      </w:r>
    </w:p>
    <w:p w14:paraId="45FDB75E" w14:textId="77777777" w:rsidR="00326266" w:rsidRDefault="00326266" w:rsidP="008F33A0">
      <w:pPr>
        <w:pStyle w:val="ListParagraph"/>
        <w:numPr>
          <w:ilvl w:val="0"/>
          <w:numId w:val="9"/>
        </w:numPr>
        <w:spacing w:line="360" w:lineRule="auto"/>
        <w:ind w:left="-2" w:hanging="21"/>
        <w:jc w:val="both"/>
        <w:rPr>
          <w:rFonts w:cs="David"/>
          <w:sz w:val="28"/>
          <w:szCs w:val="28"/>
        </w:rPr>
      </w:pPr>
      <w:r>
        <w:rPr>
          <w:rFonts w:cs="David" w:hint="cs"/>
          <w:sz w:val="28"/>
          <w:szCs w:val="28"/>
          <w:rtl/>
        </w:rPr>
        <w:t>לאחר שמיעת טענות הצדדים</w:t>
      </w:r>
      <w:r w:rsidR="007313A2">
        <w:rPr>
          <w:rFonts w:cs="David" w:hint="cs"/>
          <w:sz w:val="28"/>
          <w:szCs w:val="28"/>
          <w:rtl/>
        </w:rPr>
        <w:t xml:space="preserve"> </w:t>
      </w:r>
      <w:r w:rsidR="00964CD7">
        <w:rPr>
          <w:rFonts w:cs="David" w:hint="cs"/>
          <w:sz w:val="28"/>
          <w:szCs w:val="28"/>
          <w:rtl/>
        </w:rPr>
        <w:t>ו</w:t>
      </w:r>
      <w:r w:rsidR="007313A2">
        <w:rPr>
          <w:rFonts w:cs="David" w:hint="cs"/>
          <w:sz w:val="28"/>
          <w:szCs w:val="28"/>
          <w:rtl/>
        </w:rPr>
        <w:t xml:space="preserve">עיון בחומר החקירה, מצאתי כי דין ערעור התביעה להתקבל באופן חלקי, כך שהמשיב ייעצר במעצר ממשי עד ליום </w:t>
      </w:r>
      <w:r w:rsidR="00964CD7">
        <w:rPr>
          <w:rFonts w:cs="David" w:hint="cs"/>
          <w:sz w:val="28"/>
          <w:szCs w:val="28"/>
          <w:rtl/>
        </w:rPr>
        <w:t xml:space="preserve">6 בנובמבר 2024 בשעה 12:00. </w:t>
      </w:r>
      <w:r w:rsidR="007313A2">
        <w:rPr>
          <w:rFonts w:cs="David" w:hint="cs"/>
          <w:sz w:val="28"/>
          <w:szCs w:val="28"/>
          <w:rtl/>
        </w:rPr>
        <w:t xml:space="preserve">     </w:t>
      </w:r>
    </w:p>
    <w:p w14:paraId="31707A80" w14:textId="77777777" w:rsidR="00192045" w:rsidRDefault="00192045" w:rsidP="008F33A0">
      <w:pPr>
        <w:pStyle w:val="ListParagraph"/>
        <w:numPr>
          <w:ilvl w:val="0"/>
          <w:numId w:val="9"/>
        </w:numPr>
        <w:spacing w:line="360" w:lineRule="auto"/>
        <w:ind w:left="-2" w:hanging="21"/>
        <w:jc w:val="both"/>
        <w:rPr>
          <w:rFonts w:cs="David"/>
          <w:sz w:val="28"/>
          <w:szCs w:val="28"/>
        </w:rPr>
      </w:pPr>
      <w:r>
        <w:rPr>
          <w:rFonts w:cs="David" w:hint="cs"/>
          <w:sz w:val="28"/>
          <w:szCs w:val="28"/>
          <w:rtl/>
        </w:rPr>
        <w:t>נימוקי ההחלטה יינתנו בהקדם ויועברו לצדדים על ידי קצין בית הדין</w:t>
      </w:r>
      <w:r w:rsidR="003C0A63">
        <w:rPr>
          <w:rFonts w:cs="David" w:hint="cs"/>
          <w:sz w:val="28"/>
          <w:szCs w:val="28"/>
          <w:rtl/>
        </w:rPr>
        <w:t>.</w:t>
      </w:r>
    </w:p>
    <w:p w14:paraId="431842D0" w14:textId="77777777" w:rsidR="00326266" w:rsidRPr="00CF4DC2" w:rsidRDefault="00326266" w:rsidP="00326266">
      <w:pPr>
        <w:pStyle w:val="ListParagraph"/>
        <w:spacing w:line="360" w:lineRule="auto"/>
        <w:ind w:left="302"/>
        <w:jc w:val="both"/>
        <w:rPr>
          <w:rFonts w:cs="David"/>
          <w:sz w:val="12"/>
          <w:szCs w:val="12"/>
        </w:rPr>
      </w:pPr>
    </w:p>
    <w:p w14:paraId="14C7F5E3" w14:textId="77777777" w:rsidR="00FE0B61" w:rsidRPr="00326266" w:rsidRDefault="00FE0B61" w:rsidP="009A1E51">
      <w:pPr>
        <w:pStyle w:val="ListParagraph"/>
        <w:tabs>
          <w:tab w:val="left" w:pos="226"/>
        </w:tabs>
        <w:spacing w:line="360" w:lineRule="auto"/>
        <w:ind w:left="-58"/>
        <w:jc w:val="both"/>
        <w:rPr>
          <w:rFonts w:cs="David"/>
          <w:sz w:val="28"/>
          <w:szCs w:val="28"/>
          <w:rtl/>
        </w:rPr>
      </w:pPr>
    </w:p>
    <w:p w14:paraId="5630D483" w14:textId="77777777" w:rsidR="00216F75" w:rsidRDefault="00B27EDD" w:rsidP="00C57F14">
      <w:pPr>
        <w:pStyle w:val="ListParagraph"/>
        <w:tabs>
          <w:tab w:val="left" w:pos="226"/>
        </w:tabs>
        <w:spacing w:line="360" w:lineRule="auto"/>
        <w:ind w:left="0"/>
        <w:jc w:val="both"/>
        <w:rPr>
          <w:rFonts w:cs="David"/>
          <w:sz w:val="28"/>
          <w:szCs w:val="28"/>
          <w:rtl/>
        </w:rPr>
      </w:pPr>
      <w:r w:rsidRPr="009A1740">
        <w:rPr>
          <w:rFonts w:cs="David" w:hint="cs"/>
          <w:sz w:val="28"/>
          <w:szCs w:val="28"/>
          <w:rtl/>
        </w:rPr>
        <w:t xml:space="preserve">ניתנה היום, </w:t>
      </w:r>
      <w:r w:rsidR="007313A2">
        <w:rPr>
          <w:rFonts w:cs="David" w:hint="cs"/>
          <w:sz w:val="28"/>
          <w:szCs w:val="28"/>
          <w:rtl/>
        </w:rPr>
        <w:t>א' באב</w:t>
      </w:r>
      <w:r w:rsidR="009E005C">
        <w:rPr>
          <w:rFonts w:cs="David" w:hint="cs"/>
          <w:sz w:val="28"/>
          <w:szCs w:val="28"/>
          <w:rtl/>
        </w:rPr>
        <w:t xml:space="preserve"> התשפ"</w:t>
      </w:r>
      <w:r w:rsidR="00FD0632">
        <w:rPr>
          <w:rFonts w:cs="David" w:hint="cs"/>
          <w:sz w:val="28"/>
          <w:szCs w:val="28"/>
          <w:rtl/>
        </w:rPr>
        <w:t>ד</w:t>
      </w:r>
      <w:r w:rsidR="007313A2">
        <w:rPr>
          <w:rFonts w:cs="David" w:hint="cs"/>
          <w:sz w:val="28"/>
          <w:szCs w:val="28"/>
          <w:rtl/>
        </w:rPr>
        <w:t>, 5 באוגוסט</w:t>
      </w:r>
      <w:r w:rsidR="00FD0632">
        <w:rPr>
          <w:rFonts w:cs="David" w:hint="cs"/>
          <w:sz w:val="28"/>
          <w:szCs w:val="28"/>
          <w:rtl/>
        </w:rPr>
        <w:t xml:space="preserve"> 2024</w:t>
      </w:r>
      <w:r w:rsidRPr="009A1740">
        <w:rPr>
          <w:rFonts w:cs="David" w:hint="cs"/>
          <w:sz w:val="28"/>
          <w:szCs w:val="28"/>
          <w:rtl/>
        </w:rPr>
        <w:t xml:space="preserve">, </w:t>
      </w:r>
      <w:r w:rsidR="00192045">
        <w:rPr>
          <w:rFonts w:cs="David" w:hint="cs"/>
          <w:sz w:val="28"/>
          <w:szCs w:val="28"/>
          <w:rtl/>
        </w:rPr>
        <w:t>בפומבי ובמעמד הצדדים</w:t>
      </w:r>
      <w:r w:rsidR="003C0A63">
        <w:rPr>
          <w:rFonts w:cs="David" w:hint="cs"/>
          <w:sz w:val="28"/>
          <w:szCs w:val="28"/>
          <w:rtl/>
        </w:rPr>
        <w:t xml:space="preserve">. </w:t>
      </w:r>
    </w:p>
    <w:p w14:paraId="30A6E6DD" w14:textId="77777777" w:rsidR="009E005C" w:rsidRDefault="009E005C" w:rsidP="004A2493">
      <w:pPr>
        <w:pStyle w:val="ListParagraph"/>
        <w:tabs>
          <w:tab w:val="left" w:pos="226"/>
        </w:tabs>
        <w:spacing w:line="360" w:lineRule="auto"/>
        <w:ind w:left="0"/>
        <w:jc w:val="both"/>
        <w:rPr>
          <w:rFonts w:cs="David"/>
          <w:sz w:val="28"/>
          <w:szCs w:val="28"/>
          <w:rtl/>
        </w:rPr>
      </w:pPr>
    </w:p>
    <w:bookmarkEnd w:id="1"/>
    <w:p w14:paraId="57667A4E" w14:textId="77777777" w:rsidR="008F33A0" w:rsidRPr="00F80CBF" w:rsidRDefault="008F33A0" w:rsidP="008F33A0">
      <w:pPr>
        <w:tabs>
          <w:tab w:val="center" w:pos="1599"/>
          <w:tab w:val="center" w:pos="4150"/>
          <w:tab w:val="center" w:pos="6702"/>
        </w:tabs>
        <w:spacing w:after="0" w:line="360" w:lineRule="auto"/>
        <w:contextualSpacing/>
        <w:jc w:val="right"/>
        <w:rPr>
          <w:b/>
          <w:bCs/>
          <w:rtl/>
        </w:rPr>
      </w:pPr>
      <w:r>
        <w:rPr>
          <w:rFonts w:hint="cs"/>
          <w:b/>
          <w:bCs/>
          <w:rtl/>
        </w:rPr>
        <w:t>____</w:t>
      </w:r>
      <w:r w:rsidRPr="00F80CBF">
        <w:rPr>
          <w:b/>
          <w:bCs/>
          <w:rtl/>
        </w:rPr>
        <w:t>______________</w:t>
      </w:r>
    </w:p>
    <w:p w14:paraId="116EE7F1" w14:textId="77777777" w:rsidR="008F33A0" w:rsidRDefault="008F33A0" w:rsidP="008F33A0">
      <w:pPr>
        <w:tabs>
          <w:tab w:val="center" w:pos="1599"/>
          <w:tab w:val="center" w:pos="4150"/>
          <w:tab w:val="center" w:pos="6702"/>
        </w:tabs>
        <w:spacing w:after="0" w:line="360" w:lineRule="auto"/>
        <w:contextualSpacing/>
        <w:jc w:val="right"/>
        <w:rPr>
          <w:b/>
          <w:bCs/>
          <w:rtl/>
        </w:rPr>
      </w:pPr>
      <w:r>
        <w:rPr>
          <w:rFonts w:hint="cs"/>
          <w:b/>
          <w:bCs/>
          <w:rtl/>
        </w:rPr>
        <w:t>אל"ם מאיה גולדשמידט</w:t>
      </w:r>
    </w:p>
    <w:p w14:paraId="66C4C7B7" w14:textId="77777777" w:rsidR="008F33A0" w:rsidRDefault="008F33A0" w:rsidP="008F33A0">
      <w:pPr>
        <w:tabs>
          <w:tab w:val="center" w:pos="1599"/>
          <w:tab w:val="center" w:pos="4150"/>
          <w:tab w:val="center" w:pos="6702"/>
        </w:tabs>
        <w:spacing w:after="0" w:line="360" w:lineRule="auto"/>
        <w:contextualSpacing/>
        <w:jc w:val="right"/>
        <w:rPr>
          <w:b/>
          <w:bCs/>
          <w:rtl/>
        </w:rPr>
      </w:pPr>
      <w:r>
        <w:rPr>
          <w:rFonts w:hint="cs"/>
          <w:b/>
          <w:bCs/>
          <w:rtl/>
        </w:rPr>
        <w:t>שופטת   בית  דין הצבאי</w:t>
      </w:r>
    </w:p>
    <w:p w14:paraId="5BB1B5D6" w14:textId="49D147D1" w:rsidR="00316F7E" w:rsidRPr="00D44D15" w:rsidRDefault="008F33A0" w:rsidP="00D44D15">
      <w:pPr>
        <w:tabs>
          <w:tab w:val="center" w:pos="1599"/>
          <w:tab w:val="center" w:pos="4150"/>
          <w:tab w:val="center" w:pos="6702"/>
        </w:tabs>
        <w:spacing w:after="0" w:line="360" w:lineRule="auto"/>
        <w:contextualSpacing/>
        <w:jc w:val="right"/>
        <w:rPr>
          <w:b/>
          <w:bCs/>
          <w:rtl/>
        </w:rPr>
      </w:pPr>
      <w:r>
        <w:rPr>
          <w:rFonts w:hint="cs"/>
          <w:b/>
          <w:bCs/>
          <w:rtl/>
        </w:rPr>
        <w:t>ל    ע   ר   ע   ו    ר    י   ם</w:t>
      </w:r>
    </w:p>
    <w:p w14:paraId="58E0816A" w14:textId="77777777" w:rsidR="00D44D15" w:rsidRDefault="00D44D15" w:rsidP="00D44D15">
      <w:pPr>
        <w:spacing w:after="0" w:line="360" w:lineRule="auto"/>
        <w:contextualSpacing/>
        <w:jc w:val="center"/>
        <w:outlineLvl w:val="0"/>
        <w:rPr>
          <w:b/>
          <w:bCs/>
          <w:u w:val="single"/>
          <w:rtl/>
        </w:rPr>
      </w:pPr>
    </w:p>
    <w:p w14:paraId="5E38A173" w14:textId="2D02A0D3" w:rsidR="008F33A0" w:rsidRPr="00D44D15" w:rsidRDefault="008F33A0" w:rsidP="00D44D15">
      <w:pPr>
        <w:spacing w:after="0" w:line="360" w:lineRule="auto"/>
        <w:contextualSpacing/>
        <w:jc w:val="center"/>
        <w:outlineLvl w:val="0"/>
        <w:rPr>
          <w:b/>
          <w:bCs/>
          <w:u w:val="single"/>
          <w:rtl/>
        </w:rPr>
      </w:pPr>
      <w:r>
        <w:rPr>
          <w:rFonts w:hint="cs"/>
          <w:b/>
          <w:bCs/>
          <w:u w:val="single"/>
          <w:rtl/>
        </w:rPr>
        <w:lastRenderedPageBreak/>
        <w:t>נימוקי החלטה</w:t>
      </w:r>
    </w:p>
    <w:p w14:paraId="3D96AD24" w14:textId="77777777" w:rsidR="008F33A0" w:rsidRDefault="008F33A0" w:rsidP="008F33A0">
      <w:pPr>
        <w:pStyle w:val="1"/>
        <w:numPr>
          <w:ilvl w:val="0"/>
          <w:numId w:val="11"/>
        </w:numPr>
        <w:tabs>
          <w:tab w:val="left" w:pos="281"/>
        </w:tabs>
        <w:spacing w:line="360" w:lineRule="auto"/>
        <w:ind w:left="-2"/>
        <w:jc w:val="both"/>
        <w:outlineLvl w:val="0"/>
        <w:rPr>
          <w:rFonts w:cs="David"/>
          <w:sz w:val="28"/>
          <w:szCs w:val="28"/>
        </w:rPr>
      </w:pPr>
      <w:r>
        <w:rPr>
          <w:rFonts w:cs="David" w:hint="cs"/>
          <w:sz w:val="28"/>
          <w:szCs w:val="28"/>
          <w:rtl/>
        </w:rPr>
        <w:t xml:space="preserve">ביום 5 באוגוסט 2024 החלטתי לקבל, באופן חלקי, את ערעור התביעה על החלטתו של בית הדין קמא (כב' סגנית הנשיא, סא"ל מיכל אמברם שחר), בדבר שחרורו של המשיב לחלופת מעצר, עד לתום ההליכים המשפטיים בעניינו ולהורות חלף זאת על מעצרו הממשי עד ליום 6 בנובמבר 2024. להלן יפורטו נימוקי ההחלטה. </w:t>
      </w:r>
    </w:p>
    <w:p w14:paraId="587D1B4A" w14:textId="77777777" w:rsidR="008F33A0" w:rsidRPr="00D44D15" w:rsidRDefault="008F33A0" w:rsidP="008F33A0">
      <w:pPr>
        <w:pStyle w:val="1"/>
        <w:tabs>
          <w:tab w:val="left" w:pos="283"/>
        </w:tabs>
        <w:spacing w:line="360" w:lineRule="auto"/>
        <w:ind w:left="0"/>
        <w:jc w:val="both"/>
        <w:outlineLvl w:val="0"/>
        <w:rPr>
          <w:rFonts w:cs="David"/>
          <w:b/>
          <w:bCs/>
          <w:sz w:val="20"/>
          <w:szCs w:val="20"/>
          <w:u w:val="single"/>
          <w:rtl/>
        </w:rPr>
      </w:pPr>
    </w:p>
    <w:p w14:paraId="49D463C3" w14:textId="7CBCFE2E" w:rsidR="00316F7E" w:rsidRDefault="008F33A0" w:rsidP="00D44D15">
      <w:pPr>
        <w:pStyle w:val="1"/>
        <w:tabs>
          <w:tab w:val="left" w:pos="283"/>
        </w:tabs>
        <w:spacing w:line="360" w:lineRule="auto"/>
        <w:ind w:left="0"/>
        <w:jc w:val="both"/>
        <w:outlineLvl w:val="0"/>
        <w:rPr>
          <w:rFonts w:cs="David"/>
          <w:b/>
          <w:bCs/>
          <w:sz w:val="28"/>
          <w:szCs w:val="28"/>
          <w:u w:val="single"/>
          <w:rtl/>
        </w:rPr>
      </w:pPr>
      <w:r w:rsidRPr="00F80CBF">
        <w:rPr>
          <w:rFonts w:cs="David" w:hint="cs"/>
          <w:b/>
          <w:bCs/>
          <w:sz w:val="28"/>
          <w:szCs w:val="28"/>
          <w:u w:val="single"/>
          <w:rtl/>
        </w:rPr>
        <w:t>רקע</w:t>
      </w:r>
    </w:p>
    <w:p w14:paraId="1A696451" w14:textId="2DA5F0E4"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ביום 17 ביוני 2024 הגישה התביעה הצבאית כתב אישום נגד המשיב, המייחס לו עבירות בנשק (החזקה), לפי סעיף 144(א) לחוק העונשין, התשל"ז - 1977 עבירה של הוצאת נשק מרשות הצבא, לפי סעיף 78 לחוק השיפוט הצבאי, התשט"ו - 1955 ועבירה של התנהגות שאינה הולמת לפי סעיף 130 לחוק השיפוט הצבאי. באשר לעבירה של החזקת הנשק נטען בכתב האישום כי המשיב החזיק במועדים שאינם ידועים לתביעה ועד ליום 18 במאי 2024, בביתו שבמושב בלפוריה, כלי נשק מסוג רובה ציד דו קני קליבר 12 גייג' ללא רשות על פי דין. העבירה שעניינה הוצאת נשק מרשות הצבא, עניינה על פי הנטען, בכך שעת נמנה המשיב עם כוחות המילואים שלחמו בעזה במהלך מלחמת "חרבות ברזל", בחודש דצמבר 2023, הבחין במערום כלי נשק, וביניהם רובה סער מסוג קלצ'ניקוב ורובה סער נוסף ("קרלו"), נטל את כלי הנשק האמורים ואת המחסניות שהיו צמודות אליהם לחזקתו ללא רשות מפקדיו, הכניסם לתיקו ונסע עמו לביתו במושב. נטען, כי המשיב אפסן בביתו את כלי הנשק והחזיקם שם עד שנתפסו בחיפוש שערכה משטרת ישראל ביום 18 במאי 2024. העבירה שעניינה התנהגות שאינה הולמת יוחסה למשיב בגין מעשיו, כנטען, ולאור דרגתו ומעמדו. </w:t>
      </w:r>
    </w:p>
    <w:p w14:paraId="583A3E3B" w14:textId="08288CDA"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המשיב נעצר ביום 19 במאי 2024 ומעצרו הוארך מעת לעת לצרכי חקירה. טרם הגשת כתב האישום נדונה שאלת מעצרו פעמיים בבית דין זה: ערעור שהגישה התביעה על החלטת בית הדין קמא בדבר שחרורו בתנאים, בשל עיכוב שחל בחקירתו, התקבל ביום 31 במאי 2024 (ע"מ/56/24 </w:t>
      </w:r>
      <w:r>
        <w:rPr>
          <w:rFonts w:cs="David" w:hint="cs"/>
          <w:b/>
          <w:bCs/>
          <w:sz w:val="28"/>
          <w:szCs w:val="28"/>
          <w:rtl/>
        </w:rPr>
        <w:t>התובע הצבאי הראשי נ' רס"ם (מיל' י</w:t>
      </w:r>
      <w:r w:rsidR="00297476">
        <w:rPr>
          <w:rFonts w:cs="David" w:hint="cs"/>
          <w:b/>
          <w:bCs/>
          <w:sz w:val="28"/>
          <w:szCs w:val="28"/>
          <w:rtl/>
        </w:rPr>
        <w:t>'</w:t>
      </w:r>
      <w:r>
        <w:rPr>
          <w:rFonts w:cs="David" w:hint="cs"/>
          <w:b/>
          <w:bCs/>
          <w:sz w:val="28"/>
          <w:szCs w:val="28"/>
          <w:rtl/>
        </w:rPr>
        <w:t xml:space="preserve"> (</w:t>
      </w:r>
      <w:r>
        <w:rPr>
          <w:rFonts w:cs="David" w:hint="cs"/>
          <w:sz w:val="28"/>
          <w:szCs w:val="28"/>
          <w:rtl/>
        </w:rPr>
        <w:t xml:space="preserve">(2024). ערעור שהגיש המשיב על הארכת מעצרו בשלהי החקירה נוכח הצורך להמתין לתוצאות בדיקת מעבדת הנשק במטה הארצי נדחה ביום 13 ביוני 2024 (ע"מ/60/24 </w:t>
      </w:r>
      <w:r>
        <w:rPr>
          <w:rFonts w:cs="David" w:hint="cs"/>
          <w:b/>
          <w:bCs/>
          <w:sz w:val="28"/>
          <w:szCs w:val="28"/>
          <w:rtl/>
        </w:rPr>
        <w:t>רס"ם (מיל')</w:t>
      </w:r>
      <w:r>
        <w:rPr>
          <w:rFonts w:cs="David"/>
          <w:b/>
          <w:bCs/>
          <w:sz w:val="28"/>
          <w:szCs w:val="28"/>
        </w:rPr>
        <w:t xml:space="preserve"> </w:t>
      </w:r>
      <w:r>
        <w:rPr>
          <w:rFonts w:cs="David" w:hint="cs"/>
          <w:b/>
          <w:bCs/>
          <w:sz w:val="28"/>
          <w:szCs w:val="28"/>
          <w:rtl/>
        </w:rPr>
        <w:t>י</w:t>
      </w:r>
      <w:r w:rsidR="00297476">
        <w:rPr>
          <w:rFonts w:cs="David" w:hint="cs"/>
          <w:b/>
          <w:bCs/>
          <w:sz w:val="28"/>
          <w:szCs w:val="28"/>
          <w:rtl/>
        </w:rPr>
        <w:t>'</w:t>
      </w:r>
      <w:r>
        <w:rPr>
          <w:rFonts w:cs="David" w:hint="cs"/>
          <w:b/>
          <w:bCs/>
          <w:sz w:val="28"/>
          <w:szCs w:val="28"/>
          <w:rtl/>
        </w:rPr>
        <w:t xml:space="preserve"> נ' התובע הצבאי הראשי </w:t>
      </w:r>
      <w:r>
        <w:rPr>
          <w:rFonts w:cs="David" w:hint="cs"/>
          <w:sz w:val="28"/>
          <w:szCs w:val="28"/>
          <w:rtl/>
        </w:rPr>
        <w:t xml:space="preserve">(2024)). </w:t>
      </w:r>
    </w:p>
    <w:p w14:paraId="4D725039" w14:textId="77777777" w:rsidR="008F33A0" w:rsidRPr="007D1E4E" w:rsidRDefault="008F33A0" w:rsidP="008F33A0">
      <w:pPr>
        <w:pStyle w:val="1"/>
        <w:numPr>
          <w:ilvl w:val="0"/>
          <w:numId w:val="11"/>
        </w:numPr>
        <w:spacing w:line="360" w:lineRule="auto"/>
        <w:ind w:left="-2"/>
        <w:jc w:val="both"/>
        <w:outlineLvl w:val="0"/>
        <w:rPr>
          <w:rFonts w:cs="David"/>
          <w:sz w:val="28"/>
          <w:szCs w:val="28"/>
        </w:rPr>
      </w:pPr>
      <w:r w:rsidRPr="007D1E4E">
        <w:rPr>
          <w:rFonts w:cs="David" w:hint="cs"/>
          <w:sz w:val="28"/>
          <w:szCs w:val="28"/>
          <w:rtl/>
        </w:rPr>
        <w:t>עם הגשת כתב האישום הגישה התביעה הצבאית בקשה להארכת מעצרו הממשי של המשיב עד לתום ההליכים המשפטיים.</w:t>
      </w:r>
      <w:r>
        <w:rPr>
          <w:rFonts w:cs="David" w:hint="cs"/>
          <w:sz w:val="28"/>
          <w:szCs w:val="28"/>
          <w:rtl/>
        </w:rPr>
        <w:t xml:space="preserve"> על אף התנגדותה של התביעה הופנה המשיב </w:t>
      </w:r>
      <w:r w:rsidRPr="007D1E4E">
        <w:rPr>
          <w:rFonts w:cs="David" w:hint="cs"/>
          <w:sz w:val="28"/>
          <w:szCs w:val="28"/>
          <w:rtl/>
        </w:rPr>
        <w:t xml:space="preserve">ביום </w:t>
      </w:r>
      <w:r>
        <w:rPr>
          <w:rFonts w:cs="David" w:hint="cs"/>
          <w:sz w:val="28"/>
          <w:szCs w:val="28"/>
          <w:rtl/>
        </w:rPr>
        <w:t xml:space="preserve">24 ביוני </w:t>
      </w:r>
      <w:r w:rsidRPr="007D1E4E">
        <w:rPr>
          <w:rFonts w:cs="David" w:hint="cs"/>
          <w:sz w:val="28"/>
          <w:szCs w:val="28"/>
          <w:rtl/>
        </w:rPr>
        <w:t xml:space="preserve">2024, </w:t>
      </w:r>
      <w:r>
        <w:rPr>
          <w:rFonts w:cs="David" w:hint="cs"/>
          <w:sz w:val="28"/>
          <w:szCs w:val="28"/>
          <w:rtl/>
        </w:rPr>
        <w:t xml:space="preserve">לתסקיר מעצר של </w:t>
      </w:r>
      <w:r w:rsidRPr="007D1E4E">
        <w:rPr>
          <w:rFonts w:cs="David" w:hint="cs"/>
          <w:sz w:val="28"/>
          <w:szCs w:val="28"/>
          <w:rtl/>
        </w:rPr>
        <w:t xml:space="preserve">שירות המבחן למבוגרים. ביום </w:t>
      </w:r>
      <w:r>
        <w:rPr>
          <w:rFonts w:cs="David" w:hint="cs"/>
          <w:sz w:val="28"/>
          <w:szCs w:val="28"/>
          <w:rtl/>
        </w:rPr>
        <w:t>31</w:t>
      </w:r>
      <w:r w:rsidRPr="007D1E4E">
        <w:rPr>
          <w:rFonts w:cs="David" w:hint="cs"/>
          <w:sz w:val="28"/>
          <w:szCs w:val="28"/>
          <w:rtl/>
        </w:rPr>
        <w:t xml:space="preserve"> ב</w:t>
      </w:r>
      <w:r>
        <w:rPr>
          <w:rFonts w:cs="David" w:hint="cs"/>
          <w:sz w:val="28"/>
          <w:szCs w:val="28"/>
          <w:rtl/>
        </w:rPr>
        <w:t>יולי</w:t>
      </w:r>
      <w:r w:rsidRPr="007D1E4E">
        <w:rPr>
          <w:rFonts w:cs="David" w:hint="cs"/>
          <w:sz w:val="28"/>
          <w:szCs w:val="28"/>
          <w:rtl/>
        </w:rPr>
        <w:t xml:space="preserve"> 2024 הוגש לבית הדין תסקיר ובו המלצה לשחרר </w:t>
      </w:r>
      <w:r>
        <w:rPr>
          <w:rFonts w:cs="David" w:hint="cs"/>
          <w:sz w:val="28"/>
          <w:szCs w:val="28"/>
          <w:rtl/>
        </w:rPr>
        <w:t xml:space="preserve">את </w:t>
      </w:r>
      <w:r w:rsidRPr="007D1E4E">
        <w:rPr>
          <w:rFonts w:cs="David" w:hint="cs"/>
          <w:sz w:val="28"/>
          <w:szCs w:val="28"/>
          <w:rtl/>
        </w:rPr>
        <w:t>המשיב מ</w:t>
      </w:r>
      <w:r>
        <w:rPr>
          <w:rFonts w:cs="David" w:hint="cs"/>
          <w:sz w:val="28"/>
          <w:szCs w:val="28"/>
          <w:rtl/>
        </w:rPr>
        <w:t>ה</w:t>
      </w:r>
      <w:r w:rsidRPr="007D1E4E">
        <w:rPr>
          <w:rFonts w:cs="David" w:hint="cs"/>
          <w:sz w:val="28"/>
          <w:szCs w:val="28"/>
          <w:rtl/>
        </w:rPr>
        <w:t>מעצר</w:t>
      </w:r>
      <w:r>
        <w:rPr>
          <w:rFonts w:cs="David" w:hint="cs"/>
          <w:sz w:val="28"/>
          <w:szCs w:val="28"/>
          <w:rtl/>
        </w:rPr>
        <w:t xml:space="preserve"> לחלופת מעצר בית, </w:t>
      </w:r>
      <w:r w:rsidRPr="007D1E4E">
        <w:rPr>
          <w:rFonts w:cs="David" w:hint="cs"/>
          <w:sz w:val="28"/>
          <w:szCs w:val="28"/>
          <w:rtl/>
        </w:rPr>
        <w:t xml:space="preserve">בפיקוח בני משפחתו. לאחר שמיעת </w:t>
      </w:r>
      <w:r>
        <w:rPr>
          <w:rFonts w:cs="David" w:hint="cs"/>
          <w:sz w:val="28"/>
          <w:szCs w:val="28"/>
          <w:rtl/>
        </w:rPr>
        <w:t>עדויות המפקחים המוצעים</w:t>
      </w:r>
      <w:r w:rsidRPr="007D1E4E">
        <w:rPr>
          <w:rFonts w:cs="David" w:hint="cs"/>
          <w:sz w:val="28"/>
          <w:szCs w:val="28"/>
          <w:rtl/>
        </w:rPr>
        <w:t xml:space="preserve">, החליט בית דין </w:t>
      </w:r>
      <w:r>
        <w:rPr>
          <w:rFonts w:cs="David" w:hint="cs"/>
          <w:sz w:val="28"/>
          <w:szCs w:val="28"/>
          <w:rtl/>
        </w:rPr>
        <w:t xml:space="preserve">קמא </w:t>
      </w:r>
      <w:r w:rsidRPr="007D1E4E">
        <w:rPr>
          <w:rFonts w:cs="David" w:hint="cs"/>
          <w:sz w:val="28"/>
          <w:szCs w:val="28"/>
          <w:rtl/>
        </w:rPr>
        <w:t xml:space="preserve">לאמץ את המלצות התסקיר והורה על שחרורו בתנאים מגבילים הכוללים מעצר בית מלא </w:t>
      </w:r>
      <w:r>
        <w:rPr>
          <w:rFonts w:cs="David" w:hint="cs"/>
          <w:sz w:val="28"/>
          <w:szCs w:val="28"/>
          <w:rtl/>
        </w:rPr>
        <w:t xml:space="preserve">בבית אחותו של המשיב במושב </w:t>
      </w:r>
      <w:r>
        <w:rPr>
          <w:rFonts w:cs="David" w:hint="cs"/>
          <w:sz w:val="28"/>
          <w:szCs w:val="28"/>
          <w:rtl/>
        </w:rPr>
        <w:lastRenderedPageBreak/>
        <w:t xml:space="preserve">בלפוריה, בפיקוח אחותו, גיסו, בן דודו של אביו ואחיו; מניעת כל גישה לנשק; הפקדת דרכון והוצאת הכללה; הפקדה עצמית בסך 10,000 ש"ח; ערבות צד ג' בשיעור 30,000 ש"ח להבטחת התנאים המגבילים והתייצבות לישיבות בית הדין; חתימה על התחייבות להתייצבות לכל ישיבה של בית הדין; ופיקוח שירות המבחן במהלך תקופת שהותו בתנאים מגבילים עד לתום ההליכים המשפטיים. </w:t>
      </w:r>
      <w:r w:rsidRPr="007D1E4E">
        <w:rPr>
          <w:rFonts w:cs="David" w:hint="cs"/>
          <w:sz w:val="28"/>
          <w:szCs w:val="28"/>
          <w:rtl/>
        </w:rPr>
        <w:t xml:space="preserve">התביעה לא השלימה עם החלטה זו ומכאן הערעור שבפניי.   </w:t>
      </w:r>
    </w:p>
    <w:p w14:paraId="357C7F09" w14:textId="77777777" w:rsidR="008F33A0" w:rsidRPr="00A645AE" w:rsidRDefault="008F33A0" w:rsidP="008F33A0">
      <w:pPr>
        <w:pStyle w:val="1"/>
        <w:numPr>
          <w:ilvl w:val="0"/>
          <w:numId w:val="11"/>
        </w:numPr>
        <w:spacing w:line="360" w:lineRule="auto"/>
        <w:ind w:left="-2"/>
        <w:jc w:val="both"/>
        <w:outlineLvl w:val="0"/>
        <w:rPr>
          <w:rFonts w:cs="David"/>
          <w:sz w:val="28"/>
          <w:szCs w:val="28"/>
        </w:rPr>
      </w:pPr>
      <w:r w:rsidRPr="00A645AE">
        <w:rPr>
          <w:rFonts w:cs="David" w:hint="cs"/>
          <w:sz w:val="28"/>
          <w:szCs w:val="28"/>
          <w:rtl/>
        </w:rPr>
        <w:t xml:space="preserve">כאמור, לאחר שמיעת טיעוני הצדדים ועיון </w:t>
      </w:r>
      <w:r>
        <w:rPr>
          <w:rFonts w:cs="David" w:hint="cs"/>
          <w:sz w:val="28"/>
          <w:szCs w:val="28"/>
          <w:rtl/>
        </w:rPr>
        <w:t xml:space="preserve">מדוקדק </w:t>
      </w:r>
      <w:r w:rsidRPr="00A645AE">
        <w:rPr>
          <w:rFonts w:cs="David" w:hint="cs"/>
          <w:sz w:val="28"/>
          <w:szCs w:val="28"/>
          <w:rtl/>
        </w:rPr>
        <w:t>בחומר החקירה מצאתי</w:t>
      </w:r>
      <w:r>
        <w:rPr>
          <w:rFonts w:cs="David" w:hint="cs"/>
          <w:sz w:val="28"/>
          <w:szCs w:val="28"/>
          <w:rtl/>
        </w:rPr>
        <w:t xml:space="preserve"> כי יש מקום להתערב בהחלטת בית הדין קמא ולהורות כי המשיב ייוותר במעצר לתקופה קצובה. </w:t>
      </w:r>
    </w:p>
    <w:p w14:paraId="04225E6E" w14:textId="77777777" w:rsidR="008F33A0" w:rsidRPr="00D44D15" w:rsidRDefault="008F33A0" w:rsidP="008F33A0">
      <w:pPr>
        <w:pStyle w:val="1"/>
        <w:spacing w:line="360" w:lineRule="auto"/>
        <w:ind w:left="-2"/>
        <w:jc w:val="both"/>
        <w:outlineLvl w:val="0"/>
        <w:rPr>
          <w:rFonts w:cs="David"/>
          <w:b/>
          <w:bCs/>
          <w:sz w:val="20"/>
          <w:szCs w:val="20"/>
          <w:u w:val="single"/>
          <w:rtl/>
        </w:rPr>
      </w:pPr>
    </w:p>
    <w:p w14:paraId="358D537D" w14:textId="77777777" w:rsidR="008F33A0" w:rsidRPr="003270AA" w:rsidRDefault="008F33A0" w:rsidP="008F33A0">
      <w:pPr>
        <w:pStyle w:val="1"/>
        <w:spacing w:line="360" w:lineRule="auto"/>
        <w:ind w:left="-2"/>
        <w:jc w:val="both"/>
        <w:outlineLvl w:val="0"/>
        <w:rPr>
          <w:rFonts w:cs="David"/>
          <w:b/>
          <w:bCs/>
          <w:sz w:val="28"/>
          <w:szCs w:val="28"/>
          <w:u w:val="single"/>
          <w:rtl/>
        </w:rPr>
      </w:pPr>
      <w:r>
        <w:rPr>
          <w:rFonts w:cs="David" w:hint="cs"/>
          <w:b/>
          <w:bCs/>
          <w:sz w:val="28"/>
          <w:szCs w:val="28"/>
          <w:u w:val="single"/>
          <w:rtl/>
        </w:rPr>
        <w:t xml:space="preserve">התשתית הראייתית  </w:t>
      </w:r>
    </w:p>
    <w:p w14:paraId="09C8BEBA" w14:textId="77777777" w:rsidR="008F33A0" w:rsidRPr="00CF4DC2" w:rsidRDefault="008F33A0" w:rsidP="008F33A0">
      <w:pPr>
        <w:pStyle w:val="1"/>
        <w:spacing w:line="360" w:lineRule="auto"/>
        <w:ind w:left="-2"/>
        <w:jc w:val="both"/>
        <w:outlineLvl w:val="0"/>
        <w:rPr>
          <w:rFonts w:cs="David"/>
          <w:sz w:val="10"/>
          <w:szCs w:val="10"/>
        </w:rPr>
      </w:pPr>
    </w:p>
    <w:p w14:paraId="754990A7" w14:textId="3ABFCCCE" w:rsidR="008F33A0" w:rsidRPr="00A042B9"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 תשתית הראיות שלכאורה, אשר בבסיס כתב האישום, מוסכמת בעיקרה, אולם קיימת מחלוקת בין הצדדים באשר לראיות מסוימות; ובעיקר ביחס לפרשנותן של ראיות אלה, בכל הנוגע לשאלת המניע של המשיב בהוצאת הנשק -  עניין שיש בו כדי להשליך על בחינת עילות המעצר.  </w:t>
      </w:r>
    </w:p>
    <w:p w14:paraId="223F4185" w14:textId="77777777" w:rsidR="008F33A0" w:rsidRDefault="008F33A0" w:rsidP="008F33A0">
      <w:pPr>
        <w:pStyle w:val="1"/>
        <w:numPr>
          <w:ilvl w:val="0"/>
          <w:numId w:val="11"/>
        </w:numPr>
        <w:spacing w:line="360" w:lineRule="auto"/>
        <w:ind w:left="-2"/>
        <w:jc w:val="both"/>
        <w:outlineLvl w:val="0"/>
        <w:rPr>
          <w:rFonts w:cs="David"/>
          <w:sz w:val="28"/>
          <w:szCs w:val="28"/>
        </w:rPr>
      </w:pPr>
      <w:r w:rsidRPr="00846012">
        <w:rPr>
          <w:rFonts w:cs="David" w:hint="cs"/>
          <w:sz w:val="28"/>
          <w:szCs w:val="28"/>
          <w:rtl/>
        </w:rPr>
        <w:t xml:space="preserve"> </w:t>
      </w:r>
      <w:r>
        <w:rPr>
          <w:rFonts w:cs="David" w:hint="cs"/>
          <w:sz w:val="28"/>
          <w:szCs w:val="28"/>
          <w:rtl/>
        </w:rPr>
        <w:t xml:space="preserve">מהראיות שנאספו עולה, כי </w:t>
      </w:r>
      <w:r w:rsidRPr="00846012">
        <w:rPr>
          <w:rFonts w:cs="David" w:hint="cs"/>
          <w:sz w:val="28"/>
          <w:szCs w:val="28"/>
          <w:rtl/>
        </w:rPr>
        <w:t>המשיב, בן 36, נשוי ואב לשלושה ילדים קטנים,</w:t>
      </w:r>
      <w:r>
        <w:rPr>
          <w:rFonts w:cs="David" w:hint="cs"/>
          <w:sz w:val="28"/>
          <w:szCs w:val="28"/>
          <w:rtl/>
        </w:rPr>
        <w:t xml:space="preserve"> נטול עבר פלילי, שירת </w:t>
      </w:r>
      <w:r w:rsidRPr="00846012">
        <w:rPr>
          <w:rFonts w:cs="David" w:hint="cs"/>
          <w:sz w:val="28"/>
          <w:szCs w:val="28"/>
          <w:rtl/>
        </w:rPr>
        <w:t>כלוחם בשירותו הסדיר ובשירות המילואים</w:t>
      </w:r>
      <w:r>
        <w:rPr>
          <w:rFonts w:cs="David" w:hint="cs"/>
          <w:sz w:val="28"/>
          <w:szCs w:val="28"/>
          <w:rtl/>
        </w:rPr>
        <w:t>.</w:t>
      </w:r>
      <w:r w:rsidRPr="00846012">
        <w:rPr>
          <w:rFonts w:cs="David" w:hint="cs"/>
          <w:sz w:val="28"/>
          <w:szCs w:val="28"/>
          <w:rtl/>
        </w:rPr>
        <w:t xml:space="preserve">  ב-7 באוקטובר </w:t>
      </w:r>
      <w:r>
        <w:rPr>
          <w:rFonts w:cs="David" w:hint="cs"/>
          <w:sz w:val="28"/>
          <w:szCs w:val="28"/>
          <w:rtl/>
        </w:rPr>
        <w:t xml:space="preserve">עם פרוץ מלחמת "חרבות ברזל", הצטרף המשיב </w:t>
      </w:r>
      <w:r w:rsidRPr="00846012">
        <w:rPr>
          <w:rFonts w:cs="David" w:hint="cs"/>
          <w:sz w:val="28"/>
          <w:szCs w:val="28"/>
          <w:rtl/>
        </w:rPr>
        <w:t>לכוחות המילואים הלוחמים ב</w:t>
      </w:r>
      <w:r>
        <w:rPr>
          <w:rFonts w:cs="David" w:hint="cs"/>
          <w:sz w:val="28"/>
          <w:szCs w:val="28"/>
          <w:rtl/>
        </w:rPr>
        <w:t xml:space="preserve">רצועת </w:t>
      </w:r>
      <w:r w:rsidRPr="00846012">
        <w:rPr>
          <w:rFonts w:cs="David" w:hint="cs"/>
          <w:sz w:val="28"/>
          <w:szCs w:val="28"/>
          <w:rtl/>
        </w:rPr>
        <w:t>עזה</w:t>
      </w:r>
      <w:r>
        <w:rPr>
          <w:rFonts w:cs="David" w:hint="cs"/>
          <w:sz w:val="28"/>
          <w:szCs w:val="28"/>
          <w:rtl/>
        </w:rPr>
        <w:t>, כ</w:t>
      </w:r>
      <w:r w:rsidRPr="00846012">
        <w:rPr>
          <w:rFonts w:cs="David" w:hint="cs"/>
          <w:sz w:val="28"/>
          <w:szCs w:val="28"/>
          <w:rtl/>
        </w:rPr>
        <w:t xml:space="preserve">חלק מהחפ"ק של מפקד חטיבת </w:t>
      </w:r>
      <w:r>
        <w:rPr>
          <w:rFonts w:cs="David" w:hint="cs"/>
          <w:sz w:val="28"/>
          <w:szCs w:val="28"/>
          <w:rtl/>
        </w:rPr>
        <w:t>קומנדו ב</w:t>
      </w:r>
      <w:r w:rsidRPr="00846012">
        <w:rPr>
          <w:rFonts w:cs="David" w:hint="cs"/>
          <w:sz w:val="28"/>
          <w:szCs w:val="28"/>
          <w:rtl/>
        </w:rPr>
        <w:t>מילואים</w:t>
      </w:r>
      <w:r>
        <w:rPr>
          <w:rFonts w:cs="David" w:hint="cs"/>
          <w:sz w:val="28"/>
          <w:szCs w:val="28"/>
          <w:rtl/>
        </w:rPr>
        <w:t>.</w:t>
      </w:r>
      <w:r w:rsidRPr="00846012">
        <w:rPr>
          <w:rFonts w:cs="David" w:hint="cs"/>
          <w:sz w:val="28"/>
          <w:szCs w:val="28"/>
          <w:rtl/>
        </w:rPr>
        <w:t xml:space="preserve"> במסגרת תפקידו גם סייע לאבטחת שיירות המוליכות אספקה ל</w:t>
      </w:r>
      <w:r>
        <w:rPr>
          <w:rFonts w:cs="David" w:hint="cs"/>
          <w:sz w:val="28"/>
          <w:szCs w:val="28"/>
          <w:rtl/>
        </w:rPr>
        <w:t>לוחמים</w:t>
      </w:r>
      <w:r w:rsidRPr="00846012">
        <w:rPr>
          <w:rFonts w:cs="David" w:hint="cs"/>
          <w:sz w:val="28"/>
          <w:szCs w:val="28"/>
          <w:rtl/>
        </w:rPr>
        <w:t xml:space="preserve">. </w:t>
      </w:r>
      <w:r>
        <w:rPr>
          <w:rFonts w:cs="David" w:hint="cs"/>
          <w:sz w:val="28"/>
          <w:szCs w:val="28"/>
          <w:rtl/>
        </w:rPr>
        <w:t xml:space="preserve">מעדויות מפקדיו של המשיב עלה, כי </w:t>
      </w:r>
      <w:r w:rsidRPr="00846012">
        <w:rPr>
          <w:rFonts w:cs="David" w:hint="cs"/>
          <w:sz w:val="28"/>
          <w:szCs w:val="28"/>
          <w:rtl/>
        </w:rPr>
        <w:t xml:space="preserve">במסגרת תפקידו </w:t>
      </w:r>
      <w:r>
        <w:rPr>
          <w:rFonts w:cs="David" w:hint="cs"/>
          <w:sz w:val="28"/>
          <w:szCs w:val="28"/>
          <w:rtl/>
        </w:rPr>
        <w:t xml:space="preserve">הייתה לו </w:t>
      </w:r>
      <w:r w:rsidRPr="00846012">
        <w:rPr>
          <w:rFonts w:cs="David" w:hint="cs"/>
          <w:sz w:val="28"/>
          <w:szCs w:val="28"/>
          <w:rtl/>
        </w:rPr>
        <w:t>גישה ל</w:t>
      </w:r>
      <w:r>
        <w:rPr>
          <w:rFonts w:cs="David" w:hint="cs"/>
          <w:sz w:val="28"/>
          <w:szCs w:val="28"/>
          <w:rtl/>
        </w:rPr>
        <w:t xml:space="preserve">מה שכונה </w:t>
      </w:r>
      <w:r w:rsidRPr="00846012">
        <w:rPr>
          <w:rFonts w:cs="David" w:hint="cs"/>
          <w:sz w:val="28"/>
          <w:szCs w:val="28"/>
          <w:rtl/>
        </w:rPr>
        <w:t>"בית המח"ט" ב</w:t>
      </w:r>
      <w:r>
        <w:rPr>
          <w:rFonts w:cs="David" w:hint="cs"/>
          <w:sz w:val="28"/>
          <w:szCs w:val="28"/>
          <w:rtl/>
        </w:rPr>
        <w:t xml:space="preserve">אזור </w:t>
      </w:r>
      <w:r w:rsidRPr="00846012">
        <w:rPr>
          <w:rFonts w:cs="David" w:hint="cs"/>
          <w:sz w:val="28"/>
          <w:szCs w:val="28"/>
          <w:rtl/>
        </w:rPr>
        <w:t>ג'באליה, שם נשמרו מצבורי נשק שהוחרם במסגרת הלחימה.</w:t>
      </w:r>
    </w:p>
    <w:p w14:paraId="6FC13FB0" w14:textId="77777777" w:rsidR="008F33A0" w:rsidRPr="00846012"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 </w:t>
      </w:r>
      <w:r w:rsidRPr="00846012">
        <w:rPr>
          <w:rFonts w:cs="David" w:hint="cs"/>
          <w:sz w:val="28"/>
          <w:szCs w:val="28"/>
          <w:rtl/>
        </w:rPr>
        <w:t xml:space="preserve">המשיב </w:t>
      </w:r>
      <w:r>
        <w:rPr>
          <w:rFonts w:cs="David" w:hint="cs"/>
          <w:sz w:val="28"/>
          <w:szCs w:val="28"/>
          <w:rtl/>
        </w:rPr>
        <w:t xml:space="preserve">סיים </w:t>
      </w:r>
      <w:r w:rsidRPr="00846012">
        <w:rPr>
          <w:rFonts w:cs="David" w:hint="cs"/>
          <w:sz w:val="28"/>
          <w:szCs w:val="28"/>
          <w:rtl/>
        </w:rPr>
        <w:t xml:space="preserve">בחודש ינואר 2024 </w:t>
      </w:r>
      <w:r>
        <w:rPr>
          <w:rFonts w:cs="David" w:hint="cs"/>
          <w:sz w:val="28"/>
          <w:szCs w:val="28"/>
          <w:rtl/>
        </w:rPr>
        <w:t xml:space="preserve">את </w:t>
      </w:r>
      <w:r w:rsidRPr="00846012">
        <w:rPr>
          <w:rFonts w:cs="David" w:hint="cs"/>
          <w:sz w:val="28"/>
          <w:szCs w:val="28"/>
          <w:rtl/>
        </w:rPr>
        <w:t xml:space="preserve">שירות המילואים, ולפי הודעה שנשלחה </w:t>
      </w:r>
      <w:r>
        <w:rPr>
          <w:rFonts w:cs="David" w:hint="cs"/>
          <w:sz w:val="28"/>
          <w:szCs w:val="28"/>
          <w:rtl/>
        </w:rPr>
        <w:t xml:space="preserve">בראשית מארס 2024 </w:t>
      </w:r>
      <w:r w:rsidRPr="00846012">
        <w:rPr>
          <w:rFonts w:cs="David" w:hint="cs"/>
          <w:sz w:val="28"/>
          <w:szCs w:val="28"/>
          <w:rtl/>
        </w:rPr>
        <w:t>ללוחמי החפ"ק, אשר הוצגה על ידי ההגנה, צפוי היה לשוב ל</w:t>
      </w:r>
      <w:r>
        <w:rPr>
          <w:rFonts w:cs="David" w:hint="cs"/>
          <w:sz w:val="28"/>
          <w:szCs w:val="28"/>
          <w:rtl/>
        </w:rPr>
        <w:t xml:space="preserve">פרק נוסף של </w:t>
      </w:r>
      <w:r w:rsidRPr="00846012">
        <w:rPr>
          <w:rFonts w:cs="David" w:hint="cs"/>
          <w:sz w:val="28"/>
          <w:szCs w:val="28"/>
          <w:rtl/>
        </w:rPr>
        <w:t>שירות המילואים ב</w:t>
      </w:r>
      <w:r>
        <w:rPr>
          <w:rFonts w:cs="David" w:hint="cs"/>
          <w:sz w:val="28"/>
          <w:szCs w:val="28"/>
          <w:rtl/>
        </w:rPr>
        <w:t xml:space="preserve">אביב - קיץ 2024. עם זאת, בפועל, </w:t>
      </w:r>
      <w:r w:rsidRPr="00846012">
        <w:rPr>
          <w:rFonts w:cs="David" w:hint="cs"/>
          <w:sz w:val="28"/>
          <w:szCs w:val="28"/>
          <w:rtl/>
        </w:rPr>
        <w:t>לא נקרא לשירות מילואים נוסף עד ל</w:t>
      </w:r>
      <w:r>
        <w:rPr>
          <w:rFonts w:cs="David" w:hint="cs"/>
          <w:sz w:val="28"/>
          <w:szCs w:val="28"/>
          <w:rtl/>
        </w:rPr>
        <w:t xml:space="preserve">מועד </w:t>
      </w:r>
      <w:r w:rsidRPr="00846012">
        <w:rPr>
          <w:rFonts w:cs="David" w:hint="cs"/>
          <w:sz w:val="28"/>
          <w:szCs w:val="28"/>
          <w:rtl/>
        </w:rPr>
        <w:t xml:space="preserve">עריכת החיפוש בביתו. </w:t>
      </w:r>
    </w:p>
    <w:p w14:paraId="63B541DD"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 במהלך החקירה נחשפה העובדה, כי המידע שהוביל לחיפוש שנערך בביתו של המשיב על ידי שוטרי משטרת ישראל, ביום 18 במאי 2024, מקורו בדברים שמסר מי שהיה בעבר חברו של המשיב, ברק, שהוא אחד מעדי התביעה המנויים בכתב האישום, וזאת כפי שיבואר בהמשכם של דברים. באותה עת שהה המשיב בדרום הארץ, במסגרת עבודתו; וכשהתקשרו אליו השוטרים לעדכנו כי עתיד להיערך בביתו חיפוש בגין חשד להחזקת אמצעי לחימה ניתק את השיחה ולא השיב לשיחות נוספות מהם. אל השוטרים הצטרף אפוא אביו של המשיב, המתגורר בבית סמוך. בחיפוש אותרו שלושת כלי הנשק שנמנו בכתב האישום, שהיו מונחים בארון מעל המקרר במטבח ביתו של המשיב. השוטרים יצרו לבסוף קשר עם המשיב באמצעות אביו, ובשיחה שערך עמם טען כי את רובה הציד הוא מחזיק בהיתר וכי את כלי </w:t>
      </w:r>
      <w:r>
        <w:rPr>
          <w:rFonts w:cs="David" w:hint="cs"/>
          <w:sz w:val="28"/>
          <w:szCs w:val="28"/>
          <w:rtl/>
        </w:rPr>
        <w:lastRenderedPageBreak/>
        <w:t xml:space="preserve">הנשק הנוספים קיבל "במתנה" מהצבא. עוד באותו היום התייצב המשיב לחקירה שאליה נקרא, ושבמהלכה נעצר. </w:t>
      </w:r>
    </w:p>
    <w:p w14:paraId="3BACB019" w14:textId="77777777" w:rsidR="008F33A0" w:rsidRDefault="008F33A0" w:rsidP="008F33A0">
      <w:pPr>
        <w:pStyle w:val="1"/>
        <w:numPr>
          <w:ilvl w:val="0"/>
          <w:numId w:val="11"/>
        </w:numPr>
        <w:spacing w:line="360" w:lineRule="auto"/>
        <w:ind w:left="-2"/>
        <w:jc w:val="both"/>
        <w:outlineLvl w:val="0"/>
        <w:rPr>
          <w:rFonts w:cs="David"/>
          <w:sz w:val="28"/>
          <w:szCs w:val="28"/>
        </w:rPr>
      </w:pPr>
      <w:r w:rsidRPr="00AA0DCF">
        <w:rPr>
          <w:rFonts w:cs="David" w:hint="cs"/>
          <w:sz w:val="28"/>
          <w:szCs w:val="28"/>
          <w:rtl/>
        </w:rPr>
        <w:t xml:space="preserve">טענתו של המשיב לכל אורך חקירתו, במספר אמרות שנגבו ממנו, הייתה כי כלי הנשק ה"צבאיים" ניטלו על ידיו בשוגג. לדבריו, במסגרת תפקידו התבקשו הוא ולוחמים נוספים, עת יצאו מרצועת עזה לקחת עמם פרטי שלל שונים, לרבות כלי נשק, לבסיס החטיבה בשפלה. שני כלי הנשק הועברו אליו על ידי אחד מבעלי התפקידים באזור, </w:t>
      </w:r>
      <w:r>
        <w:rPr>
          <w:rFonts w:cs="David" w:hint="cs"/>
          <w:sz w:val="28"/>
          <w:szCs w:val="28"/>
          <w:rtl/>
        </w:rPr>
        <w:t xml:space="preserve">רס"ן (מיל') </w:t>
      </w:r>
      <w:r w:rsidRPr="00AA0DCF">
        <w:rPr>
          <w:rFonts w:cs="David" w:hint="cs"/>
          <w:sz w:val="28"/>
          <w:szCs w:val="28"/>
          <w:rtl/>
        </w:rPr>
        <w:t>אמיתי, שעסק בזיכוי פרטי שלל, ונמסר לו כי הם נבדקו ונמצא כי הם "תקולים", וכי עברו הליך של זיכוי. בהעדר כלי קיבול י</w:t>
      </w:r>
      <w:r>
        <w:rPr>
          <w:rFonts w:cs="David" w:hint="cs"/>
          <w:sz w:val="28"/>
          <w:szCs w:val="28"/>
          <w:rtl/>
        </w:rPr>
        <w:t>י</w:t>
      </w:r>
      <w:r w:rsidRPr="00AA0DCF">
        <w:rPr>
          <w:rFonts w:cs="David" w:hint="cs"/>
          <w:sz w:val="28"/>
          <w:szCs w:val="28"/>
          <w:rtl/>
        </w:rPr>
        <w:t xml:space="preserve">עודיים הכניס את כלי הנשק לתיקים גדולים שבהם נשמרו גם חפצים אישיים שלו. הציוד הרב שנטלו עמם נפרק על ידי המשיב וחבריו בשעות לילה בבסיס החטיבה. המשיב נטל עמו את התיקים ובהם חפציו האישיים, מבלי שזכר מה תכולתם נוכח העייפות הרבה שבה היה שרוי. לאחר חזרתו לביתו שב המשיב גם לפעילות נוספת ברצועת עזה, ורק לאחר כשבועיים החל לפרוק את הציוד שאותו החזיר משירות המילואים, אז מצא את שני כלי הנשק בין חפציו. </w:t>
      </w:r>
      <w:r>
        <w:rPr>
          <w:rFonts w:cs="David" w:hint="cs"/>
          <w:sz w:val="28"/>
          <w:szCs w:val="28"/>
          <w:rtl/>
        </w:rPr>
        <w:t xml:space="preserve">הוא </w:t>
      </w:r>
      <w:r w:rsidRPr="00AA0DCF">
        <w:rPr>
          <w:rFonts w:cs="David" w:hint="cs"/>
          <w:sz w:val="28"/>
          <w:szCs w:val="28"/>
          <w:rtl/>
        </w:rPr>
        <w:t xml:space="preserve">הניחם בארון במקום גבוה כדי למנוע גישה אליהם, ובהמשך העבירם לארון חדש שבנה. </w:t>
      </w:r>
    </w:p>
    <w:p w14:paraId="6AEC8FBD" w14:textId="77777777" w:rsidR="008F33A0" w:rsidRPr="00AA0DCF" w:rsidRDefault="008F33A0" w:rsidP="008F33A0">
      <w:pPr>
        <w:pStyle w:val="1"/>
        <w:numPr>
          <w:ilvl w:val="0"/>
          <w:numId w:val="11"/>
        </w:numPr>
        <w:spacing w:line="360" w:lineRule="auto"/>
        <w:ind w:left="-2"/>
        <w:jc w:val="both"/>
        <w:outlineLvl w:val="0"/>
        <w:rPr>
          <w:rFonts w:cs="David"/>
          <w:sz w:val="28"/>
          <w:szCs w:val="28"/>
        </w:rPr>
      </w:pPr>
      <w:r w:rsidRPr="00AA0DCF">
        <w:rPr>
          <w:rFonts w:cs="David" w:hint="cs"/>
          <w:sz w:val="28"/>
          <w:szCs w:val="28"/>
          <w:rtl/>
        </w:rPr>
        <w:t>לטענת</w:t>
      </w:r>
      <w:r>
        <w:rPr>
          <w:rFonts w:cs="David" w:hint="cs"/>
          <w:sz w:val="28"/>
          <w:szCs w:val="28"/>
          <w:rtl/>
        </w:rPr>
        <w:t xml:space="preserve"> המשיב, הוא </w:t>
      </w:r>
      <w:r w:rsidRPr="00AA0DCF">
        <w:rPr>
          <w:rFonts w:cs="David" w:hint="cs"/>
          <w:sz w:val="28"/>
          <w:szCs w:val="28"/>
          <w:rtl/>
        </w:rPr>
        <w:t xml:space="preserve">לא פנה למשטרת ישראל כשגילה את דבר הימצאות כלי הנשק בתיקו שכן סבר כי יש להשיבם לרשות הצבא. לצד זאת לא היה בפי המשיב הסבר נהיר מדוע לא פנה למפקדיו. לטענתו, "זה לא היה בראש שלי" לאחר ששב משירות מילואים ארוך ואינטנסיבי; והוא תכנן להשיב את כלי הנשק לצה"ל במסגרת שירות המילואים הקרוב, שהניח כי יתקיים באביב 2024. כן ציין, כי לא ראה קושי בכך שכלי הנשק הוחזקו בארון שאינו נעול, בשים לב לכך שהוטמנו במקום גבוה ונסתר, בעוד הבית עצמו נעול. </w:t>
      </w:r>
    </w:p>
    <w:p w14:paraId="10532BA4" w14:textId="77777777" w:rsidR="008F33A0" w:rsidRDefault="008F33A0" w:rsidP="008F33A0">
      <w:pPr>
        <w:pStyle w:val="1"/>
        <w:numPr>
          <w:ilvl w:val="0"/>
          <w:numId w:val="11"/>
        </w:numPr>
        <w:spacing w:line="360" w:lineRule="auto"/>
        <w:ind w:left="-2"/>
        <w:jc w:val="both"/>
        <w:outlineLvl w:val="0"/>
        <w:rPr>
          <w:rFonts w:cs="David"/>
          <w:sz w:val="28"/>
          <w:szCs w:val="28"/>
        </w:rPr>
      </w:pPr>
      <w:r w:rsidRPr="00F8463F">
        <w:rPr>
          <w:rFonts w:cs="David" w:hint="cs"/>
          <w:sz w:val="28"/>
          <w:szCs w:val="28"/>
          <w:rtl/>
        </w:rPr>
        <w:t xml:space="preserve">מעדויות לוחמים ומפקדים נוספים ששירתו עם המשיב, </w:t>
      </w:r>
      <w:r>
        <w:rPr>
          <w:rFonts w:cs="David" w:hint="cs"/>
          <w:sz w:val="28"/>
          <w:szCs w:val="28"/>
          <w:rtl/>
        </w:rPr>
        <w:t>לרבות עדותו של רס"ן (מיל')</w:t>
      </w:r>
      <w:r>
        <w:rPr>
          <w:rFonts w:cs="David"/>
          <w:sz w:val="28"/>
          <w:szCs w:val="28"/>
        </w:rPr>
        <w:t xml:space="preserve"> </w:t>
      </w:r>
      <w:r>
        <w:rPr>
          <w:rFonts w:cs="David" w:hint="cs"/>
          <w:sz w:val="28"/>
          <w:szCs w:val="28"/>
          <w:rtl/>
        </w:rPr>
        <w:t xml:space="preserve">אמיתי, </w:t>
      </w:r>
      <w:r w:rsidRPr="00F8463F">
        <w:rPr>
          <w:rFonts w:cs="David" w:hint="cs"/>
          <w:sz w:val="28"/>
          <w:szCs w:val="28"/>
          <w:rtl/>
        </w:rPr>
        <w:t xml:space="preserve">עלה כי סוגיית הזיכוי והעברת ציוד </w:t>
      </w:r>
      <w:r>
        <w:rPr>
          <w:rFonts w:cs="David" w:hint="cs"/>
          <w:sz w:val="28"/>
          <w:szCs w:val="28"/>
          <w:rtl/>
        </w:rPr>
        <w:t xml:space="preserve">שלל </w:t>
      </w:r>
      <w:r w:rsidRPr="00F8463F">
        <w:rPr>
          <w:rFonts w:cs="David" w:hint="cs"/>
          <w:sz w:val="28"/>
          <w:szCs w:val="28"/>
          <w:rtl/>
        </w:rPr>
        <w:t>שנתפס ברצועת עזה</w:t>
      </w:r>
      <w:r>
        <w:rPr>
          <w:rFonts w:cs="David" w:hint="cs"/>
          <w:sz w:val="28"/>
          <w:szCs w:val="28"/>
          <w:rtl/>
        </w:rPr>
        <w:t xml:space="preserve"> אל מדינת ישראל</w:t>
      </w:r>
      <w:r w:rsidRPr="00F8463F">
        <w:rPr>
          <w:rFonts w:cs="David" w:hint="cs"/>
          <w:sz w:val="28"/>
          <w:szCs w:val="28"/>
          <w:rtl/>
        </w:rPr>
        <w:t>, לרבות כלי נשק</w:t>
      </w:r>
      <w:r>
        <w:rPr>
          <w:rFonts w:cs="David" w:hint="cs"/>
          <w:sz w:val="28"/>
          <w:szCs w:val="28"/>
          <w:rtl/>
        </w:rPr>
        <w:t>,</w:t>
      </w:r>
      <w:r w:rsidRPr="00F8463F">
        <w:rPr>
          <w:rFonts w:cs="David" w:hint="cs"/>
          <w:sz w:val="28"/>
          <w:szCs w:val="28"/>
          <w:rtl/>
        </w:rPr>
        <w:t xml:space="preserve"> לא </w:t>
      </w:r>
      <w:r>
        <w:rPr>
          <w:rFonts w:cs="David" w:hint="cs"/>
          <w:sz w:val="28"/>
          <w:szCs w:val="28"/>
          <w:rtl/>
        </w:rPr>
        <w:t xml:space="preserve">נערכה באופן מסודר, תוך ביצוע רישום ומעקב, עקב </w:t>
      </w:r>
      <w:r w:rsidRPr="00F8463F">
        <w:rPr>
          <w:rFonts w:cs="David" w:hint="cs"/>
          <w:sz w:val="28"/>
          <w:szCs w:val="28"/>
          <w:rtl/>
        </w:rPr>
        <w:t>התנאים ששררו באזור הלחימה באותה עת וריבוי השלל שנמצא</w:t>
      </w:r>
      <w:r>
        <w:rPr>
          <w:rFonts w:cs="David" w:hint="cs"/>
          <w:sz w:val="28"/>
          <w:szCs w:val="28"/>
          <w:rtl/>
        </w:rPr>
        <w:t xml:space="preserve">. נמסר גם, כי אכן משרתי מילואים שיצאו מרצועת עזה התבקשו לקחת עמם ציוד שנתפס שם אל בסיס החטיבה. </w:t>
      </w:r>
    </w:p>
    <w:p w14:paraId="61BDEE4B" w14:textId="77777777" w:rsidR="008F33A0" w:rsidRDefault="008F33A0" w:rsidP="008F33A0">
      <w:pPr>
        <w:pStyle w:val="1"/>
        <w:numPr>
          <w:ilvl w:val="0"/>
          <w:numId w:val="11"/>
        </w:numPr>
        <w:spacing w:line="360" w:lineRule="auto"/>
        <w:ind w:left="-2"/>
        <w:jc w:val="both"/>
        <w:outlineLvl w:val="0"/>
        <w:rPr>
          <w:rFonts w:cs="David"/>
          <w:sz w:val="28"/>
          <w:szCs w:val="28"/>
        </w:rPr>
      </w:pPr>
      <w:r w:rsidRPr="00170089">
        <w:rPr>
          <w:rFonts w:cs="David" w:hint="cs"/>
          <w:sz w:val="28"/>
          <w:szCs w:val="28"/>
          <w:rtl/>
        </w:rPr>
        <w:t>לכאורה יש באמור יש כדי לתמוך בגרסת המשיב בדבר אופן הגעת כלי הנשק לרשותו, אך לצד זאת נאספו מספר עדויות שיש בהם כדי לסתור את גרסתו האמורה. כך למשל העיד ברק, אף הוא לוחם מילואים בעזה ומי שהיה בעבר חברו של המשיב, כי הוא ומי שהי</w:t>
      </w:r>
      <w:r>
        <w:rPr>
          <w:rFonts w:cs="David" w:hint="cs"/>
          <w:sz w:val="28"/>
          <w:szCs w:val="28"/>
          <w:rtl/>
        </w:rPr>
        <w:t>י</w:t>
      </w:r>
      <w:r w:rsidRPr="00170089">
        <w:rPr>
          <w:rFonts w:cs="David" w:hint="cs"/>
          <w:sz w:val="28"/>
          <w:szCs w:val="28"/>
          <w:rtl/>
        </w:rPr>
        <w:t xml:space="preserve">תה אז ארוסתו, שי, ביקרו את המשיב בחודש מארס 2024; ובשעה שישבו במרפסת הבית, ושוחחו בין השאר על האירועים </w:t>
      </w:r>
      <w:r>
        <w:rPr>
          <w:rFonts w:cs="David" w:hint="cs"/>
          <w:sz w:val="28"/>
          <w:szCs w:val="28"/>
          <w:rtl/>
        </w:rPr>
        <w:t>ש</w:t>
      </w:r>
      <w:r w:rsidRPr="00170089">
        <w:rPr>
          <w:rFonts w:cs="David" w:hint="cs"/>
          <w:sz w:val="28"/>
          <w:szCs w:val="28"/>
          <w:rtl/>
        </w:rPr>
        <w:t xml:space="preserve">אותם חוו בשירות המילואים, </w:t>
      </w:r>
      <w:r>
        <w:rPr>
          <w:rFonts w:cs="David" w:hint="cs"/>
          <w:sz w:val="28"/>
          <w:szCs w:val="28"/>
          <w:rtl/>
        </w:rPr>
        <w:t xml:space="preserve">אמר לו המשיב שהוא "חייב להראות לי משהו שהוא הביא מעזה", </w:t>
      </w:r>
      <w:r w:rsidRPr="00170089">
        <w:rPr>
          <w:rFonts w:cs="David" w:hint="cs"/>
          <w:sz w:val="28"/>
          <w:szCs w:val="28"/>
          <w:rtl/>
        </w:rPr>
        <w:t xml:space="preserve">נכנס לביתו </w:t>
      </w:r>
      <w:r>
        <w:rPr>
          <w:rFonts w:cs="David" w:hint="cs"/>
          <w:sz w:val="28"/>
          <w:szCs w:val="28"/>
          <w:rtl/>
        </w:rPr>
        <w:t xml:space="preserve">וחזר עם </w:t>
      </w:r>
      <w:r w:rsidRPr="00170089">
        <w:rPr>
          <w:rFonts w:cs="David" w:hint="cs"/>
          <w:sz w:val="28"/>
          <w:szCs w:val="28"/>
          <w:rtl/>
        </w:rPr>
        <w:t>כלי נשק מסוג קלאצ'ניקוב</w:t>
      </w:r>
      <w:r>
        <w:rPr>
          <w:rFonts w:cs="David" w:hint="cs"/>
          <w:sz w:val="28"/>
          <w:szCs w:val="28"/>
          <w:rtl/>
        </w:rPr>
        <w:t>. המשיב מסר לו ש</w:t>
      </w:r>
      <w:r w:rsidRPr="00170089">
        <w:rPr>
          <w:rFonts w:cs="David" w:hint="cs"/>
          <w:sz w:val="28"/>
          <w:szCs w:val="28"/>
          <w:rtl/>
        </w:rPr>
        <w:t xml:space="preserve">נטל </w:t>
      </w:r>
      <w:r>
        <w:rPr>
          <w:rFonts w:cs="David" w:hint="cs"/>
          <w:sz w:val="28"/>
          <w:szCs w:val="28"/>
          <w:rtl/>
        </w:rPr>
        <w:t xml:space="preserve">את הנשק מחדר שבו הוחזק אמל"ח, באזור ג'בליה </w:t>
      </w:r>
      <w:r w:rsidRPr="00170089">
        <w:rPr>
          <w:rFonts w:cs="David" w:hint="cs"/>
          <w:sz w:val="28"/>
          <w:szCs w:val="28"/>
          <w:rtl/>
        </w:rPr>
        <w:t>והכניסו לתיקו. למיטב זכרונו</w:t>
      </w:r>
      <w:r>
        <w:rPr>
          <w:rFonts w:cs="David" w:hint="cs"/>
          <w:sz w:val="28"/>
          <w:szCs w:val="28"/>
          <w:rtl/>
        </w:rPr>
        <w:t>,</w:t>
      </w:r>
      <w:r w:rsidRPr="00170089">
        <w:rPr>
          <w:rFonts w:cs="David" w:hint="cs"/>
          <w:sz w:val="28"/>
          <w:szCs w:val="28"/>
          <w:rtl/>
        </w:rPr>
        <w:t xml:space="preserve"> </w:t>
      </w:r>
      <w:r>
        <w:rPr>
          <w:rFonts w:cs="David" w:hint="cs"/>
          <w:sz w:val="28"/>
          <w:szCs w:val="28"/>
          <w:rtl/>
        </w:rPr>
        <w:t>בעת הצגת הנשק המשיב גם דר</w:t>
      </w:r>
      <w:r w:rsidRPr="00170089">
        <w:rPr>
          <w:rFonts w:cs="David" w:hint="cs"/>
          <w:sz w:val="28"/>
          <w:szCs w:val="28"/>
          <w:rtl/>
        </w:rPr>
        <w:t>ך א</w:t>
      </w:r>
      <w:r>
        <w:rPr>
          <w:rFonts w:cs="David" w:hint="cs"/>
          <w:sz w:val="28"/>
          <w:szCs w:val="28"/>
          <w:rtl/>
        </w:rPr>
        <w:t>ותו</w:t>
      </w:r>
      <w:r w:rsidRPr="00170089">
        <w:rPr>
          <w:rFonts w:cs="David" w:hint="cs"/>
          <w:sz w:val="28"/>
          <w:szCs w:val="28"/>
          <w:rtl/>
        </w:rPr>
        <w:t xml:space="preserve">. בתגובה להערתו של ברק כי עליו להשיב את הנשק </w:t>
      </w:r>
      <w:r w:rsidRPr="00170089">
        <w:rPr>
          <w:rFonts w:cs="David" w:hint="cs"/>
          <w:sz w:val="28"/>
          <w:szCs w:val="28"/>
          <w:rtl/>
        </w:rPr>
        <w:lastRenderedPageBreak/>
        <w:t>לצבא, גיחך המשיב ומסר כי בכוונתו לה</w:t>
      </w:r>
      <w:r>
        <w:rPr>
          <w:rFonts w:cs="David" w:hint="cs"/>
          <w:sz w:val="28"/>
          <w:szCs w:val="28"/>
          <w:rtl/>
        </w:rPr>
        <w:t xml:space="preserve">וציא </w:t>
      </w:r>
      <w:r w:rsidRPr="00170089">
        <w:rPr>
          <w:rFonts w:cs="David" w:hint="cs"/>
          <w:sz w:val="28"/>
          <w:szCs w:val="28"/>
          <w:rtl/>
        </w:rPr>
        <w:t xml:space="preserve">כלי נשק נוספים. כן ציין ברק כי המשיב עודד אותו ליטול </w:t>
      </w:r>
      <w:r>
        <w:rPr>
          <w:rFonts w:cs="David" w:hint="cs"/>
          <w:sz w:val="28"/>
          <w:szCs w:val="28"/>
          <w:rtl/>
        </w:rPr>
        <w:t xml:space="preserve">גם כן </w:t>
      </w:r>
      <w:r w:rsidRPr="00170089">
        <w:rPr>
          <w:rFonts w:cs="David" w:hint="cs"/>
          <w:sz w:val="28"/>
          <w:szCs w:val="28"/>
          <w:rtl/>
        </w:rPr>
        <w:t>כלי נשק מעזה. שי, אשר נכחה במקום אישרה כי המשיב הציג בפניהם כלי נשק</w:t>
      </w:r>
      <w:r>
        <w:rPr>
          <w:rFonts w:cs="David" w:hint="cs"/>
          <w:sz w:val="28"/>
          <w:szCs w:val="28"/>
          <w:rtl/>
        </w:rPr>
        <w:t xml:space="preserve"> כשישבו במרפסת </w:t>
      </w:r>
      <w:r w:rsidRPr="00170089">
        <w:rPr>
          <w:rFonts w:cs="David" w:hint="cs"/>
          <w:sz w:val="28"/>
          <w:szCs w:val="28"/>
          <w:rtl/>
        </w:rPr>
        <w:t>וציין כי נטל אותו מעזה</w:t>
      </w:r>
      <w:r>
        <w:rPr>
          <w:rFonts w:cs="David" w:hint="cs"/>
          <w:sz w:val="28"/>
          <w:szCs w:val="28"/>
          <w:rtl/>
        </w:rPr>
        <w:t>, אולם מסרה כי לא התעניינה בשיחה שנערכה מעבר לכך ואינה יודעת למסור את פרטיה</w:t>
      </w:r>
      <w:r w:rsidRPr="00170089">
        <w:rPr>
          <w:rFonts w:cs="David" w:hint="cs"/>
          <w:sz w:val="28"/>
          <w:szCs w:val="28"/>
          <w:rtl/>
        </w:rPr>
        <w:t xml:space="preserve">. </w:t>
      </w:r>
    </w:p>
    <w:p w14:paraId="4E6BAA88" w14:textId="77777777" w:rsidR="008F33A0" w:rsidRPr="00170089"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עוד נגבתה </w:t>
      </w:r>
      <w:r w:rsidRPr="00170089">
        <w:rPr>
          <w:rFonts w:cs="David" w:hint="cs"/>
          <w:sz w:val="28"/>
          <w:szCs w:val="28"/>
          <w:rtl/>
        </w:rPr>
        <w:t>עדותו של חגי, מי שהיה חברו ומאמנו של ברק</w:t>
      </w:r>
      <w:r>
        <w:rPr>
          <w:rFonts w:cs="David" w:hint="cs"/>
          <w:sz w:val="28"/>
          <w:szCs w:val="28"/>
          <w:rtl/>
        </w:rPr>
        <w:t xml:space="preserve"> בקבוצת טריאתלון</w:t>
      </w:r>
      <w:r w:rsidRPr="00170089">
        <w:rPr>
          <w:rFonts w:cs="David" w:hint="cs"/>
          <w:sz w:val="28"/>
          <w:szCs w:val="28"/>
          <w:rtl/>
        </w:rPr>
        <w:t xml:space="preserve">, </w:t>
      </w:r>
      <w:r>
        <w:rPr>
          <w:rFonts w:cs="David" w:hint="cs"/>
          <w:sz w:val="28"/>
          <w:szCs w:val="28"/>
          <w:rtl/>
        </w:rPr>
        <w:t xml:space="preserve">ובעבר אימן גם את המשיב. לדבריו, נפגש עם המשיב </w:t>
      </w:r>
      <w:r w:rsidRPr="00170089">
        <w:rPr>
          <w:rFonts w:cs="David" w:hint="cs"/>
          <w:sz w:val="28"/>
          <w:szCs w:val="28"/>
          <w:rtl/>
        </w:rPr>
        <w:t xml:space="preserve">בבית קפה </w:t>
      </w:r>
      <w:r>
        <w:rPr>
          <w:rFonts w:cs="David" w:hint="cs"/>
          <w:sz w:val="28"/>
          <w:szCs w:val="28"/>
          <w:rtl/>
        </w:rPr>
        <w:t>לאחר שהאחרון חזר משירות המילואים, והוא ס</w:t>
      </w:r>
      <w:r w:rsidRPr="00170089">
        <w:rPr>
          <w:rFonts w:cs="David" w:hint="cs"/>
          <w:sz w:val="28"/>
          <w:szCs w:val="28"/>
          <w:rtl/>
        </w:rPr>
        <w:t xml:space="preserve">יפר לו </w:t>
      </w:r>
      <w:r>
        <w:rPr>
          <w:rFonts w:cs="David" w:hint="cs"/>
          <w:sz w:val="28"/>
          <w:szCs w:val="28"/>
          <w:rtl/>
        </w:rPr>
        <w:t xml:space="preserve">שחזר לביתו עם רובה מסוג קלאצ'ניקוב. במענה לשאלה לשם מה עשה כן השיב: "שיהיה, לך תדע מה יקרה, שיהיה לי מזכרת". ברק בעדותו מסר, כי שמע אף הוא מחגי על השיחה האמורה, שעסקה לפי דבריו בנשק מסוג "קרלו". </w:t>
      </w:r>
    </w:p>
    <w:p w14:paraId="137A03D8"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המשיב מסר בתחילה כי הוא "מניח" שברק ראה את כלי הנשק. כשנשאל באופן מפורש כיצד אירע הדבר, אישר כי הציג בפני ברק את אחד מכלי הנשק, אולם תיאר באופן שונה בתכלית את השתלשלות העניינים. לטענתו, בעקבות השיחה ביניהם על המילואים בעזה קרא לברק לראות את כלי הנשק, אשר הוחזק בארון במטבח, בסמוך אל המרפסת שבה ישבו, ובכך התמצתה השיחה בנושא. כן סבר המשיב כי שי לא תתמוך בגרסתו של ברק בדבר הצגת כלי הנשק לנוכחים במרפסת. עוד אישר המשיב כי נפגש עם חגי לשתות קפה, אך הכחיש כי ניהל עמו שיחה בנוגע לנטילת כלי הנשק מעזה. </w:t>
      </w:r>
    </w:p>
    <w:p w14:paraId="4AF2202D" w14:textId="1D8C6E89"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לטענת המשיב, ברק מונע מיצר נקמה עקב סכסוך אישי קשה שהתגלע ביניהם, והוא נחוש לנקום בו בשל כך. המשיב הפנה בעניין זה לדבריה של שי ולמספר תכתובות סלולאריות שנתפסו. בהמשך לכך, בעדות נוספת שנגבתה ממנו, לא הסתיר ברק את איבתו למשיב, אך עמד על כך שסיפר את הדברים כהווייתם. כן טען, כי חגי, שהוא חברו הטוב של ברק, אף הוא הוא בעל אינטרס לפגוע בו, וכי ניתק עמו את הקשר בעקבות עזיבתו את הקבוצה שאותה אימן.</w:t>
      </w:r>
    </w:p>
    <w:p w14:paraId="45C94CB8"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בכל הנוגע להחזקת ר</w:t>
      </w:r>
      <w:r w:rsidRPr="006966F4">
        <w:rPr>
          <w:rFonts w:cs="David" w:hint="cs"/>
          <w:sz w:val="28"/>
          <w:szCs w:val="28"/>
          <w:rtl/>
        </w:rPr>
        <w:t xml:space="preserve">ובה הציד שנמצא בביתו טען המשיב כי אביו, שהחזיק אותו בהיתר מהמועצה האזורית, </w:t>
      </w:r>
      <w:r>
        <w:rPr>
          <w:rFonts w:cs="David" w:hint="cs"/>
          <w:sz w:val="28"/>
          <w:szCs w:val="28"/>
          <w:rtl/>
        </w:rPr>
        <w:t xml:space="preserve">מסר </w:t>
      </w:r>
      <w:r w:rsidRPr="006966F4">
        <w:rPr>
          <w:rFonts w:cs="David" w:hint="cs"/>
          <w:sz w:val="28"/>
          <w:szCs w:val="28"/>
          <w:rtl/>
        </w:rPr>
        <w:t xml:space="preserve">לו אותו </w:t>
      </w:r>
      <w:r>
        <w:rPr>
          <w:rFonts w:cs="David" w:hint="cs"/>
          <w:sz w:val="28"/>
          <w:szCs w:val="28"/>
          <w:rtl/>
        </w:rPr>
        <w:t>לפני מספר שנים,</w:t>
      </w:r>
      <w:r w:rsidRPr="006966F4">
        <w:rPr>
          <w:rFonts w:cs="David" w:hint="cs"/>
          <w:sz w:val="28"/>
          <w:szCs w:val="28"/>
          <w:rtl/>
        </w:rPr>
        <w:t xml:space="preserve"> כדי ש</w:t>
      </w:r>
      <w:r>
        <w:rPr>
          <w:rFonts w:cs="David" w:hint="cs"/>
          <w:sz w:val="28"/>
          <w:szCs w:val="28"/>
          <w:rtl/>
        </w:rPr>
        <w:t xml:space="preserve">ישמור עליו </w:t>
      </w:r>
      <w:r w:rsidRPr="006966F4">
        <w:rPr>
          <w:rFonts w:cs="David" w:hint="cs"/>
          <w:sz w:val="28"/>
          <w:szCs w:val="28"/>
          <w:rtl/>
        </w:rPr>
        <w:t xml:space="preserve">בביתו </w:t>
      </w:r>
      <w:r>
        <w:rPr>
          <w:rFonts w:cs="David" w:hint="cs"/>
          <w:sz w:val="28"/>
          <w:szCs w:val="28"/>
          <w:rtl/>
        </w:rPr>
        <w:t xml:space="preserve">שמצוי במקום פנימי ובטוח יותר בתוך המושב, מאשר בית האב שנמצא בחזית. נטען עוד </w:t>
      </w:r>
      <w:r w:rsidRPr="006966F4">
        <w:rPr>
          <w:rFonts w:cs="David" w:hint="cs"/>
          <w:sz w:val="28"/>
          <w:szCs w:val="28"/>
          <w:rtl/>
        </w:rPr>
        <w:t xml:space="preserve">כי מדובר ברובה ישן </w:t>
      </w:r>
      <w:r>
        <w:rPr>
          <w:rFonts w:cs="David" w:hint="cs"/>
          <w:sz w:val="28"/>
          <w:szCs w:val="28"/>
          <w:rtl/>
        </w:rPr>
        <w:t xml:space="preserve">מאוד ולא תקין </w:t>
      </w:r>
      <w:r w:rsidRPr="006966F4">
        <w:rPr>
          <w:rFonts w:cs="David" w:hint="cs"/>
          <w:sz w:val="28"/>
          <w:szCs w:val="28"/>
          <w:rtl/>
        </w:rPr>
        <w:t>שלא נעשה בו כל שימוש. גרסה זו לא אושרה על ידי אביו</w:t>
      </w:r>
      <w:r>
        <w:rPr>
          <w:rFonts w:cs="David" w:hint="cs"/>
          <w:sz w:val="28"/>
          <w:szCs w:val="28"/>
          <w:rtl/>
        </w:rPr>
        <w:t xml:space="preserve"> של המשיב</w:t>
      </w:r>
      <w:r w:rsidRPr="006966F4">
        <w:rPr>
          <w:rFonts w:cs="David" w:hint="cs"/>
          <w:sz w:val="28"/>
          <w:szCs w:val="28"/>
          <w:rtl/>
        </w:rPr>
        <w:t xml:space="preserve">, ואינה עולה בקנה אחד גם עם עדות הגורם הרלוונטי במועצה האזורית. </w:t>
      </w:r>
    </w:p>
    <w:p w14:paraId="5690F7AC" w14:textId="40119C2C"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לבסוף יצוין, כי</w:t>
      </w:r>
      <w:r w:rsidRPr="006966F4">
        <w:rPr>
          <w:rFonts w:cs="David" w:hint="cs"/>
          <w:sz w:val="28"/>
          <w:szCs w:val="28"/>
          <w:rtl/>
        </w:rPr>
        <w:t xml:space="preserve"> טענתו של המשיב על כך שכלל כלי הנשק היו "תקולים" נסתרה בבדיקת מעבדת הנשק במטא"ר, שמצאה כי </w:t>
      </w:r>
      <w:r>
        <w:rPr>
          <w:rFonts w:cs="David" w:hint="cs"/>
          <w:sz w:val="28"/>
          <w:szCs w:val="28"/>
          <w:rtl/>
        </w:rPr>
        <w:t xml:space="preserve">רובה הציד והקלאצ'ניקוב </w:t>
      </w:r>
      <w:r w:rsidRPr="006966F4">
        <w:rPr>
          <w:rFonts w:cs="David" w:hint="cs"/>
          <w:sz w:val="28"/>
          <w:szCs w:val="28"/>
          <w:rtl/>
        </w:rPr>
        <w:t>ה</w:t>
      </w:r>
      <w:r>
        <w:rPr>
          <w:rFonts w:cs="David" w:hint="cs"/>
          <w:sz w:val="28"/>
          <w:szCs w:val="28"/>
          <w:rtl/>
        </w:rPr>
        <w:t>ם</w:t>
      </w:r>
      <w:r w:rsidRPr="006966F4">
        <w:rPr>
          <w:rFonts w:cs="David" w:hint="cs"/>
          <w:sz w:val="28"/>
          <w:szCs w:val="28"/>
          <w:rtl/>
        </w:rPr>
        <w:t xml:space="preserve"> תקינים</w:t>
      </w:r>
      <w:r>
        <w:rPr>
          <w:rFonts w:cs="David" w:hint="cs"/>
          <w:sz w:val="28"/>
          <w:szCs w:val="28"/>
          <w:rtl/>
        </w:rPr>
        <w:t xml:space="preserve"> (ביחס לרובה הסער "קרלו" נקבע כי הנקירה הייתה חלשה וכי הוא לא ירה). </w:t>
      </w:r>
    </w:p>
    <w:p w14:paraId="5AA789EC" w14:textId="77777777" w:rsidR="00700B8F" w:rsidRDefault="00700B8F" w:rsidP="00700B8F">
      <w:pPr>
        <w:pStyle w:val="1"/>
        <w:spacing w:line="360" w:lineRule="auto"/>
        <w:ind w:left="-2"/>
        <w:jc w:val="both"/>
        <w:outlineLvl w:val="0"/>
        <w:rPr>
          <w:rFonts w:cs="David"/>
          <w:sz w:val="28"/>
          <w:szCs w:val="28"/>
          <w:rtl/>
        </w:rPr>
      </w:pPr>
    </w:p>
    <w:p w14:paraId="3CB094D6" w14:textId="77777777" w:rsidR="00700B8F" w:rsidRDefault="00700B8F" w:rsidP="00700B8F">
      <w:pPr>
        <w:pStyle w:val="1"/>
        <w:spacing w:line="360" w:lineRule="auto"/>
        <w:ind w:left="-2"/>
        <w:jc w:val="both"/>
        <w:outlineLvl w:val="0"/>
        <w:rPr>
          <w:rFonts w:cs="David"/>
          <w:sz w:val="28"/>
          <w:szCs w:val="28"/>
          <w:rtl/>
        </w:rPr>
      </w:pPr>
    </w:p>
    <w:p w14:paraId="14C8DE1B" w14:textId="77777777" w:rsidR="00700B8F" w:rsidRDefault="00700B8F" w:rsidP="00700B8F">
      <w:pPr>
        <w:pStyle w:val="1"/>
        <w:spacing w:line="360" w:lineRule="auto"/>
        <w:ind w:left="-2"/>
        <w:jc w:val="both"/>
        <w:outlineLvl w:val="0"/>
        <w:rPr>
          <w:rFonts w:cs="David"/>
          <w:sz w:val="28"/>
          <w:szCs w:val="28"/>
        </w:rPr>
      </w:pPr>
    </w:p>
    <w:p w14:paraId="7E3EAC18" w14:textId="77777777" w:rsidR="008F33A0" w:rsidRPr="0001516F" w:rsidRDefault="008F33A0" w:rsidP="008F33A0">
      <w:pPr>
        <w:pStyle w:val="1"/>
        <w:spacing w:line="360" w:lineRule="auto"/>
        <w:ind w:left="-2"/>
        <w:jc w:val="both"/>
        <w:outlineLvl w:val="0"/>
        <w:rPr>
          <w:rFonts w:cs="David"/>
          <w:b/>
          <w:bCs/>
          <w:sz w:val="28"/>
          <w:szCs w:val="28"/>
          <w:u w:val="single"/>
          <w:rtl/>
        </w:rPr>
      </w:pPr>
      <w:r>
        <w:rPr>
          <w:rFonts w:cs="David" w:hint="cs"/>
          <w:b/>
          <w:bCs/>
          <w:sz w:val="28"/>
          <w:szCs w:val="28"/>
          <w:u w:val="single"/>
          <w:rtl/>
        </w:rPr>
        <w:lastRenderedPageBreak/>
        <w:t>החלטת בית הדין קמא וטיעוני הצדדים בערעור</w:t>
      </w:r>
    </w:p>
    <w:p w14:paraId="455D00FD" w14:textId="77777777" w:rsidR="008F33A0" w:rsidRPr="00D44D15" w:rsidRDefault="008F33A0" w:rsidP="008F33A0">
      <w:pPr>
        <w:pStyle w:val="1"/>
        <w:spacing w:line="360" w:lineRule="auto"/>
        <w:ind w:left="-2"/>
        <w:jc w:val="both"/>
        <w:outlineLvl w:val="0"/>
        <w:rPr>
          <w:rFonts w:cs="David"/>
          <w:sz w:val="10"/>
          <w:szCs w:val="10"/>
        </w:rPr>
      </w:pPr>
    </w:p>
    <w:p w14:paraId="1BFBD5E2" w14:textId="77777777" w:rsidR="008F33A0" w:rsidRDefault="008F33A0" w:rsidP="008F33A0">
      <w:pPr>
        <w:pStyle w:val="1"/>
        <w:numPr>
          <w:ilvl w:val="0"/>
          <w:numId w:val="11"/>
        </w:numPr>
        <w:spacing w:line="360" w:lineRule="auto"/>
        <w:ind w:left="-2"/>
        <w:jc w:val="both"/>
        <w:outlineLvl w:val="0"/>
        <w:rPr>
          <w:rFonts w:cs="David"/>
          <w:sz w:val="28"/>
          <w:szCs w:val="28"/>
        </w:rPr>
      </w:pPr>
      <w:r w:rsidRPr="00D31F5E">
        <w:rPr>
          <w:rFonts w:cs="David" w:hint="cs"/>
          <w:sz w:val="28"/>
          <w:szCs w:val="28"/>
          <w:rtl/>
        </w:rPr>
        <w:t>בהחלט</w:t>
      </w:r>
      <w:r>
        <w:rPr>
          <w:rFonts w:cs="David" w:hint="cs"/>
          <w:sz w:val="28"/>
          <w:szCs w:val="28"/>
          <w:rtl/>
        </w:rPr>
        <w:t xml:space="preserve">ה מפורטת ומנומקת סקר בית הדין קמא את התשתית הראייתית כפי שהובאה לעיל, וקבע כי על אף שגרסת המשיב שהוציא בטעות את כלי הנשק מרצועת עזה "זוכה לעיגון </w:t>
      </w:r>
      <w:r w:rsidRPr="00833C19">
        <w:rPr>
          <w:rFonts w:cs="David" w:hint="cs"/>
          <w:b/>
          <w:bCs/>
          <w:sz w:val="28"/>
          <w:szCs w:val="28"/>
          <w:rtl/>
        </w:rPr>
        <w:t>אפשרי</w:t>
      </w:r>
      <w:r>
        <w:rPr>
          <w:rFonts w:cs="David" w:hint="cs"/>
          <w:sz w:val="28"/>
          <w:szCs w:val="28"/>
          <w:rtl/>
        </w:rPr>
        <w:t xml:space="preserve"> בחומר הראיות"</w:t>
      </w:r>
      <w:r w:rsidRPr="00D31F5E">
        <w:rPr>
          <w:rFonts w:cs="David" w:hint="cs"/>
          <w:sz w:val="28"/>
          <w:szCs w:val="28"/>
          <w:rtl/>
        </w:rPr>
        <w:t xml:space="preserve"> </w:t>
      </w:r>
      <w:r>
        <w:rPr>
          <w:rFonts w:cs="David" w:hint="cs"/>
          <w:sz w:val="28"/>
          <w:szCs w:val="28"/>
          <w:rtl/>
        </w:rPr>
        <w:t xml:space="preserve">(ההדגשה במקור), הרי שיש לתמוה על החזקת כלי הנשק למשך תקופה של כחמישה חודשים שהסתיימה בתפיסתם על ידי משטרת ישראל, מבלי שניתן הסבר מניח את הדעת על ידי המשיב מדוע לא דיווח על כך למפקדיו. בית הדין עמד על כך שגם בסוגיות נוספות מסר המשיב גרסאות מתפתחות. כך ביחס לשאלה מי ידע על הימצאות כלי הנשק ברשותו (בתחילה טען כי הייתה זו רק אשתו ואחר כך מסר כי גם ברק ראה את הנשק); וביחס לידיעתו בנוגע למצב כלי הנשק והמידע שנמסר לו על כך. צוין, כי אף גרסתו הראשונית של המשיב בשיחתו עם השוטר, שלפיה קיבל את כלי הנשק במתנה, מעוררת קושי; והסבריו בחקירתו שלפיהם אירעה חוסר הבנה בשיחה בינו לבין השוטר הם  "מוקשים". </w:t>
      </w:r>
    </w:p>
    <w:p w14:paraId="27490F20"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בעדותו של ברק ראה בית הדין קמא משום "היבט נוסף המקשה לתת אמון בגרסת ה[משיב] שכלי הנשק הוצאו ב'טעות' וכי התכוון לכאורה להחזירם לצה"ל". הוטעם כי הערכת מהימנותו של ברק נדרשת להתבצע בהליך העיקרי, אולם תוכן עדותו זכה לחיזוק בחומר הראיות - בעדותו של חגי, בממצאי החיפוש שנעשה על סמך פנייתו, בעדותה של שי, ובאישורו של המשיב כי הציג לו את הנשק. לבסוף נקבע, כי  גרסתו של המשיב ביחס לאופן הגעת רובה הציד לידיו נסתרת אף היא בעדות אביו. </w:t>
      </w:r>
    </w:p>
    <w:p w14:paraId="38D6182A" w14:textId="77777777" w:rsidR="008F33A0" w:rsidRDefault="008F33A0" w:rsidP="008F33A0">
      <w:pPr>
        <w:pStyle w:val="1"/>
        <w:numPr>
          <w:ilvl w:val="0"/>
          <w:numId w:val="11"/>
        </w:numPr>
        <w:spacing w:line="360" w:lineRule="auto"/>
        <w:ind w:left="-2"/>
        <w:jc w:val="both"/>
        <w:outlineLvl w:val="0"/>
        <w:rPr>
          <w:rFonts w:cs="David"/>
          <w:sz w:val="28"/>
          <w:szCs w:val="28"/>
        </w:rPr>
      </w:pPr>
      <w:r w:rsidRPr="00DC2100">
        <w:rPr>
          <w:rFonts w:cs="David" w:hint="cs"/>
          <w:sz w:val="28"/>
          <w:szCs w:val="28"/>
          <w:rtl/>
        </w:rPr>
        <w:t xml:space="preserve">בעת </w:t>
      </w:r>
      <w:r>
        <w:rPr>
          <w:rFonts w:cs="David" w:hint="cs"/>
          <w:sz w:val="28"/>
          <w:szCs w:val="28"/>
          <w:rtl/>
        </w:rPr>
        <w:t xml:space="preserve">בחינת המניע שעמד בבסיס מעשיו של המשיב, לשם הערכת מידת המסוכנות הנשקפת ממנו, קבע בית הדין כי </w:t>
      </w:r>
      <w:r w:rsidRPr="00DC2100">
        <w:rPr>
          <w:rFonts w:cs="David" w:hint="cs"/>
          <w:sz w:val="28"/>
          <w:szCs w:val="28"/>
          <w:rtl/>
        </w:rPr>
        <w:t>הראיות הלכאוריות אינן תומכות בקיומו של מניע פלילי, לאור העדר תכתובות סלולאריות המעידות על כך, ה</w:t>
      </w:r>
      <w:r>
        <w:rPr>
          <w:rFonts w:cs="David" w:hint="cs"/>
          <w:sz w:val="28"/>
          <w:szCs w:val="28"/>
          <w:rtl/>
        </w:rPr>
        <w:t xml:space="preserve">תרשמות </w:t>
      </w:r>
      <w:r w:rsidRPr="00DC2100">
        <w:rPr>
          <w:rFonts w:cs="David" w:hint="cs"/>
          <w:sz w:val="28"/>
          <w:szCs w:val="28"/>
          <w:rtl/>
        </w:rPr>
        <w:t xml:space="preserve">מפקדיו של המשיב </w:t>
      </w:r>
      <w:r>
        <w:rPr>
          <w:rFonts w:cs="David" w:hint="cs"/>
          <w:sz w:val="28"/>
          <w:szCs w:val="28"/>
          <w:rtl/>
        </w:rPr>
        <w:t xml:space="preserve">מאופיו </w:t>
      </w:r>
      <w:r w:rsidRPr="00DC2100">
        <w:rPr>
          <w:rFonts w:cs="David" w:hint="cs"/>
          <w:sz w:val="28"/>
          <w:szCs w:val="28"/>
          <w:rtl/>
        </w:rPr>
        <w:t>וממצאי בדיקת פוליגרף שנערכה לו</w:t>
      </w:r>
      <w:r>
        <w:rPr>
          <w:rFonts w:cs="David" w:hint="cs"/>
          <w:sz w:val="28"/>
          <w:szCs w:val="28"/>
          <w:rtl/>
        </w:rPr>
        <w:t xml:space="preserve"> שבה נמצא דובר אמת באשר להעדר כוונה למכירה של כלי הנשק</w:t>
      </w:r>
      <w:r w:rsidRPr="00DC2100">
        <w:rPr>
          <w:rFonts w:cs="David" w:hint="cs"/>
          <w:sz w:val="28"/>
          <w:szCs w:val="28"/>
          <w:rtl/>
        </w:rPr>
        <w:t xml:space="preserve">. לצד זאת בואר כי "קשיים פנימיים בגרסת ה[משיב], סתירות שעלו בגרסתו אל מול ראיות </w:t>
      </w:r>
      <w:r w:rsidRPr="00BE3899">
        <w:rPr>
          <w:rFonts w:cs="David" w:hint="cs"/>
          <w:b/>
          <w:bCs/>
          <w:sz w:val="28"/>
          <w:szCs w:val="28"/>
          <w:rtl/>
        </w:rPr>
        <w:t>חיצוניות</w:t>
      </w:r>
      <w:r w:rsidRPr="00DC2100">
        <w:rPr>
          <w:rFonts w:cs="David" w:hint="cs"/>
          <w:sz w:val="28"/>
          <w:szCs w:val="28"/>
          <w:rtl/>
        </w:rPr>
        <w:t xml:space="preserve"> כי מדובר בהוצאת נשק </w:t>
      </w:r>
      <w:r>
        <w:rPr>
          <w:rFonts w:cs="David" w:hint="cs"/>
          <w:sz w:val="28"/>
          <w:szCs w:val="28"/>
          <w:rtl/>
        </w:rPr>
        <w:t>'</w:t>
      </w:r>
      <w:r w:rsidRPr="00DC2100">
        <w:rPr>
          <w:rFonts w:cs="David" w:hint="cs"/>
          <w:sz w:val="28"/>
          <w:szCs w:val="28"/>
          <w:rtl/>
        </w:rPr>
        <w:t>תמימה</w:t>
      </w:r>
      <w:r>
        <w:rPr>
          <w:rFonts w:cs="David" w:hint="cs"/>
          <w:sz w:val="28"/>
          <w:szCs w:val="28"/>
          <w:rtl/>
        </w:rPr>
        <w:t>'</w:t>
      </w:r>
      <w:r w:rsidRPr="00DC2100">
        <w:rPr>
          <w:rFonts w:cs="David" w:hint="cs"/>
          <w:sz w:val="28"/>
          <w:szCs w:val="28"/>
          <w:rtl/>
        </w:rPr>
        <w:t xml:space="preserve"> ו</w:t>
      </w:r>
      <w:r>
        <w:rPr>
          <w:rFonts w:cs="David" w:hint="cs"/>
          <w:sz w:val="28"/>
          <w:szCs w:val="28"/>
          <w:rtl/>
        </w:rPr>
        <w:t>'</w:t>
      </w:r>
      <w:r w:rsidRPr="00DC2100">
        <w:rPr>
          <w:rFonts w:cs="David" w:hint="cs"/>
          <w:sz w:val="28"/>
          <w:szCs w:val="28"/>
          <w:rtl/>
        </w:rPr>
        <w:t>בהיסח הדעת</w:t>
      </w:r>
      <w:r>
        <w:rPr>
          <w:rFonts w:cs="David" w:hint="cs"/>
          <w:sz w:val="28"/>
          <w:szCs w:val="28"/>
          <w:rtl/>
        </w:rPr>
        <w:t>'</w:t>
      </w:r>
      <w:r w:rsidRPr="00DC2100">
        <w:rPr>
          <w:rFonts w:cs="David" w:hint="cs"/>
          <w:sz w:val="28"/>
          <w:szCs w:val="28"/>
          <w:rtl/>
        </w:rPr>
        <w:t xml:space="preserve"> אינן מתיישבות עם גרסתו כי התכוון להשיבם, וזאת בשים לב </w:t>
      </w:r>
      <w:r w:rsidRPr="00BE3899">
        <w:rPr>
          <w:rFonts w:cs="David" w:hint="cs"/>
          <w:b/>
          <w:bCs/>
          <w:sz w:val="28"/>
          <w:szCs w:val="28"/>
          <w:rtl/>
        </w:rPr>
        <w:t>לפרק הזמן</w:t>
      </w:r>
      <w:r w:rsidRPr="00DC2100">
        <w:rPr>
          <w:rFonts w:cs="David" w:hint="cs"/>
          <w:sz w:val="28"/>
          <w:szCs w:val="28"/>
          <w:rtl/>
        </w:rPr>
        <w:t xml:space="preserve"> שבו החזיק ה[משיב] בכלי הנשק בביתו, מבלי שמצא לנכון לדווח על כך לאיש וכן לנוכח עדויות נוספות שנגבו בחקירה המלמדות על כי </w:t>
      </w:r>
      <w:r w:rsidRPr="00BE3899">
        <w:rPr>
          <w:rFonts w:cs="David" w:hint="cs"/>
          <w:b/>
          <w:bCs/>
          <w:sz w:val="28"/>
          <w:szCs w:val="28"/>
          <w:rtl/>
        </w:rPr>
        <w:t>התרברב</w:t>
      </w:r>
      <w:r w:rsidRPr="00DC2100">
        <w:rPr>
          <w:rFonts w:cs="David" w:hint="cs"/>
          <w:sz w:val="28"/>
          <w:szCs w:val="28"/>
          <w:rtl/>
        </w:rPr>
        <w:t xml:space="preserve"> בהוצאת כלי הנשק... המסקנה העולה מתיישבת יותר עם ההנחה שאת הנשק הוציא ה[משיב] לשם </w:t>
      </w:r>
      <w:r>
        <w:rPr>
          <w:rFonts w:cs="David" w:hint="cs"/>
          <w:sz w:val="28"/>
          <w:szCs w:val="28"/>
          <w:rtl/>
        </w:rPr>
        <w:t>'</w:t>
      </w:r>
      <w:r w:rsidRPr="00DC2100">
        <w:rPr>
          <w:rFonts w:cs="David" w:hint="cs"/>
          <w:sz w:val="28"/>
          <w:szCs w:val="28"/>
          <w:rtl/>
        </w:rPr>
        <w:t>התרברבות</w:t>
      </w:r>
      <w:r>
        <w:rPr>
          <w:rFonts w:cs="David" w:hint="cs"/>
          <w:sz w:val="28"/>
          <w:szCs w:val="28"/>
          <w:rtl/>
        </w:rPr>
        <w:t>'</w:t>
      </w:r>
      <w:r w:rsidRPr="00DC2100">
        <w:rPr>
          <w:rFonts w:cs="David" w:hint="cs"/>
          <w:sz w:val="28"/>
          <w:szCs w:val="28"/>
          <w:rtl/>
        </w:rPr>
        <w:t xml:space="preserve"> או כ</w:t>
      </w:r>
      <w:r>
        <w:rPr>
          <w:rFonts w:cs="David" w:hint="cs"/>
          <w:sz w:val="28"/>
          <w:szCs w:val="28"/>
          <w:rtl/>
        </w:rPr>
        <w:t>'</w:t>
      </w:r>
      <w:r w:rsidRPr="00DC2100">
        <w:rPr>
          <w:rFonts w:cs="David" w:hint="cs"/>
          <w:sz w:val="28"/>
          <w:szCs w:val="28"/>
          <w:rtl/>
        </w:rPr>
        <w:t>מזכרת</w:t>
      </w:r>
      <w:r>
        <w:rPr>
          <w:rFonts w:cs="David" w:hint="cs"/>
          <w:sz w:val="28"/>
          <w:szCs w:val="28"/>
          <w:rtl/>
        </w:rPr>
        <w:t>'</w:t>
      </w:r>
      <w:r w:rsidRPr="00DC2100">
        <w:rPr>
          <w:rFonts w:cs="David" w:hint="cs"/>
          <w:sz w:val="28"/>
          <w:szCs w:val="28"/>
          <w:rtl/>
        </w:rPr>
        <w:t xml:space="preserve"> מהלחימה בעזה והוא נמנע מלהודות בכך לאור גרסתו כי התכוון להחזירם"</w:t>
      </w:r>
      <w:r>
        <w:rPr>
          <w:rFonts w:cs="David" w:hint="cs"/>
          <w:sz w:val="28"/>
          <w:szCs w:val="28"/>
          <w:rtl/>
        </w:rPr>
        <w:t xml:space="preserve"> (ההדגשות במקור)</w:t>
      </w:r>
      <w:r w:rsidRPr="00DC2100">
        <w:rPr>
          <w:rFonts w:cs="David" w:hint="cs"/>
          <w:sz w:val="28"/>
          <w:szCs w:val="28"/>
          <w:rtl/>
        </w:rPr>
        <w:t xml:space="preserve">. </w:t>
      </w:r>
    </w:p>
    <w:p w14:paraId="0869DF6C"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עוד </w:t>
      </w:r>
      <w:r w:rsidRPr="00DC2100">
        <w:rPr>
          <w:rFonts w:cs="David" w:hint="cs"/>
          <w:sz w:val="28"/>
          <w:szCs w:val="28"/>
          <w:rtl/>
        </w:rPr>
        <w:t xml:space="preserve"> נקבע</w:t>
      </w:r>
      <w:r>
        <w:rPr>
          <w:rFonts w:cs="David" w:hint="cs"/>
          <w:sz w:val="28"/>
          <w:szCs w:val="28"/>
          <w:rtl/>
        </w:rPr>
        <w:t>, כי על אף שחרורו של המשיב משירות המילואים מתקיימת בעניינו גם עי</w:t>
      </w:r>
      <w:r w:rsidRPr="00DC2100">
        <w:rPr>
          <w:rFonts w:cs="David" w:hint="cs"/>
          <w:sz w:val="28"/>
          <w:szCs w:val="28"/>
          <w:rtl/>
        </w:rPr>
        <w:t>לת המעצר</w:t>
      </w:r>
      <w:r>
        <w:rPr>
          <w:rFonts w:cs="David" w:hint="cs"/>
          <w:sz w:val="28"/>
          <w:szCs w:val="28"/>
          <w:rtl/>
        </w:rPr>
        <w:t xml:space="preserve"> הצבאית הייחודית שעניינה פגיעה חריפה במשמעת הצבא, נוכח נטילת כלי נשק המהווים לכאורה "שלל מלחמה"; אם כי עוצמתה נחלשת עם חלוף ימי המעצר. </w:t>
      </w:r>
    </w:p>
    <w:p w14:paraId="60ACF5BE"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lastRenderedPageBreak/>
        <w:t xml:space="preserve">בואר, כי עילות המעצר בעניינו של המשיב "מצדיקות מעצר </w:t>
      </w:r>
      <w:r>
        <w:rPr>
          <w:rFonts w:cs="David" w:hint="cs"/>
          <w:b/>
          <w:bCs/>
          <w:sz w:val="28"/>
          <w:szCs w:val="28"/>
          <w:rtl/>
        </w:rPr>
        <w:t>ממשי</w:t>
      </w:r>
      <w:r>
        <w:rPr>
          <w:rFonts w:cs="David" w:hint="cs"/>
          <w:sz w:val="28"/>
          <w:szCs w:val="28"/>
          <w:rtl/>
        </w:rPr>
        <w:t xml:space="preserve">", ונדרשים טעמים מיוחדים לשחרור במקרים מעין אלה, אשר לשם בחינת התקיימותם ראוי שתתקבל עמדת שירות המבחן. בית הדין עמד על כך שמתסקיר המעצר שהוכן על ידי שירות המבחן עלה, כי על אף שהמשיב נמנע מלעסוק במניעיו לביצוע העבירה, הוא לא הכחיש את אחריותו וביטא עמדה ביקורתית כלפי עצמו; כי התרשמות עורכת התסקיר הייתה שהרקע למעשים נובע מהצורך המוגבר בריגוש, מקושי בהצבת גבולות והסיכון שבהתנהלותו; כי מעצרו של המשיב נחווה באופן משמעותי והרתעתי; וכיוון שהוא אדם יציב כל חייו ההערכה היא כי יכבד צווי בית המשפט. עוד התרשם שירות המבחן כי חלה הפחתה ראשונית בסיכון במצבו ובהתאם ניתן לשקול בחיוב את שחרורו מהמעצר. </w:t>
      </w:r>
    </w:p>
    <w:p w14:paraId="665C6D1C" w14:textId="77777777" w:rsidR="008F33A0" w:rsidRPr="00DC210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בפני בית הדין התייצבו ארבעה מפקחים שנחקרו נגדית, אחותו של המשיב, בן זוגה, בן דוד של אבי המשיב ואחיו של המשיב. שלושת הראשונים הומלצו כמפקחים גם ידי שירות המבחן. בית הדין התרשם כי המפקחים המוצעים הם נורמטיביים, אחראים ונעדרי עבר פלילי, וכי בעוד שלא היו ערים להתנהגותו של המשיב עת שנטל את כלי הנשק, הם מבינים את חובת הציות לחוק, הם בעלי השפעה על המשיב ויוכלו לקיים פיקוח הדוק כנדרש ולדווח על כל הפרה. כן צוין, כי הוצע על ידי שירות המבחן לשלבו בתוכנית טיפולית. לאור האמור סבר בית הדין קמא כי ניתן יהיה להשיג את מטרת המעצר באמצעות החלופות המוצעות על ידי שירות המבחן, ומכאן החלטתו כאמור.  </w:t>
      </w:r>
    </w:p>
    <w:p w14:paraId="02D2CB61" w14:textId="77777777" w:rsidR="008F33A0" w:rsidRPr="007C092D" w:rsidRDefault="008F33A0" w:rsidP="008F33A0">
      <w:pPr>
        <w:pStyle w:val="1"/>
        <w:numPr>
          <w:ilvl w:val="0"/>
          <w:numId w:val="11"/>
        </w:numPr>
        <w:spacing w:line="360" w:lineRule="auto"/>
        <w:ind w:left="-2"/>
        <w:jc w:val="both"/>
        <w:outlineLvl w:val="0"/>
        <w:rPr>
          <w:rFonts w:cs="David"/>
          <w:sz w:val="28"/>
          <w:szCs w:val="28"/>
        </w:rPr>
      </w:pPr>
      <w:r w:rsidRPr="007C092D">
        <w:rPr>
          <w:rFonts w:cs="David" w:hint="cs"/>
          <w:sz w:val="28"/>
          <w:szCs w:val="28"/>
          <w:rtl/>
        </w:rPr>
        <w:t>התביעה בערעורה, טענה כי משקיבל בית הדין קמא את טענותיה במישור העובדתי ביחס לנסיבות האירועים וחוסר ההיתכנות לגרסת המשיב, לא ניתן היה להניח לטובתו כי כלי הנשק הוחזקו על ידו כמעין מזכרת ולשם התרברבות, משהכחיש זאת באופן עקבי. נטען אפוא, כי הראיות לכאור</w:t>
      </w:r>
      <w:r>
        <w:rPr>
          <w:rFonts w:cs="David" w:hint="cs"/>
          <w:sz w:val="28"/>
          <w:szCs w:val="28"/>
          <w:rtl/>
        </w:rPr>
        <w:t>ה</w:t>
      </w:r>
      <w:r w:rsidRPr="007C092D">
        <w:rPr>
          <w:rFonts w:cs="David" w:hint="cs"/>
          <w:sz w:val="28"/>
          <w:szCs w:val="28"/>
          <w:rtl/>
        </w:rPr>
        <w:t xml:space="preserve"> מלמדות על כך שאף אם לא ניתן לייחס למשיב מניע פלילי מובהק, הרי שכלי הנשק הוחזקו על ידי ממניע עלום, שאינו תמים; וכי בנסיבות אלה</w:t>
      </w:r>
      <w:r>
        <w:rPr>
          <w:rFonts w:cs="David" w:hint="cs"/>
          <w:sz w:val="28"/>
          <w:szCs w:val="28"/>
          <w:rtl/>
        </w:rPr>
        <w:t>, משגם עורכת התסקיר לא הצליחה להתחקות אחר מניעיו של המשיב לביצוע העבירה,</w:t>
      </w:r>
      <w:r w:rsidRPr="007C092D">
        <w:rPr>
          <w:rFonts w:cs="David" w:hint="cs"/>
          <w:sz w:val="28"/>
          <w:szCs w:val="28"/>
          <w:rtl/>
        </w:rPr>
        <w:t xml:space="preserve"> </w:t>
      </w:r>
      <w:r>
        <w:rPr>
          <w:rFonts w:cs="David" w:hint="cs"/>
          <w:sz w:val="28"/>
          <w:szCs w:val="28"/>
          <w:rtl/>
        </w:rPr>
        <w:t xml:space="preserve">יש לקבוע שנשקפת </w:t>
      </w:r>
      <w:r w:rsidRPr="007C092D">
        <w:rPr>
          <w:rFonts w:cs="David" w:hint="cs"/>
          <w:sz w:val="28"/>
          <w:szCs w:val="28"/>
          <w:rtl/>
        </w:rPr>
        <w:t xml:space="preserve">ממעשיו  מסוכנות ממשית, בצירוף לעילת המעצר שעניינה הפגיעה החריפה במשמעת הצבאית, </w:t>
      </w:r>
      <w:r>
        <w:rPr>
          <w:rFonts w:cs="David" w:hint="cs"/>
          <w:sz w:val="28"/>
          <w:szCs w:val="28"/>
          <w:rtl/>
        </w:rPr>
        <w:t xml:space="preserve">באופן שאינו מאפשר את שחרורו לחלופת מעצר. </w:t>
      </w:r>
    </w:p>
    <w:p w14:paraId="6BD0F38B"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ההגנה ביקשה לסמוך ידיה על החלטת בית הדין קמא. במישור העובדתי נטען, כי אף בשלב הדיוני הנוכחי, שבו לא נבחנת, ככלל, מהימנות העדים, יש לתת את הדעת על כך שברק הוא עד בעל אינטרס אישי מובהק לפגוע במשיב ועדותו גם נסתרת בהיבטים מסוימים כגון בתיאור תפקידו של המשיב (אותו הגדיר כ"לוחם לוגיסטי" בניסיון להמעיט מתרומתו בשירות המילואים). כן נטען, כי גם התחשבות בעדותם של ברק וחגי מלמדת לכל היותר על קיומו של מניע של התרברבות ואינה תומכת בטענה בדבר קיומו של מניע "עלום" כטענת התביעה. </w:t>
      </w:r>
    </w:p>
    <w:p w14:paraId="4A1C1B40" w14:textId="77777777" w:rsidR="008F33A0" w:rsidRPr="00D86A0E" w:rsidRDefault="008F33A0" w:rsidP="008F33A0">
      <w:pPr>
        <w:pStyle w:val="1"/>
        <w:numPr>
          <w:ilvl w:val="0"/>
          <w:numId w:val="11"/>
        </w:numPr>
        <w:spacing w:line="360" w:lineRule="auto"/>
        <w:ind w:left="-2"/>
        <w:jc w:val="both"/>
        <w:outlineLvl w:val="0"/>
        <w:rPr>
          <w:rFonts w:cs="David"/>
          <w:sz w:val="28"/>
          <w:szCs w:val="28"/>
        </w:rPr>
      </w:pPr>
      <w:r w:rsidRPr="00D86A0E">
        <w:rPr>
          <w:rFonts w:cs="David" w:hint="cs"/>
          <w:sz w:val="28"/>
          <w:szCs w:val="28"/>
          <w:rtl/>
        </w:rPr>
        <w:lastRenderedPageBreak/>
        <w:t xml:space="preserve">ההגנה טענה כי המשיב הוא איש משפחה </w:t>
      </w:r>
      <w:r>
        <w:rPr>
          <w:rFonts w:cs="David" w:hint="cs"/>
          <w:sz w:val="28"/>
          <w:szCs w:val="28"/>
          <w:rtl/>
        </w:rPr>
        <w:t xml:space="preserve">ואזרח </w:t>
      </w:r>
      <w:r w:rsidRPr="00D86A0E">
        <w:rPr>
          <w:rFonts w:cs="David" w:hint="cs"/>
          <w:sz w:val="28"/>
          <w:szCs w:val="28"/>
          <w:rtl/>
        </w:rPr>
        <w:t>נורמטיבי, שסיכן את חייו במסגרת שירות המילואים, שיתף פעולה מהרגע שנקרא לחקירה ומסר גרסה עקבית וכנה בדבר נטילת שני כלי הנשק הצבאיים בטעות, וכוונתו להחזירם; וכי גרסתו עולה בקנה אחד עם הראיות שנאספו בנוגע לאופן העברת שלל מרצועת עזה לישראל ועם ההודעה שקיבל המשיב בדבר קריאתו העתידית להמשך שירות המילואים שב</w:t>
      </w:r>
      <w:r>
        <w:rPr>
          <w:rFonts w:cs="David" w:hint="cs"/>
          <w:sz w:val="28"/>
          <w:szCs w:val="28"/>
          <w:rtl/>
        </w:rPr>
        <w:t>מהלכו</w:t>
      </w:r>
      <w:r w:rsidRPr="00D86A0E">
        <w:rPr>
          <w:rFonts w:cs="David" w:hint="cs"/>
          <w:sz w:val="28"/>
          <w:szCs w:val="28"/>
          <w:rtl/>
        </w:rPr>
        <w:t xml:space="preserve">, לטענתו, התכוון להחזיר את כלי הנשק. את העובדה שלא החזירם קודם לכן יש לראות על רקע היותו </w:t>
      </w:r>
      <w:r>
        <w:rPr>
          <w:rFonts w:cs="David" w:hint="cs"/>
          <w:sz w:val="28"/>
          <w:szCs w:val="28"/>
          <w:rtl/>
        </w:rPr>
        <w:t xml:space="preserve">משרת </w:t>
      </w:r>
      <w:r w:rsidRPr="00D86A0E">
        <w:rPr>
          <w:rFonts w:cs="David" w:hint="cs"/>
          <w:sz w:val="28"/>
          <w:szCs w:val="28"/>
          <w:rtl/>
        </w:rPr>
        <w:t>מילואים שמרכז חייו אינו בשירות הצבאי, אשר שב לביתו לאחר שירות מילואים ארוך ומשמעותי וניסה לחזור לחייו כאזרח</w:t>
      </w:r>
      <w:r>
        <w:rPr>
          <w:rFonts w:cs="David" w:hint="cs"/>
          <w:sz w:val="28"/>
          <w:szCs w:val="28"/>
          <w:rtl/>
        </w:rPr>
        <w:t xml:space="preserve">. כן נטען כי </w:t>
      </w:r>
      <w:r w:rsidRPr="00D86A0E">
        <w:rPr>
          <w:rFonts w:cs="David" w:hint="cs"/>
          <w:sz w:val="28"/>
          <w:szCs w:val="28"/>
          <w:rtl/>
        </w:rPr>
        <w:t xml:space="preserve">סברתו בתום לב, על סמך הדברים שנמסרו לו כי כלי הנשק אינם תקינים התאמתה באופן חלקי </w:t>
      </w:r>
      <w:r>
        <w:rPr>
          <w:rFonts w:cs="David" w:hint="cs"/>
          <w:sz w:val="28"/>
          <w:szCs w:val="28"/>
          <w:rtl/>
        </w:rPr>
        <w:t xml:space="preserve">בעקבות </w:t>
      </w:r>
      <w:r w:rsidRPr="00D86A0E">
        <w:rPr>
          <w:rFonts w:cs="David" w:hint="cs"/>
          <w:sz w:val="28"/>
          <w:szCs w:val="28"/>
          <w:rtl/>
        </w:rPr>
        <w:t>בדיקת המעבדה; וכי המשיב מסר גרסה עקבית גם ביחס לעילה להחזקת רובה הציד, שהוא רובה בן עשרות שנים שנמסר לו על ידי אביו</w:t>
      </w:r>
      <w:r>
        <w:rPr>
          <w:rFonts w:cs="David" w:hint="cs"/>
          <w:sz w:val="28"/>
          <w:szCs w:val="28"/>
          <w:rtl/>
        </w:rPr>
        <w:t>,</w:t>
      </w:r>
      <w:r w:rsidRPr="00D86A0E">
        <w:rPr>
          <w:rFonts w:cs="David" w:hint="cs"/>
          <w:sz w:val="28"/>
          <w:szCs w:val="28"/>
          <w:rtl/>
        </w:rPr>
        <w:t xml:space="preserve"> משום שהיה בטוח יותר ל</w:t>
      </w:r>
      <w:r>
        <w:rPr>
          <w:rFonts w:cs="David" w:hint="cs"/>
          <w:sz w:val="28"/>
          <w:szCs w:val="28"/>
          <w:rtl/>
        </w:rPr>
        <w:t>אפסנו</w:t>
      </w:r>
      <w:r w:rsidRPr="00D86A0E">
        <w:rPr>
          <w:rFonts w:cs="David" w:hint="cs"/>
          <w:sz w:val="28"/>
          <w:szCs w:val="28"/>
          <w:rtl/>
        </w:rPr>
        <w:t xml:space="preserve"> בבית</w:t>
      </w:r>
      <w:r>
        <w:rPr>
          <w:rFonts w:cs="David" w:hint="cs"/>
          <w:sz w:val="28"/>
          <w:szCs w:val="28"/>
          <w:rtl/>
        </w:rPr>
        <w:t>ו</w:t>
      </w:r>
      <w:r w:rsidRPr="00D86A0E">
        <w:rPr>
          <w:rFonts w:cs="David" w:hint="cs"/>
          <w:sz w:val="28"/>
          <w:szCs w:val="28"/>
          <w:rtl/>
        </w:rPr>
        <w:t xml:space="preserve">. </w:t>
      </w:r>
    </w:p>
    <w:p w14:paraId="334E4B7B" w14:textId="4600A2DB" w:rsidR="008F33A0" w:rsidRPr="004E7831" w:rsidRDefault="008F33A0" w:rsidP="008F33A0">
      <w:pPr>
        <w:pStyle w:val="1"/>
        <w:numPr>
          <w:ilvl w:val="0"/>
          <w:numId w:val="11"/>
        </w:numPr>
        <w:spacing w:line="360" w:lineRule="auto"/>
        <w:ind w:left="-2"/>
        <w:jc w:val="both"/>
        <w:outlineLvl w:val="0"/>
        <w:rPr>
          <w:rFonts w:cs="David"/>
          <w:sz w:val="28"/>
          <w:szCs w:val="28"/>
        </w:rPr>
      </w:pPr>
      <w:r w:rsidRPr="004E7831">
        <w:rPr>
          <w:rFonts w:cs="David" w:hint="cs"/>
          <w:sz w:val="28"/>
          <w:szCs w:val="28"/>
          <w:rtl/>
        </w:rPr>
        <w:t xml:space="preserve">לאור כל האמור סבורה ההגנה כי יש לראות את העבירה המיוחסת למשיב כעבירה של החזקת נשק </w:t>
      </w:r>
      <w:r>
        <w:rPr>
          <w:rFonts w:cs="David" w:hint="cs"/>
          <w:sz w:val="28"/>
          <w:szCs w:val="28"/>
          <w:rtl/>
        </w:rPr>
        <w:t>אשר הוצא בהיתר מהבסיס במסגרת תפקידו; ו</w:t>
      </w:r>
      <w:r w:rsidRPr="004E7831">
        <w:rPr>
          <w:rFonts w:cs="David" w:hint="cs"/>
          <w:sz w:val="28"/>
          <w:szCs w:val="28"/>
          <w:rtl/>
        </w:rPr>
        <w:t>בנסיבות אלה את הסיכון שנשקף ממנה ניתן לאיין ב</w:t>
      </w:r>
      <w:r>
        <w:rPr>
          <w:rFonts w:cs="David" w:hint="cs"/>
          <w:sz w:val="28"/>
          <w:szCs w:val="28"/>
          <w:rtl/>
        </w:rPr>
        <w:t>אמצעות</w:t>
      </w:r>
      <w:r w:rsidRPr="004E7831">
        <w:rPr>
          <w:rFonts w:cs="David" w:hint="cs"/>
          <w:sz w:val="28"/>
          <w:szCs w:val="28"/>
          <w:rtl/>
        </w:rPr>
        <w:t xml:space="preserve"> קביעת חלופת מעצר הדוקה כפי שנעשה</w:t>
      </w:r>
      <w:r>
        <w:rPr>
          <w:rFonts w:cs="David" w:hint="cs"/>
          <w:sz w:val="28"/>
          <w:szCs w:val="28"/>
          <w:rtl/>
        </w:rPr>
        <w:t xml:space="preserve"> בעבר </w:t>
      </w:r>
      <w:r w:rsidRPr="004E7831">
        <w:rPr>
          <w:rFonts w:cs="David" w:hint="cs"/>
          <w:sz w:val="28"/>
          <w:szCs w:val="28"/>
          <w:rtl/>
        </w:rPr>
        <w:t xml:space="preserve">בפסיקת בית המשפט העליון בע"פ 1748/11 </w:t>
      </w:r>
      <w:r w:rsidRPr="004E7831">
        <w:rPr>
          <w:rFonts w:cs="David" w:hint="cs"/>
          <w:b/>
          <w:bCs/>
          <w:sz w:val="28"/>
          <w:szCs w:val="28"/>
          <w:rtl/>
        </w:rPr>
        <w:t xml:space="preserve">יחזקאל נ' מדינת ישראל </w:t>
      </w:r>
      <w:r w:rsidRPr="004E7831">
        <w:rPr>
          <w:rFonts w:cs="David" w:hint="cs"/>
          <w:sz w:val="28"/>
          <w:szCs w:val="28"/>
          <w:rtl/>
        </w:rPr>
        <w:t xml:space="preserve">(10.3.2011) ובהחלטת בית דין זה בע/55/24 </w:t>
      </w:r>
      <w:r w:rsidRPr="004E7831">
        <w:rPr>
          <w:rFonts w:cs="David" w:hint="cs"/>
          <w:b/>
          <w:bCs/>
          <w:sz w:val="28"/>
          <w:szCs w:val="28"/>
          <w:rtl/>
        </w:rPr>
        <w:t>התובע הצבאי נ'</w:t>
      </w:r>
      <w:r>
        <w:rPr>
          <w:rFonts w:cs="David" w:hint="cs"/>
          <w:b/>
          <w:bCs/>
          <w:sz w:val="28"/>
          <w:szCs w:val="28"/>
          <w:rtl/>
        </w:rPr>
        <w:t xml:space="preserve"> רב"ט</w:t>
      </w:r>
      <w:r w:rsidRPr="004E7831">
        <w:rPr>
          <w:rFonts w:cs="David" w:hint="cs"/>
          <w:b/>
          <w:bCs/>
          <w:sz w:val="28"/>
          <w:szCs w:val="28"/>
          <w:rtl/>
        </w:rPr>
        <w:t xml:space="preserve"> גדו </w:t>
      </w:r>
      <w:r w:rsidRPr="004E7831">
        <w:rPr>
          <w:rFonts w:cs="David" w:hint="cs"/>
          <w:sz w:val="28"/>
          <w:szCs w:val="28"/>
          <w:rtl/>
        </w:rPr>
        <w:t>(2024). כן הפנתה ההגנה לע"מ</w:t>
      </w:r>
      <w:r>
        <w:rPr>
          <w:rFonts w:cs="David" w:hint="cs"/>
          <w:sz w:val="28"/>
          <w:szCs w:val="28"/>
          <w:rtl/>
        </w:rPr>
        <w:t>/</w:t>
      </w:r>
      <w:r w:rsidRPr="004E7831">
        <w:rPr>
          <w:rFonts w:cs="David" w:hint="cs"/>
          <w:sz w:val="28"/>
          <w:szCs w:val="28"/>
          <w:rtl/>
        </w:rPr>
        <w:t xml:space="preserve">28/24 </w:t>
      </w:r>
      <w:r w:rsidRPr="004E7831">
        <w:rPr>
          <w:rFonts w:cs="David" w:hint="cs"/>
          <w:b/>
          <w:bCs/>
          <w:sz w:val="28"/>
          <w:szCs w:val="28"/>
          <w:rtl/>
        </w:rPr>
        <w:t xml:space="preserve">סמ"ר גולן נ' התובע הצבאי הראשי </w:t>
      </w:r>
      <w:r w:rsidRPr="004E7831">
        <w:rPr>
          <w:rFonts w:cs="David" w:hint="cs"/>
          <w:sz w:val="28"/>
          <w:szCs w:val="28"/>
          <w:rtl/>
        </w:rPr>
        <w:t xml:space="preserve">(2024)). נטען, כי לאור </w:t>
      </w:r>
      <w:r>
        <w:rPr>
          <w:rFonts w:cs="David" w:hint="cs"/>
          <w:sz w:val="28"/>
          <w:szCs w:val="28"/>
          <w:rtl/>
        </w:rPr>
        <w:t xml:space="preserve">המלצות תסקיר המבחן, התרשמותו של בית הדין מהמפקחים שהוצעו ומתן ערבויות </w:t>
      </w:r>
      <w:r w:rsidRPr="004E7831">
        <w:rPr>
          <w:rFonts w:cs="David" w:hint="cs"/>
          <w:sz w:val="28"/>
          <w:szCs w:val="28"/>
          <w:rtl/>
        </w:rPr>
        <w:t xml:space="preserve">כספיות משמעותיות </w:t>
      </w:r>
      <w:r>
        <w:rPr>
          <w:rFonts w:cs="David" w:hint="cs"/>
          <w:sz w:val="28"/>
          <w:szCs w:val="28"/>
          <w:rtl/>
        </w:rPr>
        <w:t>(</w:t>
      </w:r>
      <w:r w:rsidRPr="004E7831">
        <w:rPr>
          <w:rFonts w:cs="David" w:hint="cs"/>
          <w:sz w:val="28"/>
          <w:szCs w:val="28"/>
          <w:rtl/>
        </w:rPr>
        <w:t xml:space="preserve">שההגנה </w:t>
      </w:r>
      <w:r>
        <w:rPr>
          <w:rFonts w:cs="David" w:hint="cs"/>
          <w:sz w:val="28"/>
          <w:szCs w:val="28"/>
          <w:rtl/>
        </w:rPr>
        <w:t xml:space="preserve">הצהירה כי היא </w:t>
      </w:r>
      <w:r w:rsidRPr="004E7831">
        <w:rPr>
          <w:rFonts w:cs="David" w:hint="cs"/>
          <w:sz w:val="28"/>
          <w:szCs w:val="28"/>
          <w:rtl/>
        </w:rPr>
        <w:t>נכונה גם להגדילן ככל שהדבר יידרש</w:t>
      </w:r>
      <w:r>
        <w:rPr>
          <w:rFonts w:cs="David" w:hint="cs"/>
          <w:sz w:val="28"/>
          <w:szCs w:val="28"/>
          <w:rtl/>
        </w:rPr>
        <w:t>)  הרי ש</w:t>
      </w:r>
      <w:r w:rsidRPr="004E7831">
        <w:rPr>
          <w:rFonts w:cs="David" w:hint="cs"/>
          <w:sz w:val="28"/>
          <w:szCs w:val="28"/>
          <w:rtl/>
        </w:rPr>
        <w:t xml:space="preserve">יש להצביע על טעמים ממשיים </w:t>
      </w:r>
      <w:r>
        <w:rPr>
          <w:rFonts w:cs="David" w:hint="cs"/>
          <w:sz w:val="28"/>
          <w:szCs w:val="28"/>
          <w:rtl/>
        </w:rPr>
        <w:t xml:space="preserve">לסטייה מהמלצות התסקיר, </w:t>
      </w:r>
      <w:r w:rsidRPr="004E7831">
        <w:rPr>
          <w:rFonts w:cs="David" w:hint="cs"/>
          <w:sz w:val="28"/>
          <w:szCs w:val="28"/>
          <w:rtl/>
        </w:rPr>
        <w:t xml:space="preserve">וכי יש לתת את הדעת גם להליך הטיפולי שהומלץ עליו במסגרת תקופת המעצר. כן </w:t>
      </w:r>
      <w:r>
        <w:rPr>
          <w:rFonts w:cs="David" w:hint="cs"/>
          <w:sz w:val="28"/>
          <w:szCs w:val="28"/>
          <w:rtl/>
        </w:rPr>
        <w:t xml:space="preserve">חוששת ההגנה להתמשכות הליכים בתיק - שכן נמסר כי נבחנת האפשרות לשמיעת ראיות, ככל שלא יצלח הליך גישור המתוכנן להתחיל בשבוע הבא. </w:t>
      </w:r>
    </w:p>
    <w:p w14:paraId="550B12DE" w14:textId="77777777" w:rsidR="008F33A0" w:rsidRPr="00CF4DC2" w:rsidRDefault="008F33A0" w:rsidP="008F33A0">
      <w:pPr>
        <w:pStyle w:val="1"/>
        <w:spacing w:line="360" w:lineRule="auto"/>
        <w:ind w:left="0"/>
        <w:jc w:val="both"/>
        <w:outlineLvl w:val="0"/>
        <w:rPr>
          <w:rFonts w:cs="David"/>
          <w:b/>
          <w:bCs/>
          <w:sz w:val="16"/>
          <w:szCs w:val="16"/>
          <w:u w:val="single"/>
          <w:rtl/>
        </w:rPr>
      </w:pPr>
    </w:p>
    <w:p w14:paraId="3737E814" w14:textId="5BA2FF96" w:rsidR="008F33A0" w:rsidRDefault="008F33A0" w:rsidP="00CF4DC2">
      <w:pPr>
        <w:pStyle w:val="1"/>
        <w:spacing w:line="360" w:lineRule="auto"/>
        <w:ind w:left="-2"/>
        <w:jc w:val="both"/>
        <w:outlineLvl w:val="0"/>
        <w:rPr>
          <w:rFonts w:cs="David"/>
          <w:b/>
          <w:bCs/>
          <w:sz w:val="28"/>
          <w:szCs w:val="28"/>
          <w:u w:val="single"/>
          <w:rtl/>
        </w:rPr>
      </w:pPr>
      <w:r>
        <w:rPr>
          <w:rFonts w:cs="David" w:hint="cs"/>
          <w:b/>
          <w:bCs/>
          <w:sz w:val="28"/>
          <w:szCs w:val="28"/>
          <w:u w:val="single"/>
          <w:rtl/>
        </w:rPr>
        <w:t>דיון והכרעה</w:t>
      </w:r>
    </w:p>
    <w:p w14:paraId="76CF11F7" w14:textId="77777777" w:rsidR="008F33A0" w:rsidRPr="00D079B2" w:rsidRDefault="008F33A0" w:rsidP="008F33A0">
      <w:pPr>
        <w:pStyle w:val="1"/>
        <w:numPr>
          <w:ilvl w:val="0"/>
          <w:numId w:val="11"/>
        </w:numPr>
        <w:spacing w:line="360" w:lineRule="auto"/>
        <w:ind w:left="-2"/>
        <w:jc w:val="both"/>
        <w:outlineLvl w:val="0"/>
        <w:rPr>
          <w:rFonts w:cs="David"/>
          <w:sz w:val="28"/>
          <w:szCs w:val="28"/>
        </w:rPr>
      </w:pPr>
      <w:r w:rsidRPr="00D079B2">
        <w:rPr>
          <w:rFonts w:cs="David" w:hint="cs"/>
          <w:sz w:val="28"/>
          <w:szCs w:val="28"/>
          <w:rtl/>
        </w:rPr>
        <w:t xml:space="preserve">כידוע, עבירות בנשק </w:t>
      </w:r>
      <w:r>
        <w:rPr>
          <w:rFonts w:cs="David" w:hint="cs"/>
          <w:sz w:val="28"/>
          <w:szCs w:val="28"/>
          <w:rtl/>
        </w:rPr>
        <w:t xml:space="preserve">מקימות </w:t>
      </w:r>
      <w:r w:rsidRPr="00D079B2">
        <w:rPr>
          <w:rFonts w:cs="David" w:hint="cs"/>
          <w:sz w:val="28"/>
          <w:szCs w:val="28"/>
          <w:rtl/>
        </w:rPr>
        <w:t>חזקת מסוכנות סטטוטורית לפי סעיף 21(א)(1)(ג)(2) לחוק סדר הדין הפלילי (סמכויות אכיפה - מעצרים), התשנ"ו - 1996. הכלל ביחס לעבירות אלה, אפוא, הוא כי יש לעצור את הנאשם מאחורי סורג ובריח</w:t>
      </w:r>
      <w:r>
        <w:rPr>
          <w:rFonts w:cs="David" w:hint="cs"/>
          <w:sz w:val="28"/>
          <w:szCs w:val="28"/>
          <w:rtl/>
        </w:rPr>
        <w:t xml:space="preserve"> (</w:t>
      </w:r>
      <w:r w:rsidRPr="00D079B2">
        <w:rPr>
          <w:rFonts w:cs="David" w:hint="cs"/>
          <w:sz w:val="28"/>
          <w:szCs w:val="28"/>
          <w:rtl/>
        </w:rPr>
        <w:t xml:space="preserve">בש"פ 1128/24 </w:t>
      </w:r>
      <w:r w:rsidRPr="00D079B2">
        <w:rPr>
          <w:rFonts w:cs="David" w:hint="cs"/>
          <w:b/>
          <w:bCs/>
          <w:sz w:val="28"/>
          <w:szCs w:val="28"/>
          <w:rtl/>
        </w:rPr>
        <w:t>מנאסרה נ' מדינת ישראל</w:t>
      </w:r>
      <w:r w:rsidRPr="00D079B2">
        <w:rPr>
          <w:rFonts w:cs="David" w:hint="cs"/>
          <w:sz w:val="28"/>
          <w:szCs w:val="28"/>
          <w:rtl/>
        </w:rPr>
        <w:t>, פסקה 18 (22.2.2024)</w:t>
      </w:r>
      <w:r>
        <w:rPr>
          <w:rFonts w:cs="David" w:hint="cs"/>
          <w:sz w:val="28"/>
          <w:szCs w:val="28"/>
          <w:rtl/>
        </w:rPr>
        <w:t xml:space="preserve">). בואר, כי </w:t>
      </w:r>
      <w:r w:rsidRPr="00D079B2">
        <w:rPr>
          <w:rFonts w:cs="David" w:hint="cs"/>
          <w:sz w:val="28"/>
          <w:szCs w:val="28"/>
          <w:rtl/>
        </w:rPr>
        <w:t>"</w:t>
      </w:r>
      <w:r w:rsidRPr="00D079B2">
        <w:rPr>
          <w:rFonts w:cs="David"/>
          <w:sz w:val="28"/>
          <w:szCs w:val="28"/>
          <w:rtl/>
        </w:rPr>
        <w:t>כאשר כתב אישום שהוגש נגד נאשם בגיר מאומת כדבעי בראיות לכאורה, והנאשם חוסה בצילה של חזקת המסוכנות אשר נקבע</w:t>
      </w:r>
      <w:r w:rsidRPr="00D079B2">
        <w:rPr>
          <w:rFonts w:cs="David" w:hint="cs"/>
          <w:sz w:val="28"/>
          <w:szCs w:val="28"/>
          <w:rtl/>
        </w:rPr>
        <w:t xml:space="preserve"> בסעיפים 21(א)(1)(ג) ו-22(ב) לחוק המעצרים, </w:t>
      </w:r>
      <w:r w:rsidRPr="00D079B2">
        <w:rPr>
          <w:rFonts w:cs="David"/>
          <w:sz w:val="28"/>
          <w:szCs w:val="28"/>
          <w:rtl/>
        </w:rPr>
        <w:t xml:space="preserve">השאלה שיש לשאול ביחס לאפשרות לשחררו מן הכלא בתנאים מגבילים או להעבירו למעצר בפיקוח אלקטרוני אל מחוץ לכותלי הכלא, היא לא </w:t>
      </w:r>
      <w:r>
        <w:rPr>
          <w:rFonts w:cs="David" w:hint="cs"/>
          <w:sz w:val="28"/>
          <w:szCs w:val="28"/>
          <w:rtl/>
        </w:rPr>
        <w:t>'</w:t>
      </w:r>
      <w:r w:rsidRPr="00D079B2">
        <w:rPr>
          <w:rFonts w:cs="David"/>
          <w:sz w:val="28"/>
          <w:szCs w:val="28"/>
          <w:rtl/>
        </w:rPr>
        <w:t>למה לא?</w:t>
      </w:r>
      <w:r>
        <w:rPr>
          <w:rFonts w:cs="David" w:hint="cs"/>
          <w:sz w:val="28"/>
          <w:szCs w:val="28"/>
          <w:rtl/>
        </w:rPr>
        <w:t>'</w:t>
      </w:r>
      <w:r w:rsidRPr="00D079B2">
        <w:rPr>
          <w:rFonts w:cs="David"/>
          <w:sz w:val="28"/>
          <w:szCs w:val="28"/>
          <w:rtl/>
        </w:rPr>
        <w:t xml:space="preserve">, אלא </w:t>
      </w:r>
      <w:r>
        <w:rPr>
          <w:rFonts w:cs="David" w:hint="cs"/>
          <w:sz w:val="28"/>
          <w:szCs w:val="28"/>
          <w:rtl/>
        </w:rPr>
        <w:t>'</w:t>
      </w:r>
      <w:r w:rsidRPr="00D079B2">
        <w:rPr>
          <w:rFonts w:cs="David"/>
          <w:sz w:val="28"/>
          <w:szCs w:val="28"/>
          <w:rtl/>
        </w:rPr>
        <w:t>למה כן?</w:t>
      </w:r>
      <w:r>
        <w:rPr>
          <w:rFonts w:cs="David" w:hint="cs"/>
          <w:sz w:val="28"/>
          <w:szCs w:val="28"/>
          <w:rtl/>
        </w:rPr>
        <w:t>'...</w:t>
      </w:r>
      <w:r w:rsidRPr="00D079B2">
        <w:rPr>
          <w:rFonts w:cs="David"/>
          <w:sz w:val="28"/>
          <w:szCs w:val="28"/>
          <w:rtl/>
        </w:rPr>
        <w:t xml:space="preserve"> כל אחת מחלופות אלה לא תתאפשר אלא בהתקיים טעמים </w:t>
      </w:r>
      <w:r w:rsidRPr="00D079B2">
        <w:rPr>
          <w:rFonts w:cs="David"/>
          <w:sz w:val="28"/>
          <w:szCs w:val="28"/>
          <w:rtl/>
        </w:rPr>
        <w:lastRenderedPageBreak/>
        <w:t>מיוחדים</w:t>
      </w:r>
      <w:r w:rsidRPr="00D079B2">
        <w:rPr>
          <w:rFonts w:cs="David"/>
          <w:sz w:val="28"/>
          <w:szCs w:val="28"/>
        </w:rPr>
        <w:t>"</w:t>
      </w:r>
      <w:r w:rsidRPr="00D079B2">
        <w:rPr>
          <w:rFonts w:cs="David" w:hint="cs"/>
          <w:sz w:val="28"/>
          <w:szCs w:val="28"/>
          <w:rtl/>
        </w:rPr>
        <w:t xml:space="preserve"> (בש"פ 8374/23 </w:t>
      </w:r>
      <w:r w:rsidRPr="00D079B2">
        <w:rPr>
          <w:rFonts w:cs="David" w:hint="cs"/>
          <w:b/>
          <w:bCs/>
          <w:sz w:val="28"/>
          <w:szCs w:val="28"/>
          <w:rtl/>
        </w:rPr>
        <w:t>קלגסי נ' מדינת ישראל</w:t>
      </w:r>
      <w:r w:rsidRPr="00D079B2">
        <w:rPr>
          <w:rFonts w:cs="David" w:hint="cs"/>
          <w:sz w:val="28"/>
          <w:szCs w:val="28"/>
          <w:rtl/>
        </w:rPr>
        <w:t xml:space="preserve">, פסקה </w:t>
      </w:r>
      <w:r>
        <w:rPr>
          <w:rFonts w:cs="David" w:hint="cs"/>
          <w:sz w:val="28"/>
          <w:szCs w:val="28"/>
          <w:rtl/>
        </w:rPr>
        <w:t xml:space="preserve"> 10 והאסמכתאות שם)</w:t>
      </w:r>
      <w:r w:rsidRPr="00D079B2">
        <w:rPr>
          <w:rFonts w:cs="David" w:hint="cs"/>
          <w:sz w:val="28"/>
          <w:szCs w:val="28"/>
          <w:rtl/>
        </w:rPr>
        <w:t xml:space="preserve"> (12.12.2023)</w:t>
      </w:r>
      <w:r>
        <w:rPr>
          <w:rFonts w:cs="David" w:hint="cs"/>
          <w:sz w:val="28"/>
          <w:szCs w:val="28"/>
          <w:rtl/>
        </w:rPr>
        <w:t xml:space="preserve">). </w:t>
      </w:r>
      <w:r w:rsidRPr="00D079B2">
        <w:rPr>
          <w:rFonts w:cs="David" w:hint="cs"/>
          <w:sz w:val="28"/>
          <w:szCs w:val="28"/>
          <w:rtl/>
        </w:rPr>
        <w:t xml:space="preserve"> </w:t>
      </w:r>
    </w:p>
    <w:p w14:paraId="00F1349C" w14:textId="150D9885"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לפיכך יוטעם, כי אף אם ניתן היה להניח לטובת המשיב שכלי הנשק הוחזקו על ידיו מתוך רצון להתרברב ולשמור לעצמו מזכרת, כפי שסבר בית הדין קמא, הרי שעצם הוצאת והחזקת מספר כלי נשק במשך תקופה בלתי מבוטלת, מבלי שהשיב אותם ביוזמתו, מלמדת על קיומה של מסוכנות בעוצמה גבוהה. עם זאת, אכן, שיקול משמעותי בעת </w:t>
      </w:r>
      <w:r w:rsidRPr="007E73E1">
        <w:rPr>
          <w:rFonts w:cs="David" w:hint="cs"/>
          <w:sz w:val="28"/>
          <w:szCs w:val="28"/>
          <w:rtl/>
        </w:rPr>
        <w:t xml:space="preserve">הערכת </w:t>
      </w:r>
      <w:r>
        <w:rPr>
          <w:rFonts w:cs="David" w:hint="cs"/>
          <w:sz w:val="28"/>
          <w:szCs w:val="28"/>
          <w:rtl/>
        </w:rPr>
        <w:t xml:space="preserve">עוצמתה </w:t>
      </w:r>
      <w:r w:rsidRPr="007E73E1">
        <w:rPr>
          <w:rFonts w:cs="David" w:hint="cs"/>
          <w:sz w:val="28"/>
          <w:szCs w:val="28"/>
          <w:rtl/>
        </w:rPr>
        <w:t xml:space="preserve">של המסוכנות, </w:t>
      </w:r>
      <w:r>
        <w:rPr>
          <w:rFonts w:cs="David" w:hint="cs"/>
          <w:sz w:val="28"/>
          <w:szCs w:val="28"/>
          <w:rtl/>
        </w:rPr>
        <w:t xml:space="preserve">נעוץ בבחינת </w:t>
      </w:r>
      <w:r w:rsidRPr="002C751E">
        <w:rPr>
          <w:rFonts w:cs="David" w:hint="cs"/>
          <w:b/>
          <w:bCs/>
          <w:sz w:val="28"/>
          <w:szCs w:val="28"/>
          <w:rtl/>
        </w:rPr>
        <w:t>המניע</w:t>
      </w:r>
      <w:r w:rsidRPr="007E73E1">
        <w:rPr>
          <w:rFonts w:cs="David" w:hint="cs"/>
          <w:sz w:val="28"/>
          <w:szCs w:val="28"/>
          <w:rtl/>
        </w:rPr>
        <w:t xml:space="preserve"> להחזקת הנשק שלא כדין</w:t>
      </w:r>
      <w:r>
        <w:rPr>
          <w:rFonts w:cs="David" w:hint="cs"/>
          <w:sz w:val="28"/>
          <w:szCs w:val="28"/>
          <w:rtl/>
        </w:rPr>
        <w:t xml:space="preserve">, ויש באמור </w:t>
      </w:r>
      <w:r w:rsidRPr="007E73E1">
        <w:rPr>
          <w:rFonts w:cs="David" w:hint="cs"/>
          <w:sz w:val="28"/>
          <w:szCs w:val="28"/>
          <w:rtl/>
        </w:rPr>
        <w:t xml:space="preserve">כדי להשליך על </w:t>
      </w:r>
      <w:r>
        <w:rPr>
          <w:rFonts w:cs="David" w:hint="cs"/>
          <w:sz w:val="28"/>
          <w:szCs w:val="28"/>
          <w:rtl/>
        </w:rPr>
        <w:t xml:space="preserve">הערכת </w:t>
      </w:r>
      <w:r w:rsidRPr="007E73E1">
        <w:rPr>
          <w:rFonts w:cs="David" w:hint="cs"/>
          <w:sz w:val="28"/>
          <w:szCs w:val="28"/>
          <w:rtl/>
        </w:rPr>
        <w:t>המסוכנות הנשקפת ממי שנוטל חלק בביצועה (ר</w:t>
      </w:r>
      <w:r>
        <w:rPr>
          <w:rFonts w:cs="David" w:hint="cs"/>
          <w:sz w:val="28"/>
          <w:szCs w:val="28"/>
          <w:rtl/>
        </w:rPr>
        <w:t>או</w:t>
      </w:r>
      <w:r w:rsidRPr="007E73E1">
        <w:rPr>
          <w:rFonts w:cs="David" w:hint="cs"/>
          <w:sz w:val="28"/>
          <w:szCs w:val="28"/>
          <w:rtl/>
        </w:rPr>
        <w:t xml:space="preserve"> ע"מ</w:t>
      </w:r>
      <w:r>
        <w:rPr>
          <w:rFonts w:cs="David" w:hint="cs"/>
          <w:sz w:val="28"/>
          <w:szCs w:val="28"/>
          <w:rtl/>
        </w:rPr>
        <w:t>/</w:t>
      </w:r>
      <w:r w:rsidRPr="007E73E1">
        <w:rPr>
          <w:rFonts w:cs="David" w:hint="cs"/>
          <w:sz w:val="28"/>
          <w:szCs w:val="28"/>
          <w:rtl/>
        </w:rPr>
        <w:t xml:space="preserve">69/21 </w:t>
      </w:r>
      <w:r w:rsidRPr="007E73E1">
        <w:rPr>
          <w:rFonts w:cs="David" w:hint="cs"/>
          <w:b/>
          <w:bCs/>
          <w:sz w:val="28"/>
          <w:szCs w:val="28"/>
          <w:rtl/>
        </w:rPr>
        <w:t>סמל ישראל נ' התובע הצבאי הראשי</w:t>
      </w:r>
      <w:r w:rsidRPr="007E73E1">
        <w:rPr>
          <w:rFonts w:cs="David" w:hint="cs"/>
          <w:sz w:val="28"/>
          <w:szCs w:val="28"/>
          <w:rtl/>
        </w:rPr>
        <w:t>,</w:t>
      </w:r>
      <w:r w:rsidRPr="007E73E1">
        <w:rPr>
          <w:rFonts w:cs="David" w:hint="cs"/>
          <w:b/>
          <w:bCs/>
          <w:sz w:val="28"/>
          <w:szCs w:val="28"/>
          <w:rtl/>
        </w:rPr>
        <w:t xml:space="preserve"> </w:t>
      </w:r>
      <w:r w:rsidRPr="007E73E1">
        <w:rPr>
          <w:rFonts w:cs="David" w:hint="cs"/>
          <w:sz w:val="28"/>
          <w:szCs w:val="28"/>
          <w:rtl/>
        </w:rPr>
        <w:t>בפסקה 20 (2021); ע"מ</w:t>
      </w:r>
      <w:r>
        <w:rPr>
          <w:rFonts w:cs="David" w:hint="cs"/>
          <w:sz w:val="28"/>
          <w:szCs w:val="28"/>
          <w:rtl/>
        </w:rPr>
        <w:t>/</w:t>
      </w:r>
      <w:r w:rsidRPr="007E73E1">
        <w:rPr>
          <w:rFonts w:cs="David" w:hint="cs"/>
          <w:sz w:val="28"/>
          <w:szCs w:val="28"/>
          <w:rtl/>
        </w:rPr>
        <w:t xml:space="preserve">35/18 </w:t>
      </w:r>
      <w:r w:rsidRPr="007E73E1">
        <w:rPr>
          <w:rFonts w:cs="David" w:hint="cs"/>
          <w:b/>
          <w:bCs/>
          <w:sz w:val="28"/>
          <w:szCs w:val="28"/>
          <w:rtl/>
        </w:rPr>
        <w:t>סמ"ר סלגן נ' התובע הצבאי הראשי</w:t>
      </w:r>
      <w:r w:rsidRPr="007E73E1">
        <w:rPr>
          <w:rFonts w:cs="David" w:hint="cs"/>
          <w:sz w:val="28"/>
          <w:szCs w:val="28"/>
          <w:rtl/>
        </w:rPr>
        <w:t>,</w:t>
      </w:r>
      <w:r w:rsidRPr="007E73E1">
        <w:rPr>
          <w:rFonts w:cs="David" w:hint="cs"/>
          <w:b/>
          <w:bCs/>
          <w:sz w:val="28"/>
          <w:szCs w:val="28"/>
          <w:rtl/>
        </w:rPr>
        <w:t xml:space="preserve"> </w:t>
      </w:r>
      <w:r w:rsidRPr="007E73E1">
        <w:rPr>
          <w:rFonts w:cs="David" w:hint="cs"/>
          <w:sz w:val="28"/>
          <w:szCs w:val="28"/>
          <w:rtl/>
        </w:rPr>
        <w:t>בפסקה 19 (2018)</w:t>
      </w:r>
      <w:r>
        <w:rPr>
          <w:rFonts w:cs="David" w:hint="cs"/>
          <w:sz w:val="28"/>
          <w:szCs w:val="28"/>
          <w:rtl/>
        </w:rPr>
        <w:t>)</w:t>
      </w:r>
      <w:r w:rsidRPr="007E73E1">
        <w:rPr>
          <w:rFonts w:cs="David" w:hint="cs"/>
          <w:sz w:val="28"/>
          <w:szCs w:val="28"/>
          <w:rtl/>
        </w:rPr>
        <w:t>. לצורך קביעת אותו מניע</w:t>
      </w:r>
      <w:r>
        <w:rPr>
          <w:rFonts w:cs="David" w:hint="cs"/>
          <w:sz w:val="28"/>
          <w:szCs w:val="28"/>
          <w:rtl/>
        </w:rPr>
        <w:t>-</w:t>
      </w:r>
      <w:r w:rsidRPr="007E73E1">
        <w:rPr>
          <w:rFonts w:cs="David" w:hint="cs"/>
          <w:sz w:val="28"/>
          <w:szCs w:val="28"/>
          <w:rtl/>
        </w:rPr>
        <w:t>לכאור</w:t>
      </w:r>
      <w:r>
        <w:rPr>
          <w:rFonts w:cs="David" w:hint="cs"/>
          <w:sz w:val="28"/>
          <w:szCs w:val="28"/>
          <w:rtl/>
        </w:rPr>
        <w:t>ה</w:t>
      </w:r>
      <w:r w:rsidRPr="007E73E1">
        <w:rPr>
          <w:rFonts w:cs="David" w:hint="cs"/>
          <w:sz w:val="28"/>
          <w:szCs w:val="28"/>
          <w:rtl/>
        </w:rPr>
        <w:t>, ניתן לפעול לפי ההיגיון הבריא, לא נדרש שכנוע מעבר לספק, ודי במסקנה סבירה העשויה להילמד מנסיבות המקרה (ע"מ</w:t>
      </w:r>
      <w:r>
        <w:rPr>
          <w:rFonts w:cs="David" w:hint="cs"/>
          <w:sz w:val="28"/>
          <w:szCs w:val="28"/>
          <w:rtl/>
        </w:rPr>
        <w:t>/</w:t>
      </w:r>
      <w:r w:rsidRPr="007E73E1">
        <w:rPr>
          <w:rFonts w:cs="David" w:hint="cs"/>
          <w:sz w:val="28"/>
          <w:szCs w:val="28"/>
          <w:rtl/>
        </w:rPr>
        <w:t xml:space="preserve">60/19,61 </w:t>
      </w:r>
      <w:r w:rsidRPr="007E73E1">
        <w:rPr>
          <w:rFonts w:cs="David" w:hint="cs"/>
          <w:b/>
          <w:bCs/>
          <w:sz w:val="28"/>
          <w:szCs w:val="28"/>
          <w:rtl/>
        </w:rPr>
        <w:t>רב"ט מוסא וטור' שאהין נ' התובע הצבאי הראשי</w:t>
      </w:r>
      <w:r w:rsidRPr="007E73E1">
        <w:rPr>
          <w:rFonts w:cs="David" w:hint="cs"/>
          <w:sz w:val="28"/>
          <w:szCs w:val="28"/>
          <w:rtl/>
        </w:rPr>
        <w:t>,</w:t>
      </w:r>
      <w:r w:rsidRPr="007E73E1">
        <w:rPr>
          <w:rFonts w:cs="David" w:hint="cs"/>
          <w:b/>
          <w:bCs/>
          <w:sz w:val="28"/>
          <w:szCs w:val="28"/>
          <w:rtl/>
        </w:rPr>
        <w:t xml:space="preserve"> </w:t>
      </w:r>
      <w:r w:rsidRPr="007E73E1">
        <w:rPr>
          <w:rFonts w:cs="David" w:hint="cs"/>
          <w:sz w:val="28"/>
          <w:szCs w:val="28"/>
          <w:rtl/>
        </w:rPr>
        <w:t>פסקה 21 (2019); ע"מ</w:t>
      </w:r>
      <w:r>
        <w:rPr>
          <w:rFonts w:cs="David" w:hint="cs"/>
          <w:sz w:val="28"/>
          <w:szCs w:val="28"/>
          <w:rtl/>
        </w:rPr>
        <w:t>/</w:t>
      </w:r>
      <w:r w:rsidRPr="007E73E1">
        <w:rPr>
          <w:rFonts w:cs="David" w:hint="cs"/>
          <w:sz w:val="28"/>
          <w:szCs w:val="28"/>
          <w:rtl/>
        </w:rPr>
        <w:t xml:space="preserve">57/21 </w:t>
      </w:r>
      <w:r w:rsidRPr="007E73E1">
        <w:rPr>
          <w:rFonts w:cs="David" w:hint="cs"/>
          <w:b/>
          <w:bCs/>
          <w:sz w:val="28"/>
          <w:szCs w:val="28"/>
          <w:rtl/>
        </w:rPr>
        <w:t xml:space="preserve">טור' אלסראיעה נ' התובע הצבאי הראשי, </w:t>
      </w:r>
      <w:r w:rsidRPr="007E73E1">
        <w:rPr>
          <w:rFonts w:cs="David" w:hint="cs"/>
          <w:sz w:val="28"/>
          <w:szCs w:val="28"/>
          <w:rtl/>
        </w:rPr>
        <w:t>פסקה 19 (2021))</w:t>
      </w:r>
      <w:r>
        <w:rPr>
          <w:rFonts w:cs="David" w:hint="cs"/>
          <w:sz w:val="28"/>
          <w:szCs w:val="28"/>
          <w:rtl/>
        </w:rPr>
        <w:t xml:space="preserve">. </w:t>
      </w:r>
    </w:p>
    <w:p w14:paraId="407BEC29" w14:textId="77777777" w:rsidR="008F33A0" w:rsidRPr="00DA042E" w:rsidRDefault="008F33A0" w:rsidP="008F33A0">
      <w:pPr>
        <w:pStyle w:val="1"/>
        <w:numPr>
          <w:ilvl w:val="0"/>
          <w:numId w:val="11"/>
        </w:numPr>
        <w:spacing w:line="360" w:lineRule="auto"/>
        <w:ind w:left="-2"/>
        <w:jc w:val="both"/>
        <w:outlineLvl w:val="0"/>
        <w:rPr>
          <w:rFonts w:cs="David"/>
          <w:sz w:val="28"/>
          <w:szCs w:val="28"/>
        </w:rPr>
      </w:pPr>
      <w:r w:rsidRPr="00DA042E">
        <w:rPr>
          <w:rFonts w:cs="David" w:hint="cs"/>
          <w:sz w:val="28"/>
          <w:szCs w:val="28"/>
          <w:rtl/>
        </w:rPr>
        <w:t>ביישום לענייננו, יש לקבוע כי בעוד שיש טעם רב בניתוח המקיף שערך בית הדין קמא למסד הראייתי הלכאורי שהונח בפניו, הרי ששגיאתו נעוצה במסקנותיו בנוגע למניעיו של המשיב לביצוע העבירה</w:t>
      </w:r>
      <w:r>
        <w:rPr>
          <w:rFonts w:cs="David" w:hint="cs"/>
          <w:sz w:val="28"/>
          <w:szCs w:val="28"/>
          <w:rtl/>
        </w:rPr>
        <w:t xml:space="preserve">. </w:t>
      </w:r>
      <w:r w:rsidRPr="00DA042E">
        <w:rPr>
          <w:rFonts w:cs="David" w:hint="cs"/>
          <w:sz w:val="28"/>
          <w:szCs w:val="28"/>
          <w:rtl/>
        </w:rPr>
        <w:t xml:space="preserve">אף אם </w:t>
      </w:r>
      <w:r>
        <w:rPr>
          <w:rFonts w:cs="David" w:hint="cs"/>
          <w:sz w:val="28"/>
          <w:szCs w:val="28"/>
          <w:rtl/>
        </w:rPr>
        <w:t>ל</w:t>
      </w:r>
      <w:r w:rsidRPr="00DA042E">
        <w:rPr>
          <w:rFonts w:cs="David" w:hint="cs"/>
          <w:sz w:val="28"/>
          <w:szCs w:val="28"/>
          <w:rtl/>
        </w:rPr>
        <w:t xml:space="preserve">גרסת המשיב בדבר אופן העברת ציוד שנתפס בעזה לישראל </w:t>
      </w:r>
      <w:r>
        <w:rPr>
          <w:rFonts w:cs="David" w:hint="cs"/>
          <w:sz w:val="28"/>
          <w:szCs w:val="28"/>
          <w:rtl/>
        </w:rPr>
        <w:t>אחיזה מסויימת בחלק מן ה</w:t>
      </w:r>
      <w:r w:rsidRPr="00DA042E">
        <w:rPr>
          <w:rFonts w:cs="David" w:hint="cs"/>
          <w:sz w:val="28"/>
          <w:szCs w:val="28"/>
          <w:rtl/>
        </w:rPr>
        <w:t>ראיות שנאספו, הרי ש</w:t>
      </w:r>
      <w:r>
        <w:rPr>
          <w:rFonts w:cs="David" w:hint="cs"/>
          <w:sz w:val="28"/>
          <w:szCs w:val="28"/>
          <w:rtl/>
        </w:rPr>
        <w:t xml:space="preserve">כפי שציין בית הדין קמא, </w:t>
      </w:r>
      <w:r w:rsidRPr="00DA042E">
        <w:rPr>
          <w:rFonts w:cs="David" w:hint="cs"/>
          <w:sz w:val="28"/>
          <w:szCs w:val="28"/>
          <w:rtl/>
        </w:rPr>
        <w:t>עיון מ</w:t>
      </w:r>
      <w:r>
        <w:rPr>
          <w:rFonts w:cs="David" w:hint="cs"/>
          <w:sz w:val="28"/>
          <w:szCs w:val="28"/>
          <w:rtl/>
        </w:rPr>
        <w:t xml:space="preserve">דוקדק </w:t>
      </w:r>
      <w:r w:rsidRPr="00DA042E">
        <w:rPr>
          <w:rFonts w:cs="David" w:hint="cs"/>
          <w:sz w:val="28"/>
          <w:szCs w:val="28"/>
          <w:rtl/>
        </w:rPr>
        <w:t>ב</w:t>
      </w:r>
      <w:r>
        <w:rPr>
          <w:rFonts w:cs="David" w:hint="cs"/>
          <w:sz w:val="28"/>
          <w:szCs w:val="28"/>
          <w:rtl/>
        </w:rPr>
        <w:t xml:space="preserve">תמונה הכוללת של </w:t>
      </w:r>
      <w:r w:rsidRPr="00DA042E">
        <w:rPr>
          <w:rFonts w:cs="David" w:hint="cs"/>
          <w:sz w:val="28"/>
          <w:szCs w:val="28"/>
          <w:rtl/>
        </w:rPr>
        <w:t>חומר החקירה הלכאורי</w:t>
      </w:r>
      <w:r>
        <w:rPr>
          <w:rFonts w:cs="David" w:hint="cs"/>
          <w:sz w:val="28"/>
          <w:szCs w:val="28"/>
          <w:rtl/>
        </w:rPr>
        <w:t>,</w:t>
      </w:r>
      <w:r w:rsidRPr="00DA042E">
        <w:rPr>
          <w:rFonts w:cs="David" w:hint="cs"/>
          <w:sz w:val="28"/>
          <w:szCs w:val="28"/>
          <w:rtl/>
        </w:rPr>
        <w:t xml:space="preserve"> מעלה כי </w:t>
      </w:r>
      <w:r>
        <w:rPr>
          <w:rFonts w:cs="David" w:hint="cs"/>
          <w:sz w:val="28"/>
          <w:szCs w:val="28"/>
          <w:rtl/>
        </w:rPr>
        <w:t xml:space="preserve">גרסת המשיב אינה עולה בקנה אחד עמה. </w:t>
      </w:r>
      <w:r w:rsidRPr="00DA042E">
        <w:rPr>
          <w:rFonts w:cs="David" w:hint="cs"/>
          <w:sz w:val="28"/>
          <w:szCs w:val="28"/>
          <w:rtl/>
        </w:rPr>
        <w:t xml:space="preserve">כעולה מעדות מפקדיו, מתקיים ביחס למשיב מבחן ההזדמנות, שכן הייתה לו מכוח תפקידו גישה למקום </w:t>
      </w:r>
      <w:r>
        <w:rPr>
          <w:rFonts w:cs="David" w:hint="cs"/>
          <w:sz w:val="28"/>
          <w:szCs w:val="28"/>
          <w:rtl/>
        </w:rPr>
        <w:t xml:space="preserve">מוגדר באזור ג'בליה </w:t>
      </w:r>
      <w:r w:rsidRPr="00DA042E">
        <w:rPr>
          <w:rFonts w:cs="David" w:hint="cs"/>
          <w:sz w:val="28"/>
          <w:szCs w:val="28"/>
          <w:rtl/>
        </w:rPr>
        <w:t>בו הוחזקו כלי נשק שנתפסו ברצועת עזה עוד טרם העברתם לישראל</w:t>
      </w:r>
      <w:r>
        <w:rPr>
          <w:rFonts w:cs="David" w:hint="cs"/>
          <w:sz w:val="28"/>
          <w:szCs w:val="28"/>
          <w:rtl/>
        </w:rPr>
        <w:t xml:space="preserve"> (וכזכור אף מעדותו של ברק עולה, כי המשיב סיפר לו שנטל את כלי הנשק מתוך מקום ייעודי בו הוחזקו כלי הנשק באזור ג'בליה)</w:t>
      </w:r>
      <w:r w:rsidRPr="00DA042E">
        <w:rPr>
          <w:rFonts w:cs="David" w:hint="cs"/>
          <w:sz w:val="28"/>
          <w:szCs w:val="28"/>
          <w:rtl/>
        </w:rPr>
        <w:t xml:space="preserve">; כלי הנשק האמורים הוחזקו על ידי המשיב במשך </w:t>
      </w:r>
      <w:r w:rsidRPr="00DA042E">
        <w:rPr>
          <w:rFonts w:cs="David" w:hint="cs"/>
          <w:b/>
          <w:bCs/>
          <w:sz w:val="28"/>
          <w:szCs w:val="28"/>
          <w:rtl/>
        </w:rPr>
        <w:t>חמישה חודשים</w:t>
      </w:r>
      <w:r w:rsidRPr="00DA042E">
        <w:rPr>
          <w:rFonts w:cs="David" w:hint="cs"/>
          <w:sz w:val="28"/>
          <w:szCs w:val="28"/>
          <w:rtl/>
        </w:rPr>
        <w:t xml:space="preserve"> והתגלו לבסוף אך בחיפוש שנערך על ידי משטרת ישראל; ואף גרסתו הראשונית בשיחה הטלפונית לפיה קיבל את כלי הנשק "במתנה" מעוררת תמיהות ואינה מתיישבת עם גרסתו בחקירה. </w:t>
      </w:r>
    </w:p>
    <w:p w14:paraId="6D1FB02B" w14:textId="77777777" w:rsidR="008F33A0" w:rsidRPr="00D86A0E"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יתר על כן, המשיב </w:t>
      </w:r>
      <w:r w:rsidRPr="00D86A0E">
        <w:rPr>
          <w:rFonts w:cs="David" w:hint="cs"/>
          <w:sz w:val="28"/>
          <w:szCs w:val="28"/>
          <w:rtl/>
        </w:rPr>
        <w:t>לא פנה למשטרת ישראל ואף לא למפקדיו</w:t>
      </w:r>
      <w:r>
        <w:rPr>
          <w:rFonts w:cs="David" w:hint="cs"/>
          <w:sz w:val="28"/>
          <w:szCs w:val="28"/>
          <w:rtl/>
        </w:rPr>
        <w:t xml:space="preserve"> עת גילה לטענתו כי הוציא את כלי הנשק בשוגג, מבלי שניתן לכך הסבר משכנע; ולמעשה, </w:t>
      </w:r>
      <w:r w:rsidRPr="00D86A0E">
        <w:rPr>
          <w:rFonts w:cs="David" w:hint="cs"/>
          <w:sz w:val="28"/>
          <w:szCs w:val="28"/>
          <w:rtl/>
        </w:rPr>
        <w:t>לא עשה דבר כדי להשיב את כלי הנשק לרשות הצבא, גם כשנוכח לדעת ששירות המילואים שעתיד היה להתקיים ב</w:t>
      </w:r>
      <w:r>
        <w:rPr>
          <w:rFonts w:cs="David" w:hint="cs"/>
          <w:sz w:val="28"/>
          <w:szCs w:val="28"/>
          <w:rtl/>
        </w:rPr>
        <w:t>חודשי האביב</w:t>
      </w:r>
      <w:r w:rsidRPr="00D86A0E">
        <w:rPr>
          <w:rFonts w:cs="David" w:hint="cs"/>
          <w:sz w:val="28"/>
          <w:szCs w:val="28"/>
          <w:rtl/>
        </w:rPr>
        <w:t xml:space="preserve"> נדחה</w:t>
      </w:r>
      <w:r>
        <w:rPr>
          <w:rFonts w:cs="David" w:hint="cs"/>
          <w:sz w:val="28"/>
          <w:szCs w:val="28"/>
          <w:rtl/>
        </w:rPr>
        <w:t>.</w:t>
      </w:r>
      <w:r w:rsidRPr="00D86A0E">
        <w:rPr>
          <w:rFonts w:cs="David" w:hint="cs"/>
          <w:sz w:val="28"/>
          <w:szCs w:val="28"/>
          <w:rtl/>
        </w:rPr>
        <w:t xml:space="preserve"> חלוף הזמן</w:t>
      </w:r>
      <w:r>
        <w:rPr>
          <w:rFonts w:cs="David" w:hint="cs"/>
          <w:sz w:val="28"/>
          <w:szCs w:val="28"/>
          <w:rtl/>
        </w:rPr>
        <w:t xml:space="preserve"> </w:t>
      </w:r>
      <w:r w:rsidRPr="00D86A0E">
        <w:rPr>
          <w:rFonts w:cs="David" w:hint="cs"/>
          <w:sz w:val="28"/>
          <w:szCs w:val="28"/>
          <w:rtl/>
        </w:rPr>
        <w:t xml:space="preserve">ואופן מציאת כלי הנשק בסופם של דברים </w:t>
      </w:r>
      <w:r>
        <w:rPr>
          <w:rFonts w:cs="David" w:hint="cs"/>
          <w:sz w:val="28"/>
          <w:szCs w:val="28"/>
          <w:rtl/>
        </w:rPr>
        <w:t xml:space="preserve">אינם מתיישבים עם </w:t>
      </w:r>
      <w:r w:rsidRPr="00D86A0E">
        <w:rPr>
          <w:rFonts w:cs="David" w:hint="cs"/>
          <w:sz w:val="28"/>
          <w:szCs w:val="28"/>
          <w:rtl/>
        </w:rPr>
        <w:t xml:space="preserve">טענתו </w:t>
      </w:r>
      <w:r>
        <w:rPr>
          <w:rFonts w:cs="David" w:hint="cs"/>
          <w:sz w:val="28"/>
          <w:szCs w:val="28"/>
          <w:rtl/>
        </w:rPr>
        <w:t>ש</w:t>
      </w:r>
      <w:r w:rsidRPr="00D86A0E">
        <w:rPr>
          <w:rFonts w:cs="David" w:hint="cs"/>
          <w:sz w:val="28"/>
          <w:szCs w:val="28"/>
          <w:rtl/>
        </w:rPr>
        <w:t xml:space="preserve">לפיה התכוון אכן להשיבם. </w:t>
      </w:r>
    </w:p>
    <w:p w14:paraId="73B64DAA"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אל האמור, מתווספת עדותו לכאורה של ברק, ממנה עולה כי המשיב נטל את כלי הנשק במודע, ללא כל כוונה להשיבם; ואף כי יש תימוכין בחומר החקירה הלכאורי בדבר האיבה שרוחש ברק למשיב, הרי שכידוע בשלב בחינת המסד הלכאורי אין מקום להידרש לשאלות </w:t>
      </w:r>
      <w:r>
        <w:rPr>
          <w:rFonts w:cs="David" w:hint="cs"/>
          <w:sz w:val="28"/>
          <w:szCs w:val="28"/>
          <w:rtl/>
        </w:rPr>
        <w:lastRenderedPageBreak/>
        <w:t xml:space="preserve">של מהימנות עדים או למשקלן של ראיות. החריג שנקבע לכלל זה הוא כאשר מתרשם בית המשפט כי ישנן פרכות מהותיות וגלויות על פניהן בראיות (בש"פ 5309/24 </w:t>
      </w:r>
      <w:r>
        <w:rPr>
          <w:rFonts w:cs="David" w:hint="cs"/>
          <w:b/>
          <w:bCs/>
          <w:sz w:val="28"/>
          <w:szCs w:val="28"/>
          <w:rtl/>
        </w:rPr>
        <w:t>חן נ' מדינת ישראל</w:t>
      </w:r>
      <w:r>
        <w:rPr>
          <w:rFonts w:cs="David" w:hint="cs"/>
          <w:sz w:val="28"/>
          <w:szCs w:val="28"/>
          <w:rtl/>
        </w:rPr>
        <w:t>, פסקה 11 (4.7.2024),) אולם לא כך הם פני הדברים במקרה דכאן. עדותו של ברק עולה בקנה אחד עם עדותה של שי, שאמנם לא הקשיבה לכלל השיחה, אך מאשרת את דבר הצגת הנשק (במרפסת ולא בתוך הבית כפי שטען המשיב)</w:t>
      </w:r>
      <w:r>
        <w:rPr>
          <w:rFonts w:cs="David"/>
          <w:sz w:val="28"/>
          <w:szCs w:val="28"/>
        </w:rPr>
        <w:t xml:space="preserve"> </w:t>
      </w:r>
      <w:r>
        <w:rPr>
          <w:rFonts w:cs="David" w:hint="cs"/>
          <w:sz w:val="28"/>
          <w:szCs w:val="28"/>
          <w:rtl/>
        </w:rPr>
        <w:t xml:space="preserve">ואת אמירת המשיב כי נטל אותו מעזה (וזאת כשאין חולק כי שי היא לא עדה המבקשת להרע למשיב); הדיווח שמסר ברק למשטרת ישראל התאמת עת נערך החיפוש; ועדותו של חגי על אודות הדברים שמסר לו המשיב בפגישתם (שהמשיב אינו מכחיש את עצם קיומה) תומכת ומחזקת אף היא את עדותו של ברק ועומדת בסתירה לגרסת המשיב. זאת ועוד -  ברק אינו מתכחש ליחסו השלילי אל המשיב, ולצד זאת מסר גרסה מדודה, שאינה נחזית על פניה כניסיון לנקום במשיב באמצעות דבר שקר. כך למשל שלל בתשובה לשאלות החוקר את האפשרות כי המשיב איים עליו עם הנשק, וכן ציין כי לא היה מודע להחזקת רובה הציד על ידי המשיב. </w:t>
      </w:r>
    </w:p>
    <w:p w14:paraId="33CE7044"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להחזקת כלי הנשק שניטלו מרצועת עזה מצטרפת החזקת רובה הציד, ללא רישיון או היתר. כל זאת שעה שגרסתו של המשיב כי מדובר בנשק ישן ובלתי שמיש שקיבל מאביו לחזקתו, נסתרה בעדויות שנאספו בחומרי החקירה ובראש ובראשונה בגרסת אביו, אשר לא זו בלבד שלא ציין זאת בחיפוש שבו נכח כאמור, אלא גם הכחיש טענה זו בעדות שנגבתה ממנו במהלך החקירה. </w:t>
      </w:r>
    </w:p>
    <w:p w14:paraId="11B59DC6" w14:textId="629DDBE6" w:rsidR="008F33A0" w:rsidRPr="0068063F" w:rsidRDefault="008F33A0" w:rsidP="008F33A0">
      <w:pPr>
        <w:pStyle w:val="1"/>
        <w:numPr>
          <w:ilvl w:val="0"/>
          <w:numId w:val="11"/>
        </w:numPr>
        <w:spacing w:line="360" w:lineRule="auto"/>
        <w:ind w:left="-2"/>
        <w:jc w:val="both"/>
        <w:outlineLvl w:val="0"/>
        <w:rPr>
          <w:rFonts w:cs="David"/>
          <w:sz w:val="28"/>
          <w:szCs w:val="28"/>
        </w:rPr>
      </w:pPr>
      <w:r w:rsidRPr="0068063F">
        <w:rPr>
          <w:rFonts w:cs="David" w:hint="cs"/>
          <w:sz w:val="28"/>
          <w:szCs w:val="28"/>
          <w:rtl/>
        </w:rPr>
        <w:t xml:space="preserve">מקובלת עלי אמנם מסקנת בית הדין קמא כי בנסיבות העניין, </w:t>
      </w:r>
      <w:r>
        <w:rPr>
          <w:rFonts w:cs="David" w:hint="cs"/>
          <w:sz w:val="28"/>
          <w:szCs w:val="28"/>
          <w:rtl/>
        </w:rPr>
        <w:t xml:space="preserve">לכאורה, </w:t>
      </w:r>
      <w:r w:rsidRPr="0068063F">
        <w:rPr>
          <w:rFonts w:cs="David" w:hint="cs"/>
          <w:sz w:val="28"/>
          <w:szCs w:val="28"/>
          <w:rtl/>
        </w:rPr>
        <w:t xml:space="preserve">לא הוכח מניע פלילי שעניינו רצון של המשיב להעביר את השליטה בנשק לאחרים ואף התביעה לא חולקת על כך; אולם בשים לב לנסיבות הכוללות כפי שפורטו לעיל </w:t>
      </w:r>
      <w:r w:rsidRPr="0068063F">
        <w:rPr>
          <w:rFonts w:cs="David" w:hint="cs"/>
          <w:b/>
          <w:bCs/>
          <w:sz w:val="28"/>
          <w:szCs w:val="28"/>
          <w:rtl/>
        </w:rPr>
        <w:t>ולגרסתו של המשיב עצמו</w:t>
      </w:r>
      <w:r w:rsidRPr="00AA0DCF">
        <w:rPr>
          <w:rFonts w:cs="David" w:hint="cs"/>
          <w:sz w:val="28"/>
          <w:szCs w:val="28"/>
          <w:rtl/>
        </w:rPr>
        <w:t xml:space="preserve">, בשלב הדיוני הנוכחי, </w:t>
      </w:r>
      <w:r>
        <w:rPr>
          <w:rFonts w:cs="David" w:hint="cs"/>
          <w:sz w:val="28"/>
          <w:szCs w:val="28"/>
          <w:rtl/>
        </w:rPr>
        <w:t xml:space="preserve">אין </w:t>
      </w:r>
      <w:r w:rsidRPr="0068063F">
        <w:rPr>
          <w:rFonts w:cs="David" w:hint="cs"/>
          <w:sz w:val="28"/>
          <w:szCs w:val="28"/>
          <w:rtl/>
        </w:rPr>
        <w:t>לקבל את התרשמות בית הדין קמא באשר למניעיו של המשיב ולהניח לטובתו כי הוציא את כלי הנשק אך לשם שמירתם כמזכרת או התרברבות. משגרסת המשיב אינה נחזית ככנה על פניה, נוכח החזקת כלי הנשק במשך תקופה ממושכת, ומשגם בפני ברק לא ציין מדוע נטל את הנשק - התמונה המצטיירת היא כי בבסיס מעשיו עומד</w:t>
      </w:r>
      <w:r>
        <w:rPr>
          <w:rFonts w:cs="David" w:hint="cs"/>
          <w:sz w:val="28"/>
          <w:szCs w:val="28"/>
          <w:rtl/>
        </w:rPr>
        <w:t>,</w:t>
      </w:r>
      <w:r w:rsidRPr="0068063F">
        <w:rPr>
          <w:rFonts w:cs="David" w:hint="cs"/>
          <w:sz w:val="28"/>
          <w:szCs w:val="28"/>
          <w:rtl/>
        </w:rPr>
        <w:t xml:space="preserve"> </w:t>
      </w:r>
      <w:r>
        <w:rPr>
          <w:rFonts w:cs="David" w:hint="cs"/>
          <w:sz w:val="28"/>
          <w:szCs w:val="28"/>
          <w:rtl/>
        </w:rPr>
        <w:t xml:space="preserve">לכאורה, </w:t>
      </w:r>
      <w:r w:rsidRPr="0068063F">
        <w:rPr>
          <w:rFonts w:cs="David" w:hint="cs"/>
          <w:sz w:val="28"/>
          <w:szCs w:val="28"/>
          <w:rtl/>
        </w:rPr>
        <w:t xml:space="preserve">מניע </w:t>
      </w:r>
      <w:r w:rsidRPr="0068063F">
        <w:rPr>
          <w:rFonts w:cs="David" w:hint="cs"/>
          <w:b/>
          <w:bCs/>
          <w:sz w:val="28"/>
          <w:szCs w:val="28"/>
          <w:rtl/>
        </w:rPr>
        <w:t>עלום</w:t>
      </w:r>
      <w:r>
        <w:rPr>
          <w:rFonts w:cs="David" w:hint="cs"/>
          <w:b/>
          <w:bCs/>
          <w:sz w:val="28"/>
          <w:szCs w:val="28"/>
          <w:rtl/>
        </w:rPr>
        <w:t>,</w:t>
      </w:r>
      <w:r w:rsidRPr="0068063F">
        <w:rPr>
          <w:rFonts w:cs="David" w:hint="cs"/>
          <w:b/>
          <w:bCs/>
          <w:sz w:val="28"/>
          <w:szCs w:val="28"/>
          <w:rtl/>
        </w:rPr>
        <w:t xml:space="preserve"> </w:t>
      </w:r>
      <w:r w:rsidRPr="0068063F">
        <w:rPr>
          <w:rFonts w:cs="David" w:hint="cs"/>
          <w:sz w:val="28"/>
          <w:szCs w:val="28"/>
          <w:rtl/>
        </w:rPr>
        <w:t xml:space="preserve">באופן שיש בו כדי להשליך </w:t>
      </w:r>
      <w:r>
        <w:rPr>
          <w:rFonts w:cs="David" w:hint="cs"/>
          <w:sz w:val="28"/>
          <w:szCs w:val="28"/>
          <w:rtl/>
        </w:rPr>
        <w:t xml:space="preserve">במידה רבה </w:t>
      </w:r>
      <w:r w:rsidRPr="0068063F">
        <w:rPr>
          <w:rFonts w:cs="David" w:hint="cs"/>
          <w:sz w:val="28"/>
          <w:szCs w:val="28"/>
          <w:rtl/>
        </w:rPr>
        <w:t>על הערכת המסוכנות הנשקפת ממנו</w:t>
      </w:r>
      <w:r>
        <w:rPr>
          <w:rFonts w:cs="David" w:hint="cs"/>
          <w:sz w:val="28"/>
          <w:szCs w:val="28"/>
          <w:rtl/>
        </w:rPr>
        <w:t>. בעניין זה אפנה ל</w:t>
      </w:r>
      <w:r w:rsidRPr="0068063F">
        <w:rPr>
          <w:rFonts w:cs="David" w:hint="cs"/>
          <w:sz w:val="28"/>
          <w:szCs w:val="28"/>
          <w:rtl/>
        </w:rPr>
        <w:t xml:space="preserve">הלכה </w:t>
      </w:r>
      <w:r>
        <w:rPr>
          <w:rFonts w:cs="David" w:hint="cs"/>
          <w:sz w:val="28"/>
          <w:szCs w:val="28"/>
          <w:rtl/>
        </w:rPr>
        <w:t>הידועה ש</w:t>
      </w:r>
      <w:r w:rsidRPr="0068063F">
        <w:rPr>
          <w:rFonts w:cs="David" w:hint="cs"/>
          <w:sz w:val="28"/>
          <w:szCs w:val="28"/>
          <w:rtl/>
        </w:rPr>
        <w:t>לפיה נשק המוחזק באופן בלתי חוקי, חזקה שישמש למטרה בלתי חוקית (ע"מ</w:t>
      </w:r>
      <w:r>
        <w:rPr>
          <w:rFonts w:cs="David" w:hint="cs"/>
          <w:sz w:val="28"/>
          <w:szCs w:val="28"/>
          <w:rtl/>
        </w:rPr>
        <w:t>/</w:t>
      </w:r>
      <w:r w:rsidRPr="0068063F">
        <w:rPr>
          <w:rFonts w:cs="David" w:hint="cs"/>
          <w:sz w:val="28"/>
          <w:szCs w:val="28"/>
          <w:rtl/>
        </w:rPr>
        <w:t xml:space="preserve">5/22 </w:t>
      </w:r>
      <w:r w:rsidRPr="0068063F">
        <w:rPr>
          <w:rFonts w:cs="David" w:hint="cs"/>
          <w:b/>
          <w:bCs/>
          <w:sz w:val="28"/>
          <w:szCs w:val="28"/>
          <w:rtl/>
        </w:rPr>
        <w:t>התובע הצבאי הראשי נ' טור' זיגל</w:t>
      </w:r>
      <w:r w:rsidRPr="0068063F">
        <w:rPr>
          <w:rFonts w:cs="David" w:hint="cs"/>
          <w:sz w:val="28"/>
          <w:szCs w:val="28"/>
          <w:rtl/>
        </w:rPr>
        <w:t xml:space="preserve">, פסקה 8 </w:t>
      </w:r>
      <w:r>
        <w:rPr>
          <w:rFonts w:cs="David" w:hint="cs"/>
          <w:sz w:val="28"/>
          <w:szCs w:val="28"/>
          <w:rtl/>
        </w:rPr>
        <w:t xml:space="preserve">והאסמכתאות שם </w:t>
      </w:r>
      <w:r w:rsidRPr="0068063F">
        <w:rPr>
          <w:rFonts w:cs="David" w:hint="cs"/>
          <w:sz w:val="28"/>
          <w:szCs w:val="28"/>
          <w:rtl/>
        </w:rPr>
        <w:t>(2022)). בכך גם נבדל עניינו של המשיב מהאירוע שנדון בע"מ</w:t>
      </w:r>
      <w:r>
        <w:rPr>
          <w:rFonts w:cs="David" w:hint="cs"/>
          <w:sz w:val="28"/>
          <w:szCs w:val="28"/>
          <w:rtl/>
        </w:rPr>
        <w:t>/</w:t>
      </w:r>
      <w:r w:rsidRPr="0068063F">
        <w:rPr>
          <w:rFonts w:cs="David" w:hint="cs"/>
          <w:sz w:val="28"/>
          <w:szCs w:val="28"/>
          <w:rtl/>
        </w:rPr>
        <w:t xml:space="preserve">55/24 </w:t>
      </w:r>
      <w:r w:rsidRPr="0068063F">
        <w:rPr>
          <w:rFonts w:cs="David" w:hint="cs"/>
          <w:b/>
          <w:bCs/>
          <w:sz w:val="28"/>
          <w:szCs w:val="28"/>
          <w:rtl/>
        </w:rPr>
        <w:t>רב"ט</w:t>
      </w:r>
      <w:r w:rsidRPr="0068063F">
        <w:rPr>
          <w:rFonts w:cs="David" w:hint="cs"/>
          <w:sz w:val="28"/>
          <w:szCs w:val="28"/>
          <w:rtl/>
        </w:rPr>
        <w:t xml:space="preserve"> </w:t>
      </w:r>
      <w:r w:rsidRPr="0068063F">
        <w:rPr>
          <w:rFonts w:cs="David" w:hint="cs"/>
          <w:b/>
          <w:bCs/>
          <w:sz w:val="28"/>
          <w:szCs w:val="28"/>
          <w:rtl/>
        </w:rPr>
        <w:t xml:space="preserve">גדו </w:t>
      </w:r>
      <w:r w:rsidRPr="0068063F">
        <w:rPr>
          <w:rFonts w:cs="David" w:hint="cs"/>
          <w:sz w:val="28"/>
          <w:szCs w:val="28"/>
          <w:rtl/>
        </w:rPr>
        <w:t xml:space="preserve">לעיל, </w:t>
      </w:r>
      <w:r>
        <w:rPr>
          <w:rFonts w:cs="David" w:hint="cs"/>
          <w:sz w:val="28"/>
          <w:szCs w:val="28"/>
          <w:rtl/>
        </w:rPr>
        <w:t>ש</w:t>
      </w:r>
      <w:r w:rsidRPr="0068063F">
        <w:rPr>
          <w:rFonts w:cs="David" w:hint="cs"/>
          <w:sz w:val="28"/>
          <w:szCs w:val="28"/>
          <w:rtl/>
        </w:rPr>
        <w:t xml:space="preserve">אליו הפנתה ההגנה, שם ננקטה חלופת מעצר ביחס למי שיצא עם נשקו האישי ללא רשות מפקדיו מהיחידה, אולם החזירו </w:t>
      </w:r>
      <w:r w:rsidRPr="0068063F">
        <w:rPr>
          <w:rFonts w:cs="David" w:hint="cs"/>
          <w:b/>
          <w:bCs/>
          <w:sz w:val="28"/>
          <w:szCs w:val="28"/>
          <w:rtl/>
        </w:rPr>
        <w:t>לאחר יומיים</w:t>
      </w:r>
      <w:r w:rsidRPr="0068063F">
        <w:rPr>
          <w:rFonts w:cs="David" w:hint="cs"/>
          <w:sz w:val="28"/>
          <w:szCs w:val="28"/>
          <w:rtl/>
        </w:rPr>
        <w:t xml:space="preserve">, תוך שההתרשמות שעלתה מחומר החקירה, הנסמכת גם על </w:t>
      </w:r>
      <w:r>
        <w:rPr>
          <w:rFonts w:cs="David" w:hint="cs"/>
          <w:sz w:val="28"/>
          <w:szCs w:val="28"/>
          <w:rtl/>
        </w:rPr>
        <w:t xml:space="preserve">חוות דעת </w:t>
      </w:r>
      <w:r w:rsidRPr="0068063F">
        <w:rPr>
          <w:rFonts w:cs="David" w:hint="cs"/>
          <w:sz w:val="28"/>
          <w:szCs w:val="28"/>
          <w:rtl/>
        </w:rPr>
        <w:t xml:space="preserve">מטעם גורמי בריאות הנפש, הייתה כי בבסיס העבירה עמד רצון להתגאות בנשיאת הנשק. </w:t>
      </w:r>
    </w:p>
    <w:p w14:paraId="7F7269D3" w14:textId="63AF5DC9" w:rsidR="008F33A0" w:rsidRPr="00A02C84"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lastRenderedPageBreak/>
        <w:t xml:space="preserve">לצד עילת המעצר הסטטוטורית מתקיימת בנסיבות העניין גם עילת המעצר הצבאית הייחודית שעניינה פגיעה חריפה במשמעת הצבא. אף אם עילה זו נחלשת  נוכח שחרורו של המשיב משירות המילואים, וחלוף הזמן מאז מעצרו, הרי שלא ניטל לחלוטין עוקצה, שעה שהימים הם ימי מלחמה, ונוכח המשמעות הנודעת לכך שלוחם, משרת מילואים נוטל לעצמו אמצעי לחימה שהם בבחינת שלל (ראו ע"מ/28/24 </w:t>
      </w:r>
      <w:r>
        <w:rPr>
          <w:rFonts w:cs="David" w:hint="cs"/>
          <w:b/>
          <w:bCs/>
          <w:sz w:val="28"/>
          <w:szCs w:val="28"/>
          <w:rtl/>
        </w:rPr>
        <w:t xml:space="preserve">סמ"ר (מיל') גולן </w:t>
      </w:r>
      <w:r>
        <w:rPr>
          <w:rFonts w:cs="David" w:hint="cs"/>
          <w:sz w:val="28"/>
          <w:szCs w:val="28"/>
          <w:rtl/>
        </w:rPr>
        <w:t xml:space="preserve">לעיל בפסקה 14); ויוער כי בעניין זה, שאף אליו הפנתה ההגנה כאמור, נקבע כי נוכח קיומן של נסיבות ייחודיות הקשורות בפציעתו של המערער בשירות המילואים, יש להפנותו לתסקיר מעצר, </w:t>
      </w:r>
      <w:r w:rsidRPr="00DA7A3D">
        <w:rPr>
          <w:rFonts w:cs="David" w:hint="cs"/>
          <w:b/>
          <w:bCs/>
          <w:sz w:val="28"/>
          <w:szCs w:val="28"/>
          <w:rtl/>
        </w:rPr>
        <w:t>מבלי שהדבר ישמש כתקדים</w:t>
      </w:r>
      <w:r>
        <w:rPr>
          <w:rFonts w:cs="David" w:hint="cs"/>
          <w:sz w:val="28"/>
          <w:szCs w:val="28"/>
          <w:rtl/>
        </w:rPr>
        <w:t xml:space="preserve">. (ובסופו של דבר הגיעו הצדדים באותו מקרה להסדר טיעון בתיק, מבלי ששאלת המעצר שבה ונדונה). </w:t>
      </w:r>
    </w:p>
    <w:p w14:paraId="6352CCFE"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סיכומם של דברים, המסד הראייתי הלכאורי שנאסף בעניינו של המשיב מלמד על כך שהחזיק ברשותו ללא כל היתר, וללא נקיטת אמצעי אבטחה מתאימים, שלושה כלי נשק, שניים מהם תקינים ומוכנים לירי, ממניע שטיבו נותר עלום. משגרסתו בדבר אופן הגעת כלי הנשק לידיו נסתרת בראיות הלכאוריות שהוצגו, יש לקבוע כי שניים מכלי הנשק הם בבחינת "שלל" שניטל על ידיו ללא היתר במסגרת שירות המילואים, והוחזקו על ידיו במשך כחמישה חודשים (לא ידוע מה משכה של התקופה שבה החזיק ברשותו את רובה הציד). כלל כלי הנשק נתפסו רק  בעקבות חיפוש שנערך בביתו. </w:t>
      </w:r>
    </w:p>
    <w:p w14:paraId="7A8F2A86" w14:textId="77777777" w:rsidR="008F33A0" w:rsidRPr="00DA042E" w:rsidRDefault="008F33A0" w:rsidP="008F33A0">
      <w:pPr>
        <w:pStyle w:val="1"/>
        <w:numPr>
          <w:ilvl w:val="0"/>
          <w:numId w:val="11"/>
        </w:numPr>
        <w:spacing w:line="360" w:lineRule="auto"/>
        <w:ind w:left="-2"/>
        <w:jc w:val="both"/>
        <w:outlineLvl w:val="0"/>
        <w:rPr>
          <w:rFonts w:cs="David"/>
          <w:sz w:val="28"/>
          <w:szCs w:val="28"/>
        </w:rPr>
      </w:pPr>
      <w:r w:rsidRPr="00DA042E">
        <w:rPr>
          <w:rFonts w:cs="David" w:hint="cs"/>
          <w:sz w:val="28"/>
          <w:szCs w:val="28"/>
          <w:rtl/>
        </w:rPr>
        <w:t xml:space="preserve">בנסיבות אלה יש לקבוע כי עילות המעצר </w:t>
      </w:r>
      <w:r>
        <w:rPr>
          <w:rFonts w:cs="David" w:hint="cs"/>
          <w:sz w:val="28"/>
          <w:szCs w:val="28"/>
          <w:rtl/>
        </w:rPr>
        <w:t xml:space="preserve">כמפורט לעיל, מתקיימות </w:t>
      </w:r>
      <w:r w:rsidRPr="00DA042E">
        <w:rPr>
          <w:rFonts w:cs="David" w:hint="cs"/>
          <w:sz w:val="28"/>
          <w:szCs w:val="28"/>
          <w:rtl/>
        </w:rPr>
        <w:t>בעניינו</w:t>
      </w:r>
      <w:r>
        <w:rPr>
          <w:rFonts w:cs="David" w:hint="cs"/>
          <w:sz w:val="28"/>
          <w:szCs w:val="28"/>
          <w:rtl/>
        </w:rPr>
        <w:t xml:space="preserve"> של המשיב </w:t>
      </w:r>
      <w:r w:rsidRPr="00DA042E">
        <w:rPr>
          <w:rFonts w:cs="David" w:hint="cs"/>
          <w:sz w:val="28"/>
          <w:szCs w:val="28"/>
          <w:rtl/>
        </w:rPr>
        <w:t xml:space="preserve"> בעוצמה גבוהה, באופן שבו יקשה לאתר חלופת מעצר מתאימה</w:t>
      </w:r>
      <w:r>
        <w:rPr>
          <w:rFonts w:cs="David" w:hint="cs"/>
          <w:sz w:val="28"/>
          <w:szCs w:val="28"/>
          <w:rtl/>
        </w:rPr>
        <w:t xml:space="preserve"> שתהלום אותן. ה</w:t>
      </w:r>
      <w:r w:rsidRPr="00DA042E">
        <w:rPr>
          <w:rFonts w:cs="David" w:hint="cs"/>
          <w:sz w:val="28"/>
          <w:szCs w:val="28"/>
          <w:rtl/>
        </w:rPr>
        <w:t xml:space="preserve">משיב </w:t>
      </w:r>
      <w:r>
        <w:rPr>
          <w:rFonts w:cs="David" w:hint="cs"/>
          <w:sz w:val="28"/>
          <w:szCs w:val="28"/>
          <w:rtl/>
        </w:rPr>
        <w:t xml:space="preserve">הופנה כאמור, </w:t>
      </w:r>
      <w:r w:rsidRPr="00DA042E">
        <w:rPr>
          <w:rFonts w:cs="David" w:hint="cs"/>
          <w:sz w:val="28"/>
          <w:szCs w:val="28"/>
          <w:rtl/>
        </w:rPr>
        <w:t>לתסקיר מעצר</w:t>
      </w:r>
      <w:r>
        <w:rPr>
          <w:rFonts w:cs="David" w:hint="cs"/>
          <w:sz w:val="28"/>
          <w:szCs w:val="28"/>
          <w:rtl/>
        </w:rPr>
        <w:t xml:space="preserve">, וניתנה בעניינו המלצה לנקיטה בחלופת מעצר, נוכח התרשמותה החיובית של קצינת המבחן מנתוניו של המשיב, אשר עמדה גם בבסיס מסקנתה </w:t>
      </w:r>
      <w:r w:rsidRPr="00DA042E">
        <w:rPr>
          <w:rFonts w:cs="David" w:hint="cs"/>
          <w:sz w:val="28"/>
          <w:szCs w:val="28"/>
          <w:rtl/>
        </w:rPr>
        <w:t>כי המעצר היווה עבורו גורם מרתיע</w:t>
      </w:r>
      <w:r>
        <w:rPr>
          <w:rFonts w:cs="David" w:hint="cs"/>
          <w:sz w:val="28"/>
          <w:szCs w:val="28"/>
          <w:rtl/>
        </w:rPr>
        <w:t xml:space="preserve">. אף </w:t>
      </w:r>
      <w:r w:rsidRPr="00DA042E">
        <w:rPr>
          <w:rFonts w:cs="David" w:hint="cs"/>
          <w:sz w:val="28"/>
          <w:szCs w:val="28"/>
          <w:rtl/>
        </w:rPr>
        <w:t>המפקחים המוצעים זכו לאמו</w:t>
      </w:r>
      <w:r>
        <w:rPr>
          <w:rFonts w:cs="David" w:hint="cs"/>
          <w:sz w:val="28"/>
          <w:szCs w:val="28"/>
          <w:rtl/>
        </w:rPr>
        <w:t xml:space="preserve">נה של קצינת המבחן ולאמון </w:t>
      </w:r>
      <w:r w:rsidRPr="00DA042E">
        <w:rPr>
          <w:rFonts w:cs="David" w:hint="cs"/>
          <w:sz w:val="28"/>
          <w:szCs w:val="28"/>
          <w:rtl/>
        </w:rPr>
        <w:t>בית הדין קמא</w:t>
      </w:r>
      <w:r>
        <w:rPr>
          <w:rFonts w:cs="David" w:hint="cs"/>
          <w:sz w:val="28"/>
          <w:szCs w:val="28"/>
          <w:rtl/>
        </w:rPr>
        <w:t xml:space="preserve">. עם </w:t>
      </w:r>
      <w:r w:rsidRPr="00DA042E">
        <w:rPr>
          <w:rFonts w:cs="David" w:hint="cs"/>
          <w:sz w:val="28"/>
          <w:szCs w:val="28"/>
          <w:rtl/>
        </w:rPr>
        <w:t>זאת</w:t>
      </w:r>
      <w:r>
        <w:rPr>
          <w:rFonts w:cs="David" w:hint="cs"/>
          <w:sz w:val="28"/>
          <w:szCs w:val="28"/>
          <w:rtl/>
        </w:rPr>
        <w:t>,</w:t>
      </w:r>
      <w:r w:rsidRPr="00DA042E">
        <w:rPr>
          <w:rFonts w:cs="David" w:hint="cs"/>
          <w:sz w:val="28"/>
          <w:szCs w:val="28"/>
          <w:rtl/>
        </w:rPr>
        <w:t xml:space="preserve"> בואר כי במהלך השיחה עם עורכת התסקיר היה המשיב "מכוון להעברת מסר של התנהגות תקינה, נמנע מלהעמיק במשמעות המיוחס לו המשקף התנהגות בעייתית ופורצת גבולות או להתייחס למניעים שעמדו ברקע בחירותיו"; ונקבע כי "</w:t>
      </w:r>
      <w:r w:rsidRPr="00DA042E">
        <w:rPr>
          <w:rFonts w:cs="David" w:hint="cs"/>
          <w:b/>
          <w:bCs/>
          <w:sz w:val="28"/>
          <w:szCs w:val="28"/>
          <w:rtl/>
        </w:rPr>
        <w:t>לא ניתן לשלול באופן מוחלט סיכון להישנות התנהגות בעייתית בתחום הנשק</w:t>
      </w:r>
      <w:r w:rsidRPr="00DA042E">
        <w:rPr>
          <w:rFonts w:cs="David" w:hint="cs"/>
          <w:sz w:val="28"/>
          <w:szCs w:val="28"/>
          <w:rtl/>
        </w:rPr>
        <w:t>" וכי חלה "</w:t>
      </w:r>
      <w:r w:rsidRPr="00DA042E">
        <w:rPr>
          <w:rFonts w:cs="David" w:hint="cs"/>
          <w:b/>
          <w:bCs/>
          <w:sz w:val="28"/>
          <w:szCs w:val="28"/>
          <w:rtl/>
        </w:rPr>
        <w:t>הפחתה ראשונית</w:t>
      </w:r>
      <w:r w:rsidRPr="00DA042E">
        <w:rPr>
          <w:rFonts w:cs="David" w:hint="cs"/>
          <w:sz w:val="28"/>
          <w:szCs w:val="28"/>
          <w:rtl/>
        </w:rPr>
        <w:t>" בלבד בסיכון העולה ממנו - על כל המשתמע מכך</w:t>
      </w:r>
      <w:r>
        <w:rPr>
          <w:rFonts w:cs="David" w:hint="cs"/>
          <w:sz w:val="28"/>
          <w:szCs w:val="28"/>
          <w:rtl/>
        </w:rPr>
        <w:t xml:space="preserve"> (ההדגשות אינן במקור)</w:t>
      </w:r>
      <w:r w:rsidRPr="00DA042E">
        <w:rPr>
          <w:rFonts w:cs="David" w:hint="cs"/>
          <w:sz w:val="28"/>
          <w:szCs w:val="28"/>
          <w:rtl/>
        </w:rPr>
        <w:t xml:space="preserve">. </w:t>
      </w:r>
    </w:p>
    <w:p w14:paraId="615F595A" w14:textId="77777777" w:rsidR="008F33A0" w:rsidRPr="00A366CF" w:rsidRDefault="008F33A0" w:rsidP="008F33A0">
      <w:pPr>
        <w:pStyle w:val="1"/>
        <w:numPr>
          <w:ilvl w:val="0"/>
          <w:numId w:val="11"/>
        </w:numPr>
        <w:spacing w:line="360" w:lineRule="auto"/>
        <w:ind w:left="-2"/>
        <w:jc w:val="both"/>
        <w:outlineLvl w:val="0"/>
        <w:rPr>
          <w:rFonts w:cs="David"/>
          <w:sz w:val="28"/>
          <w:szCs w:val="28"/>
        </w:rPr>
      </w:pPr>
      <w:r w:rsidRPr="00A366CF">
        <w:rPr>
          <w:rFonts w:cs="David" w:hint="cs"/>
          <w:sz w:val="28"/>
          <w:szCs w:val="28"/>
          <w:rtl/>
        </w:rPr>
        <w:t>לכך יש להוסיף, כי "אף אם ההפניה לתסקיר, לא כל שכן ההמלצה, עוררה ציפי</w:t>
      </w:r>
      <w:r>
        <w:rPr>
          <w:rFonts w:cs="David" w:hint="cs"/>
          <w:sz w:val="28"/>
          <w:szCs w:val="28"/>
          <w:rtl/>
        </w:rPr>
        <w:t>י</w:t>
      </w:r>
      <w:r w:rsidRPr="00A366CF">
        <w:rPr>
          <w:rFonts w:cs="David" w:hint="cs"/>
          <w:sz w:val="28"/>
          <w:szCs w:val="28"/>
          <w:rtl/>
        </w:rPr>
        <w:t xml:space="preserve">ה בליבו של המבקש" (בש"פ 3246/21 </w:t>
      </w:r>
      <w:r w:rsidRPr="00A366CF">
        <w:rPr>
          <w:rFonts w:cs="David" w:hint="cs"/>
          <w:b/>
          <w:bCs/>
          <w:sz w:val="28"/>
          <w:szCs w:val="28"/>
          <w:rtl/>
        </w:rPr>
        <w:t>נשרי נ' מדינת ישראל</w:t>
      </w:r>
      <w:r w:rsidRPr="00A366CF">
        <w:rPr>
          <w:rFonts w:cs="David" w:hint="cs"/>
          <w:sz w:val="28"/>
          <w:szCs w:val="28"/>
          <w:rtl/>
        </w:rPr>
        <w:t xml:space="preserve">, פסקה 7 (19.5.2021), ועל אף </w:t>
      </w:r>
      <w:r>
        <w:rPr>
          <w:rFonts w:cs="David" w:hint="cs"/>
          <w:sz w:val="28"/>
          <w:szCs w:val="28"/>
          <w:rtl/>
        </w:rPr>
        <w:t>ש</w:t>
      </w:r>
      <w:r w:rsidRPr="00A366CF">
        <w:rPr>
          <w:rFonts w:cs="David" w:hint="cs"/>
          <w:sz w:val="28"/>
          <w:szCs w:val="28"/>
          <w:rtl/>
        </w:rPr>
        <w:t>תסקיר שירות המבחן הוא בבחינת כלי עזר מקצועי המסייע בקבלת החלטה</w:t>
      </w:r>
      <w:r>
        <w:rPr>
          <w:rFonts w:cs="David" w:hint="cs"/>
          <w:sz w:val="28"/>
          <w:szCs w:val="28"/>
          <w:rtl/>
        </w:rPr>
        <w:t xml:space="preserve"> - </w:t>
      </w:r>
      <w:r w:rsidRPr="00A366CF">
        <w:rPr>
          <w:rFonts w:cs="David" w:hint="cs"/>
          <w:sz w:val="28"/>
          <w:szCs w:val="28"/>
          <w:rtl/>
        </w:rPr>
        <w:t xml:space="preserve"> אין הוא כובל את שיקול דעתו של השופט (בש"פ 5611/22 </w:t>
      </w:r>
      <w:r w:rsidRPr="00A366CF">
        <w:rPr>
          <w:rFonts w:cs="David" w:hint="cs"/>
          <w:b/>
          <w:bCs/>
          <w:sz w:val="28"/>
          <w:szCs w:val="28"/>
          <w:rtl/>
        </w:rPr>
        <w:t>עזאיזה נ' מדינת ישראל</w:t>
      </w:r>
      <w:r w:rsidRPr="00A366CF">
        <w:rPr>
          <w:rFonts w:cs="David" w:hint="cs"/>
          <w:sz w:val="28"/>
          <w:szCs w:val="28"/>
          <w:rtl/>
        </w:rPr>
        <w:t>, פסקה 15 (30.8.2022))</w:t>
      </w:r>
      <w:r>
        <w:rPr>
          <w:rFonts w:cs="David" w:hint="cs"/>
          <w:sz w:val="28"/>
          <w:szCs w:val="28"/>
          <w:rtl/>
        </w:rPr>
        <w:t>.</w:t>
      </w:r>
      <w:r w:rsidRPr="00A366CF">
        <w:rPr>
          <w:rFonts w:cs="David" w:hint="cs"/>
          <w:sz w:val="28"/>
          <w:szCs w:val="28"/>
          <w:rtl/>
        </w:rPr>
        <w:t xml:space="preserve"> גם מקום שבו ההמלצה היא חיובית נתונה ההחלטה אם להורות על חלופת מעצר להכרעתה הבלעדית של הערכאה השיפוטית, משהשיקולים והאינטרסים המובאים לפתחה אינם </w:t>
      </w:r>
      <w:r w:rsidRPr="00A366CF">
        <w:rPr>
          <w:rFonts w:cs="David" w:hint="cs"/>
          <w:sz w:val="28"/>
          <w:szCs w:val="28"/>
          <w:rtl/>
        </w:rPr>
        <w:lastRenderedPageBreak/>
        <w:t>בה</w:t>
      </w:r>
      <w:r>
        <w:rPr>
          <w:rFonts w:cs="David" w:hint="cs"/>
          <w:sz w:val="28"/>
          <w:szCs w:val="28"/>
          <w:rtl/>
        </w:rPr>
        <w:t>כרח</w:t>
      </w:r>
      <w:r w:rsidRPr="00A366CF">
        <w:rPr>
          <w:rFonts w:cs="David" w:hint="cs"/>
          <w:sz w:val="28"/>
          <w:szCs w:val="28"/>
          <w:rtl/>
        </w:rPr>
        <w:t xml:space="preserve"> זהים וחופפים לאלו הנשקלים על ידי שירות המבחן (ב"ש 79/23 </w:t>
      </w:r>
      <w:r w:rsidRPr="00A366CF">
        <w:rPr>
          <w:rFonts w:cs="David" w:hint="cs"/>
          <w:b/>
          <w:bCs/>
          <w:sz w:val="28"/>
          <w:szCs w:val="28"/>
          <w:rtl/>
        </w:rPr>
        <w:t>סא"ל שרוני נ' התובע הצבאי הראשי</w:t>
      </w:r>
      <w:r w:rsidRPr="00A366CF">
        <w:rPr>
          <w:rFonts w:cs="David" w:hint="cs"/>
          <w:sz w:val="28"/>
          <w:szCs w:val="28"/>
          <w:rtl/>
        </w:rPr>
        <w:t xml:space="preserve">, פסקה </w:t>
      </w:r>
      <w:r>
        <w:rPr>
          <w:rFonts w:cs="David" w:hint="cs"/>
          <w:sz w:val="28"/>
          <w:szCs w:val="28"/>
          <w:rtl/>
        </w:rPr>
        <w:t xml:space="preserve"> </w:t>
      </w:r>
      <w:r w:rsidRPr="00A366CF">
        <w:rPr>
          <w:rFonts w:cs="David" w:hint="cs"/>
          <w:sz w:val="28"/>
          <w:szCs w:val="28"/>
          <w:rtl/>
        </w:rPr>
        <w:t xml:space="preserve">24 </w:t>
      </w:r>
      <w:r>
        <w:rPr>
          <w:rFonts w:cs="David" w:hint="cs"/>
          <w:sz w:val="28"/>
          <w:szCs w:val="28"/>
          <w:rtl/>
        </w:rPr>
        <w:t xml:space="preserve"> והאסמכתאות שם </w:t>
      </w:r>
      <w:r w:rsidRPr="00A366CF">
        <w:rPr>
          <w:rFonts w:cs="David" w:hint="cs"/>
          <w:sz w:val="28"/>
          <w:szCs w:val="28"/>
          <w:rtl/>
        </w:rPr>
        <w:t>(2023)</w:t>
      </w:r>
      <w:r>
        <w:rPr>
          <w:rFonts w:cs="David" w:hint="cs"/>
          <w:sz w:val="28"/>
          <w:szCs w:val="28"/>
          <w:rtl/>
        </w:rPr>
        <w:t xml:space="preserve">). </w:t>
      </w:r>
      <w:r w:rsidRPr="00A366CF">
        <w:rPr>
          <w:rFonts w:cs="David" w:hint="cs"/>
          <w:sz w:val="28"/>
          <w:szCs w:val="28"/>
          <w:rtl/>
        </w:rPr>
        <w:t xml:space="preserve"> </w:t>
      </w:r>
    </w:p>
    <w:p w14:paraId="21F3C982"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בענייננו, לאור עוצמתן של עילות המעצר, בהינתן המניע העלום (להבדיל ממניע של "מזכרת" הנזכר בהחלטתו של בית הדין קמא) להחזקתם של </w:t>
      </w:r>
      <w:r w:rsidRPr="00DE4901">
        <w:rPr>
          <w:rFonts w:cs="David" w:hint="cs"/>
          <w:b/>
          <w:bCs/>
          <w:sz w:val="28"/>
          <w:szCs w:val="28"/>
          <w:rtl/>
        </w:rPr>
        <w:t>שלושה</w:t>
      </w:r>
      <w:r>
        <w:rPr>
          <w:rFonts w:cs="David" w:hint="cs"/>
          <w:sz w:val="28"/>
          <w:szCs w:val="28"/>
          <w:rtl/>
        </w:rPr>
        <w:t xml:space="preserve"> כלי נשק, ששניים מהם הוצאו מרשות הצבא, לתקופה בלתי מבוטלת,</w:t>
      </w:r>
      <w:r>
        <w:rPr>
          <w:rFonts w:cs="David"/>
          <w:sz w:val="28"/>
          <w:szCs w:val="28"/>
        </w:rPr>
        <w:t xml:space="preserve"> </w:t>
      </w:r>
      <w:r>
        <w:rPr>
          <w:rFonts w:cs="David" w:hint="cs"/>
          <w:sz w:val="28"/>
          <w:szCs w:val="28"/>
          <w:rtl/>
        </w:rPr>
        <w:t xml:space="preserve">ובראי ההערות וסימני השאלה העולים מתסקיר המעצר - באתי לכלל מסקנה כי החלטתו של בית הדין קמא, לשחרר את המשיב לחלופת המעצר המוצעת, </w:t>
      </w:r>
      <w:r w:rsidRPr="004D27AB">
        <w:rPr>
          <w:rFonts w:cs="David" w:hint="cs"/>
          <w:sz w:val="28"/>
          <w:szCs w:val="28"/>
          <w:rtl/>
        </w:rPr>
        <w:t xml:space="preserve">אינה יכולה לעמוד. </w:t>
      </w:r>
    </w:p>
    <w:p w14:paraId="208644B7" w14:textId="77777777" w:rsidR="008F33A0" w:rsidRPr="004D27AB" w:rsidRDefault="008F33A0" w:rsidP="008F33A0">
      <w:pPr>
        <w:pStyle w:val="1"/>
        <w:numPr>
          <w:ilvl w:val="0"/>
          <w:numId w:val="11"/>
        </w:numPr>
        <w:spacing w:line="360" w:lineRule="auto"/>
        <w:ind w:left="-2"/>
        <w:jc w:val="both"/>
        <w:outlineLvl w:val="0"/>
        <w:rPr>
          <w:rFonts w:cs="David"/>
          <w:sz w:val="28"/>
          <w:szCs w:val="28"/>
        </w:rPr>
      </w:pPr>
      <w:r w:rsidRPr="004D27AB">
        <w:rPr>
          <w:rFonts w:cs="David" w:hint="cs"/>
          <w:sz w:val="28"/>
          <w:szCs w:val="28"/>
          <w:rtl/>
        </w:rPr>
        <w:t xml:space="preserve">אשר לחששה של ההגנה בדבר התמשכות הליכים צפויה </w:t>
      </w:r>
      <w:r>
        <w:rPr>
          <w:rFonts w:cs="David" w:hint="cs"/>
          <w:sz w:val="28"/>
          <w:szCs w:val="28"/>
          <w:rtl/>
        </w:rPr>
        <w:t xml:space="preserve">- בעת הזו, </w:t>
      </w:r>
      <w:r w:rsidRPr="004D27AB">
        <w:rPr>
          <w:rFonts w:cs="David" w:hint="cs"/>
          <w:sz w:val="28"/>
          <w:szCs w:val="28"/>
          <w:rtl/>
        </w:rPr>
        <w:t>נוכח משך מעצרו של המשיב עד כה</w:t>
      </w:r>
      <w:r>
        <w:rPr>
          <w:rFonts w:cs="David" w:hint="cs"/>
          <w:sz w:val="28"/>
          <w:szCs w:val="28"/>
          <w:rtl/>
        </w:rPr>
        <w:t xml:space="preserve"> ו</w:t>
      </w:r>
      <w:r w:rsidRPr="004D27AB">
        <w:rPr>
          <w:rFonts w:cs="David" w:hint="cs"/>
          <w:sz w:val="28"/>
          <w:szCs w:val="28"/>
          <w:rtl/>
        </w:rPr>
        <w:t>בראי עילות המעצר, ניתן לקבוע</w:t>
      </w:r>
      <w:r>
        <w:rPr>
          <w:rFonts w:cs="David" w:hint="cs"/>
          <w:sz w:val="28"/>
          <w:szCs w:val="28"/>
          <w:rtl/>
        </w:rPr>
        <w:t xml:space="preserve">, כי טרם </w:t>
      </w:r>
      <w:r w:rsidRPr="004D27AB">
        <w:rPr>
          <w:rFonts w:cs="David" w:hint="cs"/>
          <w:sz w:val="28"/>
          <w:szCs w:val="28"/>
          <w:rtl/>
        </w:rPr>
        <w:t xml:space="preserve">"גדשה הסאה". לצד זאת, </w:t>
      </w:r>
      <w:r>
        <w:rPr>
          <w:rFonts w:cs="David" w:hint="cs"/>
          <w:sz w:val="28"/>
          <w:szCs w:val="28"/>
          <w:rtl/>
        </w:rPr>
        <w:t xml:space="preserve">נפסק </w:t>
      </w:r>
      <w:r w:rsidRPr="004D27AB">
        <w:rPr>
          <w:rFonts w:cs="David" w:hint="cs"/>
          <w:sz w:val="28"/>
          <w:szCs w:val="28"/>
          <w:rtl/>
        </w:rPr>
        <w:t>כי "</w:t>
      </w:r>
      <w:r w:rsidRPr="004D27AB">
        <w:rPr>
          <w:rFonts w:cs="David"/>
          <w:sz w:val="28"/>
          <w:szCs w:val="28"/>
          <w:rtl/>
        </w:rPr>
        <w:t>החלטה נתונה בעניין מעצר עד תום ההליכים משקפת איזון הנכון לשעת עריכתו בין השיקולים המצדיקים את החזקת הנאשם במעצר מאחורי סורג ובריח לבין זכויותיו בהינתן חזקת החפות. מטבע הדברים, איזון זה דורש בחינה חוזרת מעת לעת, כאשר ככל שהמשפט מתמשך והמעצר מתארך, משקולות הזמן</w:t>
      </w:r>
      <w:r w:rsidRPr="004D27AB">
        <w:rPr>
          <w:rFonts w:cs="David" w:hint="cs"/>
          <w:sz w:val="28"/>
          <w:szCs w:val="28"/>
          <w:rtl/>
        </w:rPr>
        <w:t xml:space="preserve"> מתווספות לשיקולים הפועלים להטיית כפות המאזניים לטובת הנאשם" </w:t>
      </w:r>
      <w:r>
        <w:rPr>
          <w:rFonts w:cs="David" w:hint="cs"/>
          <w:sz w:val="28"/>
          <w:szCs w:val="28"/>
          <w:rtl/>
        </w:rPr>
        <w:t xml:space="preserve">(בג"ץ 6476/22 </w:t>
      </w:r>
      <w:r>
        <w:rPr>
          <w:rFonts w:cs="David" w:hint="cs"/>
          <w:b/>
          <w:bCs/>
          <w:sz w:val="28"/>
          <w:szCs w:val="28"/>
          <w:rtl/>
        </w:rPr>
        <w:t>שרוני נ' בית הדין הצבאי לערעורים</w:t>
      </w:r>
      <w:r>
        <w:rPr>
          <w:rFonts w:cs="David" w:hint="cs"/>
          <w:sz w:val="28"/>
          <w:szCs w:val="28"/>
          <w:rtl/>
        </w:rPr>
        <w:t xml:space="preserve">, פסקה 13 (18.10.2022)). על כן, בראי התמונה הכוללת, מצאתי כי האיזון הראוי בנסיבות העניין מצוי בקבלת ערעור התביעה לצד קציבת מעצרו של המשיב, באופן שיאפשר פיקוח שיפוטי הדוק אחר קצב ניהול ההליך. הצדדים מסרו כי בעניינו של המשיב עתיד להתחיל בשבוע הבא הליך של גישור, וחזקה על נשיא בית הדין במחוז שיפוט מרכז כי ככל שהליך זה לא יישא פרי יקבע את התיק לשמיעת ראיות בהקדם האפשרי. </w:t>
      </w:r>
    </w:p>
    <w:p w14:paraId="5A06D4B4" w14:textId="77777777" w:rsidR="008F33A0" w:rsidRDefault="008F33A0" w:rsidP="008F33A0">
      <w:pPr>
        <w:pStyle w:val="1"/>
        <w:numPr>
          <w:ilvl w:val="0"/>
          <w:numId w:val="11"/>
        </w:numPr>
        <w:spacing w:line="360" w:lineRule="auto"/>
        <w:ind w:left="-2"/>
        <w:jc w:val="both"/>
        <w:outlineLvl w:val="0"/>
        <w:rPr>
          <w:rFonts w:cs="David"/>
          <w:sz w:val="28"/>
          <w:szCs w:val="28"/>
        </w:rPr>
      </w:pPr>
      <w:r>
        <w:rPr>
          <w:rFonts w:cs="David" w:hint="cs"/>
          <w:sz w:val="28"/>
          <w:szCs w:val="28"/>
          <w:rtl/>
        </w:rPr>
        <w:t xml:space="preserve">מכאן אפוא החלטתי, לקבל את ערעור התביעה באופן חלקי ולהורות על מעצרו של המשיב עד ליום 6 בנובמבר 2024 בשעה 12:00. </w:t>
      </w:r>
    </w:p>
    <w:p w14:paraId="531AEE62" w14:textId="77777777" w:rsidR="008F33A0" w:rsidRPr="00CF4DC2" w:rsidRDefault="008F33A0" w:rsidP="008F33A0">
      <w:pPr>
        <w:spacing w:after="0" w:line="360" w:lineRule="auto"/>
        <w:contextualSpacing/>
        <w:jc w:val="both"/>
        <w:outlineLvl w:val="0"/>
        <w:rPr>
          <w:sz w:val="16"/>
          <w:szCs w:val="20"/>
          <w:rtl/>
        </w:rPr>
      </w:pPr>
    </w:p>
    <w:p w14:paraId="4B37FC25" w14:textId="77777777" w:rsidR="008F33A0" w:rsidRPr="00F80CBF" w:rsidRDefault="008F33A0" w:rsidP="008F33A0">
      <w:pPr>
        <w:spacing w:after="0" w:line="360" w:lineRule="auto"/>
        <w:contextualSpacing/>
        <w:jc w:val="both"/>
        <w:outlineLvl w:val="0"/>
        <w:rPr>
          <w:rtl/>
        </w:rPr>
      </w:pPr>
      <w:r>
        <w:rPr>
          <w:rFonts w:hint="cs"/>
          <w:rtl/>
        </w:rPr>
        <w:t xml:space="preserve">נימוקי ההחלטה </w:t>
      </w:r>
      <w:r w:rsidRPr="00F80CBF">
        <w:rPr>
          <w:rFonts w:hint="cs"/>
          <w:rtl/>
        </w:rPr>
        <w:t>נית</w:t>
      </w:r>
      <w:r>
        <w:rPr>
          <w:rFonts w:hint="cs"/>
          <w:rtl/>
        </w:rPr>
        <w:t>נו</w:t>
      </w:r>
      <w:r w:rsidRPr="00F80CBF">
        <w:rPr>
          <w:rFonts w:hint="cs"/>
          <w:rtl/>
        </w:rPr>
        <w:t xml:space="preserve"> </w:t>
      </w:r>
      <w:r>
        <w:rPr>
          <w:rFonts w:hint="cs"/>
          <w:rtl/>
        </w:rPr>
        <w:t>בלשכה</w:t>
      </w:r>
      <w:r w:rsidRPr="00F80CBF">
        <w:rPr>
          <w:rFonts w:hint="cs"/>
          <w:rtl/>
        </w:rPr>
        <w:t xml:space="preserve"> היום, </w:t>
      </w:r>
      <w:r>
        <w:rPr>
          <w:rFonts w:hint="cs"/>
          <w:rtl/>
        </w:rPr>
        <w:t xml:space="preserve">ג' באב </w:t>
      </w:r>
      <w:r w:rsidRPr="00F80CBF">
        <w:rPr>
          <w:rFonts w:hint="cs"/>
          <w:rtl/>
        </w:rPr>
        <w:t>התשפ"</w:t>
      </w:r>
      <w:r>
        <w:rPr>
          <w:rFonts w:hint="cs"/>
          <w:rtl/>
        </w:rPr>
        <w:t>ד</w:t>
      </w:r>
      <w:r w:rsidRPr="00F80CBF">
        <w:rPr>
          <w:rFonts w:hint="cs"/>
          <w:rtl/>
        </w:rPr>
        <w:t>,</w:t>
      </w:r>
      <w:r>
        <w:rPr>
          <w:rFonts w:hint="cs"/>
          <w:rtl/>
        </w:rPr>
        <w:t xml:space="preserve"> 7 באוגוסט </w:t>
      </w:r>
      <w:r w:rsidRPr="00F80CBF">
        <w:rPr>
          <w:rFonts w:hint="cs"/>
          <w:rtl/>
        </w:rPr>
        <w:t>202</w:t>
      </w:r>
      <w:r>
        <w:rPr>
          <w:rFonts w:hint="cs"/>
          <w:rtl/>
        </w:rPr>
        <w:t>4</w:t>
      </w:r>
      <w:r w:rsidRPr="00F80CBF">
        <w:rPr>
          <w:rFonts w:hint="cs"/>
          <w:rtl/>
        </w:rPr>
        <w:t xml:space="preserve">, </w:t>
      </w:r>
      <w:r>
        <w:rPr>
          <w:rFonts w:hint="cs"/>
          <w:rtl/>
        </w:rPr>
        <w:t xml:space="preserve">ויועברו לידיעת הצדדים על ידי מזכירות בית הדין. </w:t>
      </w:r>
    </w:p>
    <w:p w14:paraId="52DAB7E2" w14:textId="77777777" w:rsidR="008F33A0" w:rsidRPr="00D44D15" w:rsidRDefault="008F33A0" w:rsidP="005B558E">
      <w:pPr>
        <w:tabs>
          <w:tab w:val="center" w:pos="1599"/>
          <w:tab w:val="center" w:pos="4150"/>
          <w:tab w:val="center" w:pos="6702"/>
        </w:tabs>
        <w:spacing w:after="0" w:line="360" w:lineRule="auto"/>
        <w:contextualSpacing/>
        <w:rPr>
          <w:sz w:val="18"/>
          <w:szCs w:val="22"/>
          <w:rtl/>
        </w:rPr>
      </w:pPr>
    </w:p>
    <w:p w14:paraId="2BCD4CB8" w14:textId="77777777" w:rsidR="008F33A0" w:rsidRPr="00F80CBF" w:rsidRDefault="008F33A0" w:rsidP="008F33A0">
      <w:pPr>
        <w:tabs>
          <w:tab w:val="center" w:pos="1599"/>
          <w:tab w:val="center" w:pos="4150"/>
          <w:tab w:val="center" w:pos="6702"/>
        </w:tabs>
        <w:spacing w:after="0" w:line="360" w:lineRule="auto"/>
        <w:contextualSpacing/>
        <w:jc w:val="right"/>
        <w:rPr>
          <w:b/>
          <w:bCs/>
          <w:rtl/>
        </w:rPr>
      </w:pPr>
      <w:r>
        <w:rPr>
          <w:rFonts w:hint="cs"/>
          <w:b/>
          <w:bCs/>
          <w:rtl/>
        </w:rPr>
        <w:t>____</w:t>
      </w:r>
      <w:r w:rsidRPr="00F80CBF">
        <w:rPr>
          <w:b/>
          <w:bCs/>
          <w:rtl/>
        </w:rPr>
        <w:t>______________</w:t>
      </w:r>
    </w:p>
    <w:p w14:paraId="7E04ECBB" w14:textId="77777777" w:rsidR="008F33A0" w:rsidRDefault="008F33A0" w:rsidP="008F33A0">
      <w:pPr>
        <w:tabs>
          <w:tab w:val="center" w:pos="1599"/>
          <w:tab w:val="center" w:pos="4150"/>
          <w:tab w:val="center" w:pos="6702"/>
        </w:tabs>
        <w:spacing w:after="0" w:line="360" w:lineRule="auto"/>
        <w:contextualSpacing/>
        <w:jc w:val="right"/>
        <w:rPr>
          <w:b/>
          <w:bCs/>
          <w:rtl/>
        </w:rPr>
      </w:pPr>
      <w:r>
        <w:rPr>
          <w:rFonts w:hint="cs"/>
          <w:b/>
          <w:bCs/>
          <w:rtl/>
        </w:rPr>
        <w:t>אל"ם מאיה גולדשמידט</w:t>
      </w:r>
    </w:p>
    <w:p w14:paraId="1DFAC37D" w14:textId="77777777" w:rsidR="008F33A0" w:rsidRDefault="008F33A0" w:rsidP="008F33A0">
      <w:pPr>
        <w:tabs>
          <w:tab w:val="center" w:pos="1599"/>
          <w:tab w:val="center" w:pos="4150"/>
          <w:tab w:val="center" w:pos="6702"/>
        </w:tabs>
        <w:spacing w:after="0" w:line="360" w:lineRule="auto"/>
        <w:contextualSpacing/>
        <w:jc w:val="right"/>
        <w:rPr>
          <w:b/>
          <w:bCs/>
          <w:rtl/>
        </w:rPr>
      </w:pPr>
      <w:r>
        <w:rPr>
          <w:rFonts w:hint="cs"/>
          <w:b/>
          <w:bCs/>
          <w:rtl/>
        </w:rPr>
        <w:t>שופטת   בית  דין הצבאי</w:t>
      </w:r>
    </w:p>
    <w:p w14:paraId="16A4571F" w14:textId="1733FE87" w:rsidR="008F33A0" w:rsidRDefault="008F33A0" w:rsidP="008F33A0">
      <w:pPr>
        <w:tabs>
          <w:tab w:val="center" w:pos="1599"/>
          <w:tab w:val="center" w:pos="4150"/>
          <w:tab w:val="center" w:pos="6702"/>
        </w:tabs>
        <w:spacing w:after="0" w:line="360" w:lineRule="auto"/>
        <w:contextualSpacing/>
        <w:jc w:val="right"/>
        <w:rPr>
          <w:b/>
          <w:bCs/>
          <w:rtl/>
        </w:rPr>
      </w:pPr>
      <w:r>
        <w:rPr>
          <w:rFonts w:hint="cs"/>
          <w:b/>
          <w:bCs/>
          <w:rtl/>
        </w:rPr>
        <w:t>ל    ע   ר   ע   ו    ר    י   ם</w:t>
      </w:r>
    </w:p>
    <w:p w14:paraId="40B83D23" w14:textId="77777777" w:rsidR="00CF4DC2" w:rsidRDefault="00CF4DC2" w:rsidP="008F33A0">
      <w:pPr>
        <w:tabs>
          <w:tab w:val="center" w:pos="1599"/>
          <w:tab w:val="center" w:pos="4150"/>
          <w:tab w:val="center" w:pos="6702"/>
        </w:tabs>
        <w:spacing w:after="0" w:line="360" w:lineRule="auto"/>
        <w:contextualSpacing/>
        <w:jc w:val="right"/>
        <w:rPr>
          <w:b/>
          <w:bCs/>
          <w:rtl/>
        </w:rPr>
      </w:pPr>
    </w:p>
    <w:p w14:paraId="502BAB67" w14:textId="77777777" w:rsidR="00CF4DC2" w:rsidRPr="000B7E52" w:rsidRDefault="00CF4DC2" w:rsidP="00CF4DC2">
      <w:pPr>
        <w:ind w:left="-58" w:right="-567"/>
        <w:jc w:val="both"/>
        <w:rPr>
          <w:rFonts w:ascii="David" w:hAnsi="David"/>
          <w:b/>
          <w:bCs/>
          <w:sz w:val="28"/>
          <w:rtl/>
        </w:rPr>
      </w:pPr>
      <w:bookmarkStart w:id="2" w:name="_Hlk122599666"/>
      <w:r w:rsidRPr="000B7E52">
        <w:rPr>
          <w:rFonts w:ascii="David" w:hAnsi="David"/>
          <w:b/>
          <w:bCs/>
          <w:sz w:val="28"/>
          <w:rtl/>
        </w:rPr>
        <w:t xml:space="preserve">חתימת המגיה: _______________________________      העתק         נאמן       למקור             </w:t>
      </w:r>
    </w:p>
    <w:p w14:paraId="365B730C" w14:textId="77777777" w:rsidR="00CF4DC2" w:rsidRPr="000B7E52" w:rsidRDefault="00CF4DC2" w:rsidP="00CF4DC2">
      <w:pPr>
        <w:ind w:left="-58" w:right="-567"/>
        <w:jc w:val="both"/>
        <w:rPr>
          <w:rFonts w:ascii="David" w:hAnsi="David"/>
          <w:b/>
          <w:bCs/>
          <w:sz w:val="28"/>
          <w:rtl/>
        </w:rPr>
      </w:pPr>
      <w:r w:rsidRPr="000B7E52">
        <w:rPr>
          <w:rFonts w:ascii="David" w:hAnsi="David"/>
          <w:b/>
          <w:bCs/>
          <w:sz w:val="28"/>
          <w:rtl/>
        </w:rPr>
        <w:t xml:space="preserve">                                                                                 </w:t>
      </w:r>
      <w:r w:rsidRPr="000B7E52">
        <w:rPr>
          <w:rFonts w:ascii="David" w:hAnsi="David" w:hint="cs"/>
          <w:b/>
          <w:bCs/>
          <w:sz w:val="28"/>
          <w:rtl/>
        </w:rPr>
        <w:t xml:space="preserve">            </w:t>
      </w:r>
      <w:r w:rsidRPr="000B7E52">
        <w:rPr>
          <w:rFonts w:ascii="David" w:hAnsi="David"/>
          <w:b/>
          <w:bCs/>
          <w:sz w:val="28"/>
          <w:rtl/>
        </w:rPr>
        <w:t xml:space="preserve">          סרן           </w:t>
      </w:r>
      <w:r w:rsidRPr="000B7E52">
        <w:rPr>
          <w:rFonts w:ascii="David" w:hAnsi="David" w:hint="cs"/>
          <w:b/>
          <w:bCs/>
          <w:sz w:val="28"/>
          <w:rtl/>
        </w:rPr>
        <w:t xml:space="preserve"> </w:t>
      </w:r>
      <w:r w:rsidRPr="000B7E52">
        <w:rPr>
          <w:rFonts w:ascii="David" w:hAnsi="David"/>
          <w:b/>
          <w:bCs/>
          <w:sz w:val="28"/>
          <w:rtl/>
        </w:rPr>
        <w:t xml:space="preserve"> כפיר             לב  </w:t>
      </w:r>
    </w:p>
    <w:p w14:paraId="6E410A0E" w14:textId="6D596B06" w:rsidR="00CF4DC2" w:rsidRPr="008F33A0" w:rsidRDefault="00CF4DC2" w:rsidP="00CF4DC2">
      <w:pPr>
        <w:tabs>
          <w:tab w:val="center" w:pos="1599"/>
          <w:tab w:val="center" w:pos="4150"/>
          <w:tab w:val="center" w:pos="6702"/>
        </w:tabs>
        <w:spacing w:after="0" w:line="360" w:lineRule="auto"/>
        <w:contextualSpacing/>
        <w:jc w:val="both"/>
        <w:rPr>
          <w:b/>
          <w:bCs/>
          <w:rtl/>
        </w:rPr>
      </w:pPr>
      <w:r w:rsidRPr="000B7E52">
        <w:rPr>
          <w:rFonts w:ascii="David" w:hAnsi="David"/>
          <w:b/>
          <w:bCs/>
          <w:sz w:val="28"/>
          <w:rtl/>
        </w:rPr>
        <w:t xml:space="preserve">תאריך: ____________________________________ </w:t>
      </w:r>
      <w:r>
        <w:rPr>
          <w:rFonts w:ascii="David" w:hAnsi="David" w:hint="cs"/>
          <w:b/>
          <w:bCs/>
          <w:sz w:val="28"/>
          <w:rtl/>
        </w:rPr>
        <w:t xml:space="preserve">  </w:t>
      </w:r>
      <w:r w:rsidRPr="000B7E52">
        <w:rPr>
          <w:rFonts w:ascii="David" w:hAnsi="David"/>
          <w:b/>
          <w:bCs/>
          <w:sz w:val="28"/>
          <w:rtl/>
        </w:rPr>
        <w:t xml:space="preserve">     קצין            בית           הדין</w:t>
      </w:r>
      <w:bookmarkEnd w:id="2"/>
    </w:p>
    <w:sectPr w:rsidR="00CF4DC2" w:rsidRPr="008F33A0" w:rsidSect="004A2493">
      <w:headerReference w:type="even" r:id="rId10"/>
      <w:headerReference w:type="default" r:id="rId11"/>
      <w:footerReference w:type="default" r:id="rId12"/>
      <w:headerReference w:type="first" r:id="rId13"/>
      <w:pgSz w:w="11906" w:h="16838"/>
      <w:pgMar w:top="1418" w:right="1418" w:bottom="1418" w:left="1418" w:header="708"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B2B1F" w14:textId="77777777" w:rsidR="001A2CAC" w:rsidRDefault="001A2CAC" w:rsidP="009A6264">
      <w:pPr>
        <w:spacing w:after="0" w:line="240" w:lineRule="auto"/>
      </w:pPr>
      <w:r>
        <w:separator/>
      </w:r>
    </w:p>
  </w:endnote>
  <w:endnote w:type="continuationSeparator" w:id="0">
    <w:p w14:paraId="35C91A97" w14:textId="77777777" w:rsidR="001A2CAC" w:rsidRDefault="001A2CAC" w:rsidP="009A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00AD" w14:textId="77777777" w:rsidR="00931FDA" w:rsidRPr="00380E17" w:rsidRDefault="00931FDA">
    <w:pPr>
      <w:pStyle w:val="Footer"/>
      <w:jc w:val="center"/>
      <w:rPr>
        <w:rFonts w:ascii="David" w:hAnsi="David"/>
        <w:sz w:val="28"/>
      </w:rPr>
    </w:pPr>
    <w:r w:rsidRPr="00380E17">
      <w:rPr>
        <w:rFonts w:ascii="David" w:hAnsi="David"/>
        <w:sz w:val="28"/>
      </w:rPr>
      <w:fldChar w:fldCharType="begin"/>
    </w:r>
    <w:r w:rsidRPr="00380E17">
      <w:rPr>
        <w:rFonts w:ascii="David" w:hAnsi="David"/>
        <w:sz w:val="28"/>
      </w:rPr>
      <w:instrText xml:space="preserve"> PAGE   \* MERGEFORMAT </w:instrText>
    </w:r>
    <w:r w:rsidRPr="00380E17">
      <w:rPr>
        <w:rFonts w:ascii="David" w:hAnsi="David"/>
        <w:sz w:val="28"/>
      </w:rPr>
      <w:fldChar w:fldCharType="separate"/>
    </w:r>
    <w:r w:rsidR="001B0BB8" w:rsidRPr="001B0BB8">
      <w:rPr>
        <w:rFonts w:ascii="David" w:hAnsi="David"/>
        <w:noProof/>
        <w:sz w:val="28"/>
        <w:rtl/>
        <w:lang w:val="he-IL"/>
      </w:rPr>
      <w:t>6</w:t>
    </w:r>
    <w:r w:rsidRPr="00380E17">
      <w:rPr>
        <w:rFonts w:ascii="David" w:hAnsi="David"/>
        <w:sz w:val="28"/>
      </w:rPr>
      <w:fldChar w:fldCharType="end"/>
    </w:r>
  </w:p>
  <w:p w14:paraId="6239D67F" w14:textId="77777777" w:rsidR="00931FDA" w:rsidRDefault="00931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D5969" w14:textId="77777777" w:rsidR="001A2CAC" w:rsidRDefault="001A2CAC" w:rsidP="009A6264">
      <w:pPr>
        <w:spacing w:after="0" w:line="240" w:lineRule="auto"/>
      </w:pPr>
      <w:r>
        <w:separator/>
      </w:r>
    </w:p>
  </w:footnote>
  <w:footnote w:type="continuationSeparator" w:id="0">
    <w:p w14:paraId="4A3410AE" w14:textId="77777777" w:rsidR="001A2CAC" w:rsidRDefault="001A2CAC" w:rsidP="009A6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7749" w14:textId="65A3AE7E" w:rsidR="00684B14" w:rsidRDefault="0095728E">
    <w:pPr>
      <w:pStyle w:val="Header"/>
    </w:pPr>
    <w:r>
      <w:rPr>
        <w:noProof/>
      </w:rPr>
      <mc:AlternateContent>
        <mc:Choice Requires="wps">
          <w:drawing>
            <wp:anchor distT="0" distB="0" distL="0" distR="0" simplePos="0" relativeHeight="251659264" behindDoc="0" locked="0" layoutInCell="1" allowOverlap="1" wp14:anchorId="536A10DB" wp14:editId="1AECF0B1">
              <wp:simplePos x="635" y="635"/>
              <wp:positionH relativeFrom="page">
                <wp:align>center</wp:align>
              </wp:positionH>
              <wp:positionV relativeFrom="page">
                <wp:align>top</wp:align>
              </wp:positionV>
              <wp:extent cx="450215" cy="368935"/>
              <wp:effectExtent l="0" t="0" r="6985" b="12065"/>
              <wp:wrapNone/>
              <wp:docPr id="1423649104"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1BB74039" w14:textId="60278BBF" w:rsidR="0095728E" w:rsidRPr="0095728E" w:rsidRDefault="0095728E" w:rsidP="0095728E">
                          <w:pPr>
                            <w:spacing w:after="0"/>
                            <w:rPr>
                              <w:rFonts w:cs="Calibri"/>
                              <w:noProof/>
                              <w:color w:val="000000"/>
                              <w:sz w:val="20"/>
                              <w:szCs w:val="20"/>
                            </w:rPr>
                          </w:pPr>
                          <w:r w:rsidRPr="0095728E">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6A10DB"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5.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Zu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aZ0oF9Rx6tYCEPMcCxX0jCa96GXLL4DLlarlIT6sSxszNbyCB15iiS+dK/M2YHpgCt6hFFGrHhD&#10;eJ8b//R2dQhIe9pG5LQncqAatZf2ObyTKO4/7ynr8pqXvwE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oXTGbgoCAAAVBAAADgAA&#10;AAAAAAAAAAAAAAAuAgAAZHJzL2Uyb0RvYy54bWxQSwECLQAUAAYACAAAACEAJXbIP9kAAAADAQAA&#10;DwAAAAAAAAAAAAAAAABkBAAAZHJzL2Rvd25yZXYueG1sUEsFBgAAAAAEAAQA8wAAAGoFAAAAAA==&#10;" filled="f" stroked="f">
              <v:textbox style="mso-fit-shape-to-text:t" inset="0,15pt,0,0">
                <w:txbxContent>
                  <w:p w14:paraId="1BB74039" w14:textId="60278BBF" w:rsidR="0095728E" w:rsidRPr="0095728E" w:rsidRDefault="0095728E" w:rsidP="0095728E">
                    <w:pPr>
                      <w:spacing w:after="0"/>
                      <w:rPr>
                        <w:rFonts w:cs="Calibri"/>
                        <w:noProof/>
                        <w:color w:val="000000"/>
                        <w:sz w:val="20"/>
                        <w:szCs w:val="20"/>
                      </w:rPr>
                    </w:pPr>
                    <w:r w:rsidRPr="0095728E">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9D15" w14:textId="04590EAA" w:rsidR="004A21E6" w:rsidRDefault="00380E17" w:rsidP="004A2493">
    <w:pPr>
      <w:pStyle w:val="Header"/>
      <w:rPr>
        <w:rtl/>
      </w:rPr>
    </w:pPr>
    <w:r>
      <w:rPr>
        <w:rFonts w:hint="cs"/>
        <w:rtl/>
      </w:rPr>
      <w:t xml:space="preserve">                      </w:t>
    </w:r>
    <w:r w:rsidR="004A2493">
      <w:rPr>
        <w:rFonts w:hint="cs"/>
        <w:rtl/>
      </w:rPr>
      <w:t xml:space="preserve">  </w:t>
    </w:r>
    <w:r>
      <w:rPr>
        <w:rFonts w:hint="cs"/>
        <w:rtl/>
      </w:rPr>
      <w:t xml:space="preserve"> </w:t>
    </w:r>
    <w:r w:rsidR="004A2493">
      <w:rPr>
        <w:rFonts w:hint="cs"/>
        <w:rtl/>
      </w:rPr>
      <w:t xml:space="preserve">                                       </w:t>
    </w:r>
    <w:r>
      <w:rPr>
        <w:rFonts w:hint="cs"/>
        <w:rtl/>
      </w:rPr>
      <w:t xml:space="preserve">    </w:t>
    </w:r>
    <w:r w:rsidR="00684B14">
      <w:rPr>
        <w:rFonts w:hint="cs"/>
        <w:rtl/>
      </w:rPr>
      <w:t>ב</w:t>
    </w:r>
    <w:r>
      <w:rPr>
        <w:rFonts w:hint="cs"/>
        <w:rtl/>
      </w:rPr>
      <w:t xml:space="preserve"> </w:t>
    </w:r>
    <w:r w:rsidR="00684B14">
      <w:rPr>
        <w:rFonts w:hint="cs"/>
        <w:rtl/>
      </w:rPr>
      <w:t>ל</w:t>
    </w:r>
    <w:r>
      <w:rPr>
        <w:rFonts w:hint="cs"/>
        <w:rtl/>
      </w:rPr>
      <w:t xml:space="preserve"> </w:t>
    </w:r>
    <w:r w:rsidR="00684B14">
      <w:rPr>
        <w:rFonts w:hint="cs"/>
        <w:rtl/>
      </w:rPr>
      <w:t>מ</w:t>
    </w:r>
    <w:r>
      <w:rPr>
        <w:rFonts w:hint="cs"/>
        <w:rtl/>
      </w:rPr>
      <w:t xml:space="preserve"> </w:t>
    </w:r>
    <w:r w:rsidR="00684B14">
      <w:rPr>
        <w:rFonts w:hint="cs"/>
        <w:rtl/>
      </w:rPr>
      <w:t>"</w:t>
    </w:r>
    <w:r>
      <w:rPr>
        <w:rFonts w:hint="cs"/>
        <w:rtl/>
      </w:rPr>
      <w:t xml:space="preserve"> </w:t>
    </w:r>
    <w:r w:rsidR="00684B14">
      <w:rPr>
        <w:rFonts w:hint="cs"/>
        <w:rtl/>
      </w:rPr>
      <w:t>ס</w:t>
    </w:r>
    <w:r>
      <w:rPr>
        <w:rFonts w:hint="cs"/>
        <w:rtl/>
      </w:rPr>
      <w:t xml:space="preserve">   </w:t>
    </w:r>
    <w:r w:rsidR="009E005C">
      <w:rPr>
        <w:rtl/>
      </w:rPr>
      <w:tab/>
    </w:r>
    <w:r>
      <w:rPr>
        <w:rFonts w:hint="cs"/>
        <w:rtl/>
      </w:rPr>
      <w:t xml:space="preserve">   </w:t>
    </w:r>
    <w:r w:rsidR="004A2493">
      <w:rPr>
        <w:rFonts w:hint="cs"/>
        <w:rtl/>
      </w:rPr>
      <w:t xml:space="preserve">                           </w:t>
    </w:r>
    <w:r>
      <w:rPr>
        <w:rFonts w:hint="cs"/>
        <w:rtl/>
      </w:rPr>
      <w:t xml:space="preserve">          </w:t>
    </w:r>
    <w:r w:rsidR="004A2493">
      <w:rPr>
        <w:rFonts w:hint="cs"/>
        <w:rtl/>
      </w:rPr>
      <w:t xml:space="preserve">  </w:t>
    </w:r>
    <w:r w:rsidR="009E005C">
      <w:rPr>
        <w:rFonts w:hint="cs"/>
        <w:rtl/>
      </w:rPr>
      <w:t>ע"מ</w:t>
    </w:r>
    <w:r w:rsidR="008F33A0">
      <w:rPr>
        <w:rFonts w:hint="cs"/>
        <w:rtl/>
      </w:rPr>
      <w:t>/</w:t>
    </w:r>
    <w:r w:rsidR="007313A2">
      <w:rPr>
        <w:rFonts w:hint="cs"/>
        <w:rtl/>
      </w:rPr>
      <w:t>76</w:t>
    </w:r>
    <w:r w:rsidR="00FD0632">
      <w:rPr>
        <w:rFonts w:hint="cs"/>
        <w:rtl/>
      </w:rPr>
      <w:t>/24</w:t>
    </w:r>
  </w:p>
  <w:p w14:paraId="6FA7F6EF" w14:textId="27BCE80A" w:rsidR="009E005C" w:rsidRPr="00352EC1" w:rsidRDefault="009E005C" w:rsidP="00FD0632">
    <w:pPr>
      <w:pStyle w:val="Header"/>
      <w:spacing w:after="0" w:line="240" w:lineRule="auto"/>
      <w:rPr>
        <w:rtl/>
      </w:rPr>
    </w:pPr>
    <w:r>
      <w:rPr>
        <w:rtl/>
      </w:rPr>
      <w:tab/>
    </w:r>
    <w:r>
      <w:rPr>
        <w:rtl/>
      </w:rPr>
      <w:tab/>
    </w: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3991" w14:textId="5A3BA4F0" w:rsidR="00684B14" w:rsidRDefault="0095728E">
    <w:pPr>
      <w:pStyle w:val="Header"/>
    </w:pPr>
    <w:r>
      <w:rPr>
        <w:noProof/>
      </w:rPr>
      <mc:AlternateContent>
        <mc:Choice Requires="wps">
          <w:drawing>
            <wp:anchor distT="0" distB="0" distL="0" distR="0" simplePos="0" relativeHeight="251658240" behindDoc="0" locked="0" layoutInCell="1" allowOverlap="1" wp14:anchorId="3D336374" wp14:editId="26609FDD">
              <wp:simplePos x="635" y="635"/>
              <wp:positionH relativeFrom="page">
                <wp:align>center</wp:align>
              </wp:positionH>
              <wp:positionV relativeFrom="page">
                <wp:align>top</wp:align>
              </wp:positionV>
              <wp:extent cx="450215" cy="368935"/>
              <wp:effectExtent l="0" t="0" r="6985" b="12065"/>
              <wp:wrapNone/>
              <wp:docPr id="1385809872"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029E187C" w14:textId="061DEFAB" w:rsidR="0095728E" w:rsidRPr="0095728E" w:rsidRDefault="0095728E" w:rsidP="0095728E">
                          <w:pPr>
                            <w:spacing w:after="0"/>
                            <w:rPr>
                              <w:rFonts w:cs="Calibri"/>
                              <w:noProof/>
                              <w:color w:val="000000"/>
                              <w:sz w:val="20"/>
                              <w:szCs w:val="20"/>
                            </w:rPr>
                          </w:pPr>
                          <w:r w:rsidRPr="0095728E">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336374" id="_x0000_t202" coordsize="21600,21600" o:spt="202" path="m,l,21600r21600,l21600,xe">
              <v:stroke joinstyle="miter"/>
              <v:path gradientshapeok="t" o:connecttype="rect"/>
            </v:shapetype>
            <v:shape id="Text Box 1" o:spid="_x0000_s1027" type="#_x0000_t202" alt="- בלמ&quot;ס -" style="position:absolute;left:0;text-align:left;margin-left:0;margin-top:0;width:35.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" filled="f" stroked="f">
              <v:textbox style="mso-fit-shape-to-text:t" inset="0,15pt,0,0">
                <w:txbxContent>
                  <w:p w14:paraId="029E187C" w14:textId="061DEFAB" w:rsidR="0095728E" w:rsidRPr="0095728E" w:rsidRDefault="0095728E" w:rsidP="0095728E">
                    <w:pPr>
                      <w:spacing w:after="0"/>
                      <w:rPr>
                        <w:rFonts w:cs="Calibri"/>
                        <w:noProof/>
                        <w:color w:val="000000"/>
                        <w:sz w:val="20"/>
                        <w:szCs w:val="20"/>
                      </w:rPr>
                    </w:pPr>
                    <w:r w:rsidRPr="0095728E">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4132"/>
    <w:multiLevelType w:val="hybridMultilevel"/>
    <w:tmpl w:val="B78875B8"/>
    <w:lvl w:ilvl="0" w:tplc="962CBDE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5368F"/>
    <w:multiLevelType w:val="hybridMultilevel"/>
    <w:tmpl w:val="9676C32E"/>
    <w:lvl w:ilvl="0" w:tplc="9CF4B96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15:restartNumberingAfterBreak="0">
    <w:nsid w:val="1E7B0C46"/>
    <w:multiLevelType w:val="hybridMultilevel"/>
    <w:tmpl w:val="5E7C17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BB06DB"/>
    <w:multiLevelType w:val="hybridMultilevel"/>
    <w:tmpl w:val="CAB07FD4"/>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4076"/>
    <w:multiLevelType w:val="hybridMultilevel"/>
    <w:tmpl w:val="88B4E81E"/>
    <w:lvl w:ilvl="0" w:tplc="98F0BDBC">
      <w:start w:val="1"/>
      <w:numFmt w:val="decimal"/>
      <w:suff w:val="space"/>
      <w:lvlText w:val="%1."/>
      <w:lvlJc w:val="left"/>
      <w:pPr>
        <w:ind w:left="0" w:firstLine="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15:restartNumberingAfterBreak="0">
    <w:nsid w:val="2FF75B99"/>
    <w:multiLevelType w:val="hybridMultilevel"/>
    <w:tmpl w:val="7A3EF76E"/>
    <w:lvl w:ilvl="0" w:tplc="2D104938">
      <w:start w:val="1"/>
      <w:numFmt w:val="decimal"/>
      <w:suff w:val="space"/>
      <w:lvlText w:val="%1."/>
      <w:lvlJc w:val="left"/>
      <w:pPr>
        <w:ind w:left="0" w:firstLine="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7" w15:restartNumberingAfterBreak="0">
    <w:nsid w:val="3C704238"/>
    <w:multiLevelType w:val="hybridMultilevel"/>
    <w:tmpl w:val="9252C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5105E"/>
    <w:multiLevelType w:val="hybridMultilevel"/>
    <w:tmpl w:val="62E66CA6"/>
    <w:lvl w:ilvl="0" w:tplc="AA5C2CF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116239"/>
    <w:multiLevelType w:val="hybridMultilevel"/>
    <w:tmpl w:val="D518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B0A3F"/>
    <w:multiLevelType w:val="hybridMultilevel"/>
    <w:tmpl w:val="9E7A1BFA"/>
    <w:lvl w:ilvl="0" w:tplc="C62AF6C0">
      <w:start w:val="1"/>
      <w:numFmt w:val="decimal"/>
      <w:suff w:val="space"/>
      <w:lvlText w:val="%1."/>
      <w:lvlJc w:val="left"/>
      <w:pPr>
        <w:ind w:left="302" w:hanging="360"/>
      </w:pPr>
      <w:rPr>
        <w:rFonts w:hint="default"/>
        <w:b w:val="0"/>
        <w:bCs w:val="0"/>
        <w:lang w:bidi="he-IL"/>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16cid:durableId="13503940">
    <w:abstractNumId w:val="10"/>
  </w:num>
  <w:num w:numId="2" w16cid:durableId="1039163951">
    <w:abstractNumId w:val="9"/>
  </w:num>
  <w:num w:numId="3" w16cid:durableId="1911033824">
    <w:abstractNumId w:val="4"/>
  </w:num>
  <w:num w:numId="4" w16cid:durableId="380323307">
    <w:abstractNumId w:val="3"/>
  </w:num>
  <w:num w:numId="5" w16cid:durableId="1667391903">
    <w:abstractNumId w:val="0"/>
  </w:num>
  <w:num w:numId="6" w16cid:durableId="147138359">
    <w:abstractNumId w:val="8"/>
  </w:num>
  <w:num w:numId="7" w16cid:durableId="1252735317">
    <w:abstractNumId w:val="7"/>
  </w:num>
  <w:num w:numId="8" w16cid:durableId="699866469">
    <w:abstractNumId w:val="2"/>
  </w:num>
  <w:num w:numId="9" w16cid:durableId="1572425826">
    <w:abstractNumId w:val="5"/>
  </w:num>
  <w:num w:numId="10" w16cid:durableId="1195540434">
    <w:abstractNumId w:val="1"/>
  </w:num>
  <w:num w:numId="11" w16cid:durableId="1257441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64"/>
    <w:rsid w:val="00000254"/>
    <w:rsid w:val="00015CDC"/>
    <w:rsid w:val="00016E51"/>
    <w:rsid w:val="00022447"/>
    <w:rsid w:val="00032F12"/>
    <w:rsid w:val="000335AD"/>
    <w:rsid w:val="00035B9C"/>
    <w:rsid w:val="00042B95"/>
    <w:rsid w:val="00044907"/>
    <w:rsid w:val="0004596E"/>
    <w:rsid w:val="00054D14"/>
    <w:rsid w:val="00057348"/>
    <w:rsid w:val="00057971"/>
    <w:rsid w:val="000600F9"/>
    <w:rsid w:val="000631FF"/>
    <w:rsid w:val="0006364A"/>
    <w:rsid w:val="00074377"/>
    <w:rsid w:val="000834ED"/>
    <w:rsid w:val="00086D0C"/>
    <w:rsid w:val="000B1A08"/>
    <w:rsid w:val="000B4AB7"/>
    <w:rsid w:val="000C516C"/>
    <w:rsid w:val="000D115C"/>
    <w:rsid w:val="000E4CD2"/>
    <w:rsid w:val="000E5A15"/>
    <w:rsid w:val="000E6E5A"/>
    <w:rsid w:val="000F5044"/>
    <w:rsid w:val="0010119E"/>
    <w:rsid w:val="001019BC"/>
    <w:rsid w:val="00127BFC"/>
    <w:rsid w:val="001314FA"/>
    <w:rsid w:val="00137D83"/>
    <w:rsid w:val="00143C81"/>
    <w:rsid w:val="00146071"/>
    <w:rsid w:val="00147CD5"/>
    <w:rsid w:val="0015044D"/>
    <w:rsid w:val="00156652"/>
    <w:rsid w:val="00156E90"/>
    <w:rsid w:val="0015745A"/>
    <w:rsid w:val="001624BD"/>
    <w:rsid w:val="00170D13"/>
    <w:rsid w:val="00171EB6"/>
    <w:rsid w:val="00173FC4"/>
    <w:rsid w:val="00174C12"/>
    <w:rsid w:val="001772B3"/>
    <w:rsid w:val="00177FCD"/>
    <w:rsid w:val="00180A74"/>
    <w:rsid w:val="00191D1B"/>
    <w:rsid w:val="00192045"/>
    <w:rsid w:val="001A2CAC"/>
    <w:rsid w:val="001A611A"/>
    <w:rsid w:val="001B0281"/>
    <w:rsid w:val="001B0BB8"/>
    <w:rsid w:val="001B4662"/>
    <w:rsid w:val="001B7589"/>
    <w:rsid w:val="001C2899"/>
    <w:rsid w:val="001D5946"/>
    <w:rsid w:val="001E7B41"/>
    <w:rsid w:val="001F3095"/>
    <w:rsid w:val="001F67E8"/>
    <w:rsid w:val="00201005"/>
    <w:rsid w:val="002011C1"/>
    <w:rsid w:val="0020528F"/>
    <w:rsid w:val="00207448"/>
    <w:rsid w:val="0021053B"/>
    <w:rsid w:val="0021197C"/>
    <w:rsid w:val="0021207E"/>
    <w:rsid w:val="00216F75"/>
    <w:rsid w:val="00222EBE"/>
    <w:rsid w:val="002278E6"/>
    <w:rsid w:val="002334E9"/>
    <w:rsid w:val="00235838"/>
    <w:rsid w:val="00237EC8"/>
    <w:rsid w:val="00243300"/>
    <w:rsid w:val="00243DF7"/>
    <w:rsid w:val="0024440F"/>
    <w:rsid w:val="00252A01"/>
    <w:rsid w:val="00260E7C"/>
    <w:rsid w:val="002646DF"/>
    <w:rsid w:val="00266C48"/>
    <w:rsid w:val="00270443"/>
    <w:rsid w:val="002748AC"/>
    <w:rsid w:val="00275D0D"/>
    <w:rsid w:val="0028073F"/>
    <w:rsid w:val="00280FC4"/>
    <w:rsid w:val="002912CB"/>
    <w:rsid w:val="00294886"/>
    <w:rsid w:val="00296200"/>
    <w:rsid w:val="00297476"/>
    <w:rsid w:val="002A7EAB"/>
    <w:rsid w:val="002B248A"/>
    <w:rsid w:val="002B2A51"/>
    <w:rsid w:val="002C7B7E"/>
    <w:rsid w:val="002D60C2"/>
    <w:rsid w:val="002D6BC6"/>
    <w:rsid w:val="002D7552"/>
    <w:rsid w:val="002E27BB"/>
    <w:rsid w:val="002E5743"/>
    <w:rsid w:val="002F3439"/>
    <w:rsid w:val="00316F7E"/>
    <w:rsid w:val="003212B4"/>
    <w:rsid w:val="00321716"/>
    <w:rsid w:val="00322393"/>
    <w:rsid w:val="00323510"/>
    <w:rsid w:val="00324CC3"/>
    <w:rsid w:val="00326266"/>
    <w:rsid w:val="00327C4A"/>
    <w:rsid w:val="003350A2"/>
    <w:rsid w:val="0033606F"/>
    <w:rsid w:val="00341C51"/>
    <w:rsid w:val="0034380A"/>
    <w:rsid w:val="0035118A"/>
    <w:rsid w:val="003514CE"/>
    <w:rsid w:val="00352EC1"/>
    <w:rsid w:val="003558DF"/>
    <w:rsid w:val="00371585"/>
    <w:rsid w:val="00375511"/>
    <w:rsid w:val="00375A09"/>
    <w:rsid w:val="00380E17"/>
    <w:rsid w:val="0038408B"/>
    <w:rsid w:val="0038528B"/>
    <w:rsid w:val="00386430"/>
    <w:rsid w:val="003934A9"/>
    <w:rsid w:val="00395A5B"/>
    <w:rsid w:val="003B6E8B"/>
    <w:rsid w:val="003C0A63"/>
    <w:rsid w:val="003C19E7"/>
    <w:rsid w:val="003C67C4"/>
    <w:rsid w:val="003F5284"/>
    <w:rsid w:val="00404FF2"/>
    <w:rsid w:val="00405355"/>
    <w:rsid w:val="00412352"/>
    <w:rsid w:val="004165FA"/>
    <w:rsid w:val="0043025B"/>
    <w:rsid w:val="00436E11"/>
    <w:rsid w:val="00447C71"/>
    <w:rsid w:val="0045328A"/>
    <w:rsid w:val="00455817"/>
    <w:rsid w:val="00463220"/>
    <w:rsid w:val="00465029"/>
    <w:rsid w:val="00467B3B"/>
    <w:rsid w:val="00485519"/>
    <w:rsid w:val="00490E4F"/>
    <w:rsid w:val="00491565"/>
    <w:rsid w:val="004A21E6"/>
    <w:rsid w:val="004A2493"/>
    <w:rsid w:val="004A409C"/>
    <w:rsid w:val="004B1488"/>
    <w:rsid w:val="004B2DF4"/>
    <w:rsid w:val="004B6624"/>
    <w:rsid w:val="004C52E1"/>
    <w:rsid w:val="004C7837"/>
    <w:rsid w:val="004C78C2"/>
    <w:rsid w:val="004F0374"/>
    <w:rsid w:val="004F6A55"/>
    <w:rsid w:val="0050289E"/>
    <w:rsid w:val="00504EE9"/>
    <w:rsid w:val="00516463"/>
    <w:rsid w:val="00520C12"/>
    <w:rsid w:val="00521A96"/>
    <w:rsid w:val="00521BDE"/>
    <w:rsid w:val="005310DA"/>
    <w:rsid w:val="00540880"/>
    <w:rsid w:val="005429EE"/>
    <w:rsid w:val="005473ED"/>
    <w:rsid w:val="005573F8"/>
    <w:rsid w:val="005579D4"/>
    <w:rsid w:val="00557A67"/>
    <w:rsid w:val="00561D3A"/>
    <w:rsid w:val="005630ED"/>
    <w:rsid w:val="00573E48"/>
    <w:rsid w:val="00575E7D"/>
    <w:rsid w:val="00583B44"/>
    <w:rsid w:val="00586604"/>
    <w:rsid w:val="005A056F"/>
    <w:rsid w:val="005A085C"/>
    <w:rsid w:val="005A0A69"/>
    <w:rsid w:val="005A5317"/>
    <w:rsid w:val="005A77F4"/>
    <w:rsid w:val="005B49FA"/>
    <w:rsid w:val="005B4F0D"/>
    <w:rsid w:val="005B4F1D"/>
    <w:rsid w:val="005B558E"/>
    <w:rsid w:val="005C70E4"/>
    <w:rsid w:val="005D0B77"/>
    <w:rsid w:val="005D6070"/>
    <w:rsid w:val="005D7A99"/>
    <w:rsid w:val="005E1754"/>
    <w:rsid w:val="005E513E"/>
    <w:rsid w:val="005E72CE"/>
    <w:rsid w:val="005F0929"/>
    <w:rsid w:val="005F0A9C"/>
    <w:rsid w:val="005F3942"/>
    <w:rsid w:val="005F7D21"/>
    <w:rsid w:val="00607C8C"/>
    <w:rsid w:val="006119ED"/>
    <w:rsid w:val="00624466"/>
    <w:rsid w:val="006245B9"/>
    <w:rsid w:val="0062461D"/>
    <w:rsid w:val="00626356"/>
    <w:rsid w:val="00634273"/>
    <w:rsid w:val="00635BE4"/>
    <w:rsid w:val="00647562"/>
    <w:rsid w:val="00671A86"/>
    <w:rsid w:val="00682D25"/>
    <w:rsid w:val="00684B14"/>
    <w:rsid w:val="006862A6"/>
    <w:rsid w:val="006A22C8"/>
    <w:rsid w:val="006A504B"/>
    <w:rsid w:val="006A6F91"/>
    <w:rsid w:val="006B0A3A"/>
    <w:rsid w:val="006B4365"/>
    <w:rsid w:val="006C3EE9"/>
    <w:rsid w:val="006C4EB2"/>
    <w:rsid w:val="006C57B4"/>
    <w:rsid w:val="006D1078"/>
    <w:rsid w:val="006D33FF"/>
    <w:rsid w:val="006D4E85"/>
    <w:rsid w:val="006F16E6"/>
    <w:rsid w:val="006F2F30"/>
    <w:rsid w:val="006F4338"/>
    <w:rsid w:val="006F5E2B"/>
    <w:rsid w:val="00700B8F"/>
    <w:rsid w:val="007040BB"/>
    <w:rsid w:val="007058DF"/>
    <w:rsid w:val="0072672D"/>
    <w:rsid w:val="007313A2"/>
    <w:rsid w:val="00733689"/>
    <w:rsid w:val="00745D62"/>
    <w:rsid w:val="007505BF"/>
    <w:rsid w:val="0075170B"/>
    <w:rsid w:val="007556B3"/>
    <w:rsid w:val="00770B3D"/>
    <w:rsid w:val="007764B1"/>
    <w:rsid w:val="007828B4"/>
    <w:rsid w:val="00791C9F"/>
    <w:rsid w:val="00793EEA"/>
    <w:rsid w:val="00795D12"/>
    <w:rsid w:val="00797DB2"/>
    <w:rsid w:val="007A3230"/>
    <w:rsid w:val="007C596C"/>
    <w:rsid w:val="007F12FF"/>
    <w:rsid w:val="00804140"/>
    <w:rsid w:val="00822F54"/>
    <w:rsid w:val="0082472F"/>
    <w:rsid w:val="00830FE0"/>
    <w:rsid w:val="00831CDE"/>
    <w:rsid w:val="00834157"/>
    <w:rsid w:val="00834510"/>
    <w:rsid w:val="008470C3"/>
    <w:rsid w:val="00850317"/>
    <w:rsid w:val="00850989"/>
    <w:rsid w:val="00852BFE"/>
    <w:rsid w:val="00855E96"/>
    <w:rsid w:val="00872AA4"/>
    <w:rsid w:val="00875190"/>
    <w:rsid w:val="00883A47"/>
    <w:rsid w:val="00886F2D"/>
    <w:rsid w:val="00891465"/>
    <w:rsid w:val="00892C32"/>
    <w:rsid w:val="008C121D"/>
    <w:rsid w:val="008C38C9"/>
    <w:rsid w:val="008C5666"/>
    <w:rsid w:val="008C7678"/>
    <w:rsid w:val="008D1DAC"/>
    <w:rsid w:val="008D55C8"/>
    <w:rsid w:val="008E0B4F"/>
    <w:rsid w:val="008F33A0"/>
    <w:rsid w:val="008F7687"/>
    <w:rsid w:val="00916033"/>
    <w:rsid w:val="00920CDF"/>
    <w:rsid w:val="0092592E"/>
    <w:rsid w:val="00930D0C"/>
    <w:rsid w:val="00931FDA"/>
    <w:rsid w:val="009343FC"/>
    <w:rsid w:val="0093638F"/>
    <w:rsid w:val="00941E1A"/>
    <w:rsid w:val="00945AB2"/>
    <w:rsid w:val="0094777C"/>
    <w:rsid w:val="00950F18"/>
    <w:rsid w:val="00951369"/>
    <w:rsid w:val="009549B0"/>
    <w:rsid w:val="0095728E"/>
    <w:rsid w:val="0096406B"/>
    <w:rsid w:val="00964CD7"/>
    <w:rsid w:val="009658A6"/>
    <w:rsid w:val="0097038B"/>
    <w:rsid w:val="00970BD4"/>
    <w:rsid w:val="00972AE9"/>
    <w:rsid w:val="0097552F"/>
    <w:rsid w:val="00981C83"/>
    <w:rsid w:val="00982CA2"/>
    <w:rsid w:val="00987121"/>
    <w:rsid w:val="00997082"/>
    <w:rsid w:val="009A1E51"/>
    <w:rsid w:val="009A25AE"/>
    <w:rsid w:val="009A6264"/>
    <w:rsid w:val="009B0F69"/>
    <w:rsid w:val="009C2062"/>
    <w:rsid w:val="009C5420"/>
    <w:rsid w:val="009D2A83"/>
    <w:rsid w:val="009D3935"/>
    <w:rsid w:val="009D75B1"/>
    <w:rsid w:val="009E005C"/>
    <w:rsid w:val="009E12DA"/>
    <w:rsid w:val="009E1396"/>
    <w:rsid w:val="009E21B3"/>
    <w:rsid w:val="009E42FE"/>
    <w:rsid w:val="009E51B5"/>
    <w:rsid w:val="009F3B84"/>
    <w:rsid w:val="00A00C53"/>
    <w:rsid w:val="00A04DFB"/>
    <w:rsid w:val="00A05E57"/>
    <w:rsid w:val="00A1323F"/>
    <w:rsid w:val="00A201C2"/>
    <w:rsid w:val="00A3794B"/>
    <w:rsid w:val="00A4094C"/>
    <w:rsid w:val="00A424F8"/>
    <w:rsid w:val="00A43295"/>
    <w:rsid w:val="00A44A7D"/>
    <w:rsid w:val="00A64B14"/>
    <w:rsid w:val="00A77BA0"/>
    <w:rsid w:val="00A9596D"/>
    <w:rsid w:val="00AA051C"/>
    <w:rsid w:val="00AA3A55"/>
    <w:rsid w:val="00AB0E0E"/>
    <w:rsid w:val="00AB1430"/>
    <w:rsid w:val="00AB75B4"/>
    <w:rsid w:val="00AC0993"/>
    <w:rsid w:val="00AC12D5"/>
    <w:rsid w:val="00AD0114"/>
    <w:rsid w:val="00AD5633"/>
    <w:rsid w:val="00AE3BFB"/>
    <w:rsid w:val="00AE508C"/>
    <w:rsid w:val="00AE5775"/>
    <w:rsid w:val="00AF26AC"/>
    <w:rsid w:val="00AF58DA"/>
    <w:rsid w:val="00B00023"/>
    <w:rsid w:val="00B006F0"/>
    <w:rsid w:val="00B02EC2"/>
    <w:rsid w:val="00B0338F"/>
    <w:rsid w:val="00B0655B"/>
    <w:rsid w:val="00B11EA2"/>
    <w:rsid w:val="00B14224"/>
    <w:rsid w:val="00B15EF4"/>
    <w:rsid w:val="00B27EDD"/>
    <w:rsid w:val="00B303F5"/>
    <w:rsid w:val="00B330A1"/>
    <w:rsid w:val="00B45613"/>
    <w:rsid w:val="00B55938"/>
    <w:rsid w:val="00B62ED8"/>
    <w:rsid w:val="00B6411E"/>
    <w:rsid w:val="00B76283"/>
    <w:rsid w:val="00B870EE"/>
    <w:rsid w:val="00B9254F"/>
    <w:rsid w:val="00BB19E9"/>
    <w:rsid w:val="00BB1CF8"/>
    <w:rsid w:val="00BC08CF"/>
    <w:rsid w:val="00BC0DCE"/>
    <w:rsid w:val="00BD2D04"/>
    <w:rsid w:val="00BD4DDA"/>
    <w:rsid w:val="00BD63B0"/>
    <w:rsid w:val="00BF7116"/>
    <w:rsid w:val="00C21B7D"/>
    <w:rsid w:val="00C24467"/>
    <w:rsid w:val="00C2454A"/>
    <w:rsid w:val="00C30FF5"/>
    <w:rsid w:val="00C359E7"/>
    <w:rsid w:val="00C378F4"/>
    <w:rsid w:val="00C434B0"/>
    <w:rsid w:val="00C51064"/>
    <w:rsid w:val="00C51E1C"/>
    <w:rsid w:val="00C57F14"/>
    <w:rsid w:val="00C624B9"/>
    <w:rsid w:val="00C63768"/>
    <w:rsid w:val="00C6647C"/>
    <w:rsid w:val="00C739BF"/>
    <w:rsid w:val="00C823A0"/>
    <w:rsid w:val="00C8611B"/>
    <w:rsid w:val="00CA06B5"/>
    <w:rsid w:val="00CA073A"/>
    <w:rsid w:val="00CA12ED"/>
    <w:rsid w:val="00CA67A0"/>
    <w:rsid w:val="00CB1711"/>
    <w:rsid w:val="00CC0F82"/>
    <w:rsid w:val="00CC4201"/>
    <w:rsid w:val="00CC4DD8"/>
    <w:rsid w:val="00CC5462"/>
    <w:rsid w:val="00CC6C7F"/>
    <w:rsid w:val="00CC76E6"/>
    <w:rsid w:val="00CC7D9E"/>
    <w:rsid w:val="00CD340A"/>
    <w:rsid w:val="00CF207A"/>
    <w:rsid w:val="00CF4DC2"/>
    <w:rsid w:val="00D021D5"/>
    <w:rsid w:val="00D148F5"/>
    <w:rsid w:val="00D27A3A"/>
    <w:rsid w:val="00D356FD"/>
    <w:rsid w:val="00D40BE8"/>
    <w:rsid w:val="00D44D15"/>
    <w:rsid w:val="00D44F8D"/>
    <w:rsid w:val="00D52168"/>
    <w:rsid w:val="00D61EF5"/>
    <w:rsid w:val="00D661E5"/>
    <w:rsid w:val="00D73D5E"/>
    <w:rsid w:val="00D7507B"/>
    <w:rsid w:val="00D81A1D"/>
    <w:rsid w:val="00D86F54"/>
    <w:rsid w:val="00D9053D"/>
    <w:rsid w:val="00D9231E"/>
    <w:rsid w:val="00D96EE9"/>
    <w:rsid w:val="00DA5F1D"/>
    <w:rsid w:val="00DA661A"/>
    <w:rsid w:val="00DA6B11"/>
    <w:rsid w:val="00DB2CD8"/>
    <w:rsid w:val="00DB51E1"/>
    <w:rsid w:val="00DB59AF"/>
    <w:rsid w:val="00DC18E5"/>
    <w:rsid w:val="00DD576A"/>
    <w:rsid w:val="00DE6DFC"/>
    <w:rsid w:val="00DE71A4"/>
    <w:rsid w:val="00DF0A48"/>
    <w:rsid w:val="00E16D8E"/>
    <w:rsid w:val="00E17019"/>
    <w:rsid w:val="00E250BF"/>
    <w:rsid w:val="00E2591C"/>
    <w:rsid w:val="00E26C88"/>
    <w:rsid w:val="00E41BC6"/>
    <w:rsid w:val="00E639F6"/>
    <w:rsid w:val="00E65DBE"/>
    <w:rsid w:val="00E71D89"/>
    <w:rsid w:val="00E82DFD"/>
    <w:rsid w:val="00E8706D"/>
    <w:rsid w:val="00E900EB"/>
    <w:rsid w:val="00EA29C3"/>
    <w:rsid w:val="00EA6701"/>
    <w:rsid w:val="00EB2A0C"/>
    <w:rsid w:val="00EC67CA"/>
    <w:rsid w:val="00ED05F0"/>
    <w:rsid w:val="00ED67F0"/>
    <w:rsid w:val="00ED6CF1"/>
    <w:rsid w:val="00EE6ADD"/>
    <w:rsid w:val="00EF2C6A"/>
    <w:rsid w:val="00EF2F95"/>
    <w:rsid w:val="00EF5A45"/>
    <w:rsid w:val="00EF5E68"/>
    <w:rsid w:val="00F002D0"/>
    <w:rsid w:val="00F0280D"/>
    <w:rsid w:val="00F12600"/>
    <w:rsid w:val="00F1390F"/>
    <w:rsid w:val="00F222A4"/>
    <w:rsid w:val="00F22DB6"/>
    <w:rsid w:val="00F36B91"/>
    <w:rsid w:val="00F442C4"/>
    <w:rsid w:val="00F52EE1"/>
    <w:rsid w:val="00F6664F"/>
    <w:rsid w:val="00F77C79"/>
    <w:rsid w:val="00F875F3"/>
    <w:rsid w:val="00F92C3F"/>
    <w:rsid w:val="00F9453C"/>
    <w:rsid w:val="00FB1471"/>
    <w:rsid w:val="00FB2B75"/>
    <w:rsid w:val="00FC76B0"/>
    <w:rsid w:val="00FD0632"/>
    <w:rsid w:val="00FD0A99"/>
    <w:rsid w:val="00FE016C"/>
    <w:rsid w:val="00FE0B61"/>
    <w:rsid w:val="00FE2A9A"/>
    <w:rsid w:val="00FE4366"/>
    <w:rsid w:val="00FE5EF4"/>
    <w:rsid w:val="00FF3E14"/>
    <w:rsid w:val="00FF4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77A6"/>
  <w15:chartTrackingRefBased/>
  <w15:docId w15:val="{E39778DD-2A89-48E5-A72B-CD988668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64"/>
    <w:pPr>
      <w:bidi/>
      <w:spacing w:after="200" w:line="276" w:lineRule="auto"/>
    </w:pPr>
    <w:rPr>
      <w:rFonts w:cs="David"/>
      <w:sz w:val="22"/>
      <w:szCs w:val="28"/>
    </w:rPr>
  </w:style>
  <w:style w:type="paragraph" w:styleId="Heading1">
    <w:name w:val="heading 1"/>
    <w:basedOn w:val="Normal"/>
    <w:next w:val="Normal"/>
    <w:link w:val="Heading1Char"/>
    <w:qFormat/>
    <w:rsid w:val="00575E7D"/>
    <w:pPr>
      <w:keepNext/>
      <w:spacing w:before="360" w:after="120" w:line="240" w:lineRule="auto"/>
      <w:outlineLvl w:val="0"/>
    </w:pPr>
    <w:rPr>
      <w:rFonts w:ascii="Times New Roman" w:eastAsia="Times New Roman" w:hAnsi="Times New Roman"/>
      <w:b/>
      <w:bCs/>
      <w:kern w:val="32"/>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626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6264"/>
    <w:pPr>
      <w:tabs>
        <w:tab w:val="center" w:pos="4153"/>
        <w:tab w:val="right" w:pos="8306"/>
      </w:tabs>
    </w:pPr>
  </w:style>
  <w:style w:type="character" w:customStyle="1" w:styleId="HeaderChar">
    <w:name w:val="Header Char"/>
    <w:link w:val="Header"/>
    <w:uiPriority w:val="99"/>
    <w:rsid w:val="009A6264"/>
    <w:rPr>
      <w:rFonts w:ascii="Calibri" w:eastAsia="Calibri" w:hAnsi="Calibri" w:cs="David"/>
      <w:szCs w:val="28"/>
    </w:rPr>
  </w:style>
  <w:style w:type="paragraph" w:styleId="Footer">
    <w:name w:val="footer"/>
    <w:basedOn w:val="Normal"/>
    <w:link w:val="FooterChar"/>
    <w:uiPriority w:val="99"/>
    <w:unhideWhenUsed/>
    <w:rsid w:val="009A6264"/>
    <w:pPr>
      <w:tabs>
        <w:tab w:val="center" w:pos="4153"/>
        <w:tab w:val="right" w:pos="8306"/>
      </w:tabs>
    </w:pPr>
  </w:style>
  <w:style w:type="character" w:customStyle="1" w:styleId="FooterChar">
    <w:name w:val="Footer Char"/>
    <w:link w:val="Footer"/>
    <w:uiPriority w:val="99"/>
    <w:rsid w:val="009A6264"/>
    <w:rPr>
      <w:rFonts w:ascii="Calibri" w:eastAsia="Calibri" w:hAnsi="Calibri" w:cs="David"/>
      <w:szCs w:val="28"/>
    </w:rPr>
  </w:style>
  <w:style w:type="paragraph" w:styleId="BalloonText">
    <w:name w:val="Balloon Text"/>
    <w:basedOn w:val="Normal"/>
    <w:link w:val="BalloonTextChar"/>
    <w:uiPriority w:val="99"/>
    <w:semiHidden/>
    <w:unhideWhenUsed/>
    <w:rsid w:val="00A04DFB"/>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A04DFB"/>
    <w:rPr>
      <w:rFonts w:ascii="Tahoma" w:hAnsi="Tahoma" w:cs="Tahoma"/>
      <w:sz w:val="18"/>
      <w:szCs w:val="18"/>
    </w:rPr>
  </w:style>
  <w:style w:type="character" w:customStyle="1" w:styleId="Heading1Char">
    <w:name w:val="Heading 1 Char"/>
    <w:link w:val="Heading1"/>
    <w:rsid w:val="00575E7D"/>
    <w:rPr>
      <w:rFonts w:ascii="Times New Roman" w:eastAsia="Times New Roman" w:hAnsi="Times New Roman" w:cs="David"/>
      <w:b/>
      <w:bCs/>
      <w:kern w:val="32"/>
      <w:sz w:val="28"/>
      <w:szCs w:val="28"/>
      <w:u w:val="single"/>
    </w:rPr>
  </w:style>
  <w:style w:type="paragraph" w:styleId="BlockText">
    <w:name w:val="Block Text"/>
    <w:basedOn w:val="Normal"/>
    <w:rsid w:val="00575E7D"/>
    <w:pPr>
      <w:spacing w:before="240" w:after="360" w:line="240" w:lineRule="auto"/>
      <w:ind w:left="1134" w:right="1134"/>
      <w:contextualSpacing/>
      <w:jc w:val="both"/>
    </w:pPr>
    <w:rPr>
      <w:rFonts w:ascii="Times New Roman" w:eastAsia="Times New Roman" w:hAnsi="Times New Roman"/>
      <w:sz w:val="28"/>
    </w:rPr>
  </w:style>
  <w:style w:type="paragraph" w:customStyle="1" w:styleId="a">
    <w:name w:val="בלוק בבלוק"/>
    <w:basedOn w:val="BlockText"/>
    <w:rsid w:val="00575E7D"/>
    <w:pPr>
      <w:ind w:left="1701" w:right="1701"/>
    </w:pPr>
  </w:style>
  <w:style w:type="character" w:customStyle="1" w:styleId="ListParagraphChar">
    <w:name w:val="List Paragraph Char"/>
    <w:link w:val="ListParagraph"/>
    <w:uiPriority w:val="34"/>
    <w:rsid w:val="00380E17"/>
    <w:rPr>
      <w:rFonts w:ascii="Times New Roman" w:eastAsia="Times New Roman" w:hAnsi="Times New Roman" w:cs="Times New Roman"/>
      <w:sz w:val="24"/>
      <w:szCs w:val="24"/>
    </w:rPr>
  </w:style>
  <w:style w:type="character" w:styleId="CommentReference">
    <w:name w:val="annotation reference"/>
    <w:uiPriority w:val="99"/>
    <w:semiHidden/>
    <w:unhideWhenUsed/>
    <w:rsid w:val="009F3B84"/>
    <w:rPr>
      <w:sz w:val="16"/>
      <w:szCs w:val="16"/>
    </w:rPr>
  </w:style>
  <w:style w:type="paragraph" w:styleId="CommentText">
    <w:name w:val="annotation text"/>
    <w:basedOn w:val="Normal"/>
    <w:link w:val="CommentTextChar"/>
    <w:uiPriority w:val="99"/>
    <w:semiHidden/>
    <w:unhideWhenUsed/>
    <w:rsid w:val="009F3B84"/>
    <w:rPr>
      <w:sz w:val="20"/>
      <w:szCs w:val="20"/>
    </w:rPr>
  </w:style>
  <w:style w:type="character" w:customStyle="1" w:styleId="CommentTextChar">
    <w:name w:val="Comment Text Char"/>
    <w:link w:val="CommentText"/>
    <w:uiPriority w:val="99"/>
    <w:semiHidden/>
    <w:rsid w:val="009F3B84"/>
    <w:rPr>
      <w:rFonts w:cs="David"/>
    </w:rPr>
  </w:style>
  <w:style w:type="paragraph" w:styleId="CommentSubject">
    <w:name w:val="annotation subject"/>
    <w:basedOn w:val="CommentText"/>
    <w:next w:val="CommentText"/>
    <w:link w:val="CommentSubjectChar"/>
    <w:uiPriority w:val="99"/>
    <w:semiHidden/>
    <w:unhideWhenUsed/>
    <w:rsid w:val="009F3B84"/>
    <w:rPr>
      <w:b/>
      <w:bCs/>
    </w:rPr>
  </w:style>
  <w:style w:type="character" w:customStyle="1" w:styleId="CommentSubjectChar">
    <w:name w:val="Comment Subject Char"/>
    <w:link w:val="CommentSubject"/>
    <w:uiPriority w:val="99"/>
    <w:semiHidden/>
    <w:rsid w:val="009F3B84"/>
    <w:rPr>
      <w:rFonts w:cs="David"/>
      <w:b/>
      <w:bCs/>
    </w:rPr>
  </w:style>
  <w:style w:type="character" w:customStyle="1" w:styleId="a0">
    <w:name w:val="פיסקת רשימה תו"/>
    <w:link w:val="1"/>
    <w:uiPriority w:val="34"/>
    <w:locked/>
    <w:rsid w:val="008F33A0"/>
    <w:rPr>
      <w:rFonts w:ascii="Times New Roman" w:eastAsia="Times New Roman" w:hAnsi="Times New Roman" w:cs="Times New Roman"/>
      <w:sz w:val="24"/>
      <w:szCs w:val="24"/>
    </w:rPr>
  </w:style>
  <w:style w:type="paragraph" w:customStyle="1" w:styleId="1">
    <w:name w:val="פיסקת רשימה1"/>
    <w:basedOn w:val="Normal"/>
    <w:link w:val="a0"/>
    <w:uiPriority w:val="34"/>
    <w:qFormat/>
    <w:rsid w:val="008F33A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BD78E-FBB5-4B60-A065-E4F3CFB2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3810</Words>
  <Characters>21721</Characters>
  <Application>Microsoft Office Word</Application>
  <DocSecurity>0</DocSecurity>
  <Lines>181</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s7197387</dc:creator>
  <cp:keywords/>
  <dc:description/>
  <cp:lastModifiedBy>דניאל אוזן</cp:lastModifiedBy>
  <cp:revision>14</cp:revision>
  <cp:lastPrinted>2024-08-11T08:38:00Z</cp:lastPrinted>
  <dcterms:created xsi:type="dcterms:W3CDTF">2024-08-12T06:14:00Z</dcterms:created>
  <dcterms:modified xsi:type="dcterms:W3CDTF">2024-08-21T07:48:00Z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5299c7d0,54db2950,2cde0be8</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2024-08-14T09:53:24Z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6ae5d7c2-935b-47af-9886-01a1330942e2</vt:lpwstr>
  </property>
  <property fmtid="{D5CDD505-2E9C-101B-9397-08002B2CF9AE}" pid="11" name="MSIP_Label_701b9bfc-c426-492e-a46c-1a922d5fe54b_ContentBits">
    <vt:lpwstr>1</vt:lpwstr>
  </property>
</Properties>
</file>