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F35D5" w14:textId="77777777" w:rsidR="00C604B9" w:rsidRPr="008D0543" w:rsidRDefault="00C604B9" w:rsidP="008D0543">
      <w:pPr>
        <w:jc w:val="center"/>
        <w:rPr>
          <w:b/>
          <w:bCs/>
          <w:sz w:val="32"/>
          <w:szCs w:val="32"/>
          <w:rtl/>
        </w:rPr>
      </w:pPr>
      <w:r w:rsidRPr="008D0543">
        <w:rPr>
          <w:rFonts w:hint="eastAsia"/>
          <w:b/>
          <w:bCs/>
          <w:sz w:val="32"/>
          <w:szCs w:val="32"/>
          <w:rtl/>
        </w:rPr>
        <w:t>צבא</w:t>
      </w:r>
      <w:r w:rsidRPr="008D0543">
        <w:rPr>
          <w:b/>
          <w:bCs/>
          <w:sz w:val="32"/>
          <w:szCs w:val="32"/>
          <w:rtl/>
        </w:rPr>
        <w:t xml:space="preserve"> </w:t>
      </w:r>
      <w:r w:rsidRPr="008D0543">
        <w:rPr>
          <w:rFonts w:hint="eastAsia"/>
          <w:b/>
          <w:bCs/>
          <w:sz w:val="32"/>
          <w:szCs w:val="32"/>
          <w:rtl/>
        </w:rPr>
        <w:t>הגנה</w:t>
      </w:r>
      <w:r w:rsidRPr="008D0543">
        <w:rPr>
          <w:b/>
          <w:bCs/>
          <w:sz w:val="32"/>
          <w:szCs w:val="32"/>
          <w:rtl/>
        </w:rPr>
        <w:t xml:space="preserve"> </w:t>
      </w:r>
      <w:r w:rsidRPr="008D0543">
        <w:rPr>
          <w:rFonts w:hint="eastAsia"/>
          <w:b/>
          <w:bCs/>
          <w:sz w:val="32"/>
          <w:szCs w:val="32"/>
          <w:rtl/>
        </w:rPr>
        <w:t>לישראל</w:t>
      </w:r>
    </w:p>
    <w:p w14:paraId="37CDA29D" w14:textId="77777777" w:rsidR="00C604B9" w:rsidRPr="008D0543" w:rsidRDefault="00C604B9" w:rsidP="008D0543">
      <w:pPr>
        <w:jc w:val="center"/>
        <w:rPr>
          <w:b/>
          <w:bCs/>
          <w:sz w:val="32"/>
          <w:szCs w:val="32"/>
          <w:rtl/>
        </w:rPr>
      </w:pPr>
    </w:p>
    <w:p w14:paraId="34D70EEA" w14:textId="34D254EF" w:rsidR="00C604B9" w:rsidRPr="008D0543" w:rsidRDefault="00C604B9" w:rsidP="008D0543">
      <w:pPr>
        <w:jc w:val="center"/>
        <w:rPr>
          <w:b/>
          <w:bCs/>
          <w:sz w:val="32"/>
          <w:szCs w:val="32"/>
          <w:rtl/>
        </w:rPr>
      </w:pPr>
      <w:r w:rsidRPr="008D0543">
        <w:rPr>
          <w:rFonts w:hint="eastAsia"/>
          <w:b/>
          <w:bCs/>
          <w:sz w:val="32"/>
          <w:szCs w:val="32"/>
          <w:rtl/>
        </w:rPr>
        <w:t>צו</w:t>
      </w:r>
      <w:r w:rsidRPr="008D0543">
        <w:rPr>
          <w:b/>
          <w:bCs/>
          <w:sz w:val="32"/>
          <w:szCs w:val="32"/>
          <w:rtl/>
        </w:rPr>
        <w:t xml:space="preserve"> </w:t>
      </w:r>
      <w:r w:rsidRPr="008D0543">
        <w:rPr>
          <w:rFonts w:hint="eastAsia"/>
          <w:b/>
          <w:bCs/>
          <w:sz w:val="32"/>
          <w:szCs w:val="32"/>
          <w:rtl/>
        </w:rPr>
        <w:t>מס</w:t>
      </w:r>
      <w:r w:rsidRPr="008D0543">
        <w:rPr>
          <w:b/>
          <w:bCs/>
          <w:sz w:val="32"/>
          <w:szCs w:val="32"/>
          <w:rtl/>
        </w:rPr>
        <w:t xml:space="preserve">' </w:t>
      </w:r>
      <w:r w:rsidR="004F7B4C">
        <w:rPr>
          <w:rFonts w:hint="cs"/>
          <w:b/>
          <w:bCs/>
          <w:sz w:val="32"/>
          <w:szCs w:val="32"/>
          <w:rtl/>
        </w:rPr>
        <w:t>2216</w:t>
      </w:r>
    </w:p>
    <w:p w14:paraId="39227C5C" w14:textId="77777777" w:rsidR="00C604B9" w:rsidRPr="008D0543" w:rsidRDefault="00C604B9" w:rsidP="008D0543">
      <w:pPr>
        <w:jc w:val="center"/>
        <w:rPr>
          <w:b/>
          <w:bCs/>
          <w:sz w:val="32"/>
          <w:szCs w:val="32"/>
        </w:rPr>
      </w:pPr>
    </w:p>
    <w:p w14:paraId="670D893F" w14:textId="7781E375" w:rsidR="00C604B9" w:rsidRPr="008D0543" w:rsidRDefault="00C604B9" w:rsidP="008D0543">
      <w:pPr>
        <w:jc w:val="center"/>
        <w:rPr>
          <w:b/>
          <w:bCs/>
          <w:sz w:val="32"/>
          <w:szCs w:val="32"/>
          <w:rtl/>
        </w:rPr>
      </w:pPr>
      <w:r w:rsidRPr="008D0543">
        <w:rPr>
          <w:b/>
          <w:bCs/>
          <w:sz w:val="32"/>
          <w:szCs w:val="32"/>
          <w:rtl/>
        </w:rPr>
        <w:t xml:space="preserve">צו בדבר החמרת הטיפול בעבירות הסתה ותמיכה בארגון עוין ("חרבות ברזל") (הוראת שעה) (תיקון מס' </w:t>
      </w:r>
      <w:r w:rsidR="00864B22">
        <w:rPr>
          <w:rFonts w:hint="cs"/>
          <w:b/>
          <w:bCs/>
          <w:sz w:val="32"/>
          <w:szCs w:val="32"/>
          <w:rtl/>
        </w:rPr>
        <w:t>3)</w:t>
      </w:r>
      <w:r w:rsidRPr="008D0543">
        <w:rPr>
          <w:b/>
          <w:bCs/>
          <w:sz w:val="32"/>
          <w:szCs w:val="32"/>
          <w:rtl/>
        </w:rPr>
        <w:t xml:space="preserve"> (יהודה ושומרון) (מס' </w:t>
      </w:r>
      <w:r w:rsidR="004F7B4C">
        <w:rPr>
          <w:rFonts w:hint="cs"/>
          <w:b/>
          <w:bCs/>
          <w:sz w:val="32"/>
          <w:szCs w:val="32"/>
          <w:rtl/>
        </w:rPr>
        <w:t>2216</w:t>
      </w:r>
      <w:r w:rsidRPr="008D0543">
        <w:rPr>
          <w:b/>
          <w:bCs/>
          <w:sz w:val="32"/>
          <w:szCs w:val="32"/>
          <w:rtl/>
        </w:rPr>
        <w:t>), התשפ"</w:t>
      </w:r>
      <w:r w:rsidR="00864B22">
        <w:rPr>
          <w:rFonts w:hint="cs"/>
          <w:b/>
          <w:bCs/>
          <w:sz w:val="32"/>
          <w:szCs w:val="32"/>
          <w:rtl/>
        </w:rPr>
        <w:t>ה</w:t>
      </w:r>
      <w:r w:rsidRPr="008D0543">
        <w:rPr>
          <w:b/>
          <w:bCs/>
          <w:sz w:val="32"/>
          <w:szCs w:val="32"/>
          <w:rtl/>
        </w:rPr>
        <w:t>-2024</w:t>
      </w:r>
    </w:p>
    <w:p w14:paraId="27F5AA6A" w14:textId="77777777" w:rsidR="00471C80" w:rsidRPr="008D0543" w:rsidRDefault="00471C80" w:rsidP="008D0543">
      <w:pPr>
        <w:jc w:val="center"/>
        <w:rPr>
          <w:sz w:val="32"/>
          <w:szCs w:val="32"/>
          <w:rtl/>
        </w:rPr>
      </w:pPr>
    </w:p>
    <w:p w14:paraId="1F40A1CF" w14:textId="77777777" w:rsidR="00C604B9" w:rsidRPr="008D0543" w:rsidRDefault="00C604B9" w:rsidP="008D0543">
      <w:pPr>
        <w:jc w:val="center"/>
        <w:rPr>
          <w:sz w:val="32"/>
          <w:szCs w:val="32"/>
          <w:rtl/>
        </w:rPr>
      </w:pPr>
    </w:p>
    <w:p w14:paraId="7B20B68A" w14:textId="20AB492C" w:rsidR="00C604B9" w:rsidRPr="008D0543" w:rsidRDefault="00C604B9" w:rsidP="008D0543">
      <w:pPr>
        <w:spacing w:line="276" w:lineRule="auto"/>
        <w:jc w:val="both"/>
        <w:rPr>
          <w:sz w:val="26"/>
        </w:rPr>
      </w:pPr>
      <w:r w:rsidRPr="008D0543">
        <w:rPr>
          <w:sz w:val="26"/>
          <w:rtl/>
        </w:rPr>
        <w:t>בתוקף סמכותי כמפקד כוחות צה"ל באזור, לאור הנסיבות הביטחוניות יוצאות הדופן השוררות כיום באזור, והואיל וטעמי ביטחון האזור והשמירה על הסדר הציבורי מחייבים זאת, הנני מצווה בזאת לאמור</w:t>
      </w:r>
      <w:r>
        <w:rPr>
          <w:rFonts w:hint="cs"/>
          <w:sz w:val="26"/>
          <w:rtl/>
        </w:rPr>
        <w:t>:</w:t>
      </w:r>
    </w:p>
    <w:p w14:paraId="1B3A2493" w14:textId="77777777" w:rsidR="00C604B9" w:rsidRPr="008D0543" w:rsidRDefault="00C604B9" w:rsidP="008D0543">
      <w:pPr>
        <w:spacing w:line="276" w:lineRule="auto"/>
        <w:rPr>
          <w:sz w:val="26"/>
          <w:rtl/>
        </w:rPr>
      </w:pPr>
    </w:p>
    <w:p w14:paraId="3E62804F" w14:textId="77777777" w:rsidR="00471C80" w:rsidRPr="008D0543" w:rsidRDefault="00471C80" w:rsidP="008D0543">
      <w:pPr>
        <w:spacing w:line="276" w:lineRule="auto"/>
        <w:rPr>
          <w:vanish/>
          <w:sz w:val="26"/>
        </w:rPr>
      </w:pPr>
      <w:bookmarkStart w:id="0" w:name="CUBE"/>
      <w:bookmarkStart w:id="1" w:name="SIGN"/>
      <w:bookmarkEnd w:id="0"/>
      <w:bookmarkEnd w:id="1"/>
    </w:p>
    <w:tbl>
      <w:tblPr>
        <w:bidiVisual/>
        <w:tblW w:w="8525" w:type="dxa"/>
        <w:tblLayout w:type="fixed"/>
        <w:tblLook w:val="0000" w:firstRow="0" w:lastRow="0" w:firstColumn="0" w:lastColumn="0" w:noHBand="0" w:noVBand="0"/>
      </w:tblPr>
      <w:tblGrid>
        <w:gridCol w:w="1166"/>
        <w:gridCol w:w="425"/>
        <w:gridCol w:w="6934"/>
      </w:tblGrid>
      <w:tr w:rsidR="00471C80" w:rsidRPr="00C604B9" w14:paraId="50F7B082" w14:textId="77777777" w:rsidTr="009C2996">
        <w:trPr>
          <w:trHeight w:val="227"/>
        </w:trPr>
        <w:tc>
          <w:tcPr>
            <w:tcW w:w="1166" w:type="dxa"/>
            <w:vMerge w:val="restart"/>
          </w:tcPr>
          <w:p w14:paraId="59A692DE" w14:textId="77777777" w:rsidR="000150FF" w:rsidRPr="00C604B9" w:rsidRDefault="000150FF" w:rsidP="008D0543">
            <w:pPr>
              <w:spacing w:line="276" w:lineRule="auto"/>
              <w:jc w:val="both"/>
              <w:rPr>
                <w:b/>
                <w:bCs/>
                <w:sz w:val="26"/>
                <w:rtl/>
              </w:rPr>
            </w:pPr>
            <w:r w:rsidRPr="00C604B9">
              <w:rPr>
                <w:rFonts w:hint="cs"/>
                <w:b/>
                <w:bCs/>
                <w:sz w:val="26"/>
                <w:rtl/>
              </w:rPr>
              <w:t>תיקון סעיף 2</w:t>
            </w:r>
          </w:p>
          <w:p w14:paraId="587043AC" w14:textId="27E00EDA" w:rsidR="00471C80" w:rsidRPr="00C604B9" w:rsidRDefault="00471C80" w:rsidP="008D0543">
            <w:pPr>
              <w:spacing w:line="276" w:lineRule="auto"/>
              <w:jc w:val="both"/>
              <w:rPr>
                <w:b/>
                <w:bCs/>
                <w:sz w:val="26"/>
                <w:rtl/>
              </w:rPr>
            </w:pPr>
            <w:r w:rsidRPr="00C604B9">
              <w:rPr>
                <w:b/>
                <w:bCs/>
                <w:sz w:val="26"/>
                <w:rtl/>
              </w:rPr>
              <w:br/>
            </w:r>
          </w:p>
          <w:p w14:paraId="63E12B71" w14:textId="2A7F522E" w:rsidR="00471C80" w:rsidRPr="00C604B9" w:rsidRDefault="00471C80" w:rsidP="008D0543">
            <w:pPr>
              <w:spacing w:line="276" w:lineRule="auto"/>
              <w:rPr>
                <w:b/>
                <w:bCs/>
                <w:sz w:val="26"/>
                <w:rtl/>
              </w:rPr>
            </w:pPr>
          </w:p>
        </w:tc>
        <w:tc>
          <w:tcPr>
            <w:tcW w:w="425" w:type="dxa"/>
            <w:vMerge w:val="restart"/>
          </w:tcPr>
          <w:p w14:paraId="504C7899" w14:textId="77777777" w:rsidR="00471C80" w:rsidRPr="00C604B9" w:rsidRDefault="00471C80" w:rsidP="008D0543">
            <w:pPr>
              <w:numPr>
                <w:ilvl w:val="0"/>
                <w:numId w:val="1"/>
              </w:numPr>
              <w:spacing w:line="276" w:lineRule="auto"/>
              <w:rPr>
                <w:sz w:val="26"/>
                <w:rtl/>
              </w:rPr>
            </w:pPr>
          </w:p>
        </w:tc>
        <w:tc>
          <w:tcPr>
            <w:tcW w:w="6934" w:type="dxa"/>
          </w:tcPr>
          <w:p w14:paraId="20BB6AAA" w14:textId="6FC87C6A" w:rsidR="00471C80" w:rsidRPr="00C604B9" w:rsidRDefault="00471C80" w:rsidP="008D0543">
            <w:pPr>
              <w:spacing w:line="276" w:lineRule="auto"/>
              <w:jc w:val="both"/>
              <w:rPr>
                <w:sz w:val="26"/>
                <w:rtl/>
              </w:rPr>
            </w:pPr>
            <w:r w:rsidRPr="00C604B9">
              <w:rPr>
                <w:rFonts w:hint="cs"/>
                <w:sz w:val="26"/>
                <w:rtl/>
              </w:rPr>
              <w:t xml:space="preserve">בצו בדבר </w:t>
            </w:r>
            <w:r w:rsidRPr="00C604B9">
              <w:rPr>
                <w:sz w:val="26"/>
                <w:rtl/>
              </w:rPr>
              <w:t>החמרת הטיפול בעבירות הסתה ותמיכה בארגון עוין ("חרבות ברזל") (הוראת שעה) (יהודה ושומרון) (מס' 2153), התשפ"ד-2023</w:t>
            </w:r>
            <w:r w:rsidRPr="00C604B9">
              <w:rPr>
                <w:rFonts w:hint="cs"/>
                <w:sz w:val="26"/>
                <w:rtl/>
              </w:rPr>
              <w:t>, בסעיף 2</w:t>
            </w:r>
            <w:r w:rsidR="009C2996" w:rsidRPr="00C604B9">
              <w:rPr>
                <w:rFonts w:hint="cs"/>
                <w:sz w:val="26"/>
                <w:rtl/>
              </w:rPr>
              <w:t xml:space="preserve"> במקום "</w:t>
            </w:r>
            <w:r w:rsidR="00864B22" w:rsidRPr="00C604B9">
              <w:rPr>
                <w:rFonts w:ascii="David" w:hAnsi="David" w:hint="cs"/>
                <w:sz w:val="26"/>
                <w:rtl/>
              </w:rPr>
              <w:t xml:space="preserve">ל' בכסלו </w:t>
            </w:r>
            <w:proofErr w:type="spellStart"/>
            <w:r w:rsidR="00864B22" w:rsidRPr="00C604B9">
              <w:rPr>
                <w:rFonts w:ascii="David" w:hAnsi="David" w:hint="cs"/>
                <w:sz w:val="26"/>
                <w:rtl/>
              </w:rPr>
              <w:t>התשפ"ה</w:t>
            </w:r>
            <w:proofErr w:type="spellEnd"/>
            <w:r w:rsidR="00864B22" w:rsidRPr="00C604B9">
              <w:rPr>
                <w:rFonts w:ascii="David" w:hAnsi="David" w:hint="cs"/>
                <w:sz w:val="26"/>
                <w:rtl/>
              </w:rPr>
              <w:t xml:space="preserve"> (31 בדצמבר</w:t>
            </w:r>
            <w:r w:rsidR="00864B22" w:rsidRPr="00C604B9">
              <w:rPr>
                <w:rFonts w:ascii="David" w:hAnsi="David"/>
                <w:sz w:val="26"/>
                <w:rtl/>
              </w:rPr>
              <w:t xml:space="preserve"> 2024</w:t>
            </w:r>
            <w:r w:rsidR="00864B22" w:rsidRPr="00C604B9">
              <w:rPr>
                <w:rFonts w:ascii="David" w:hAnsi="David" w:hint="cs"/>
                <w:sz w:val="26"/>
                <w:rtl/>
              </w:rPr>
              <w:t>)</w:t>
            </w:r>
            <w:r w:rsidR="009C2996" w:rsidRPr="00C604B9">
              <w:rPr>
                <w:rFonts w:hint="cs"/>
                <w:sz w:val="26"/>
                <w:rtl/>
              </w:rPr>
              <w:t>" יבוא</w:t>
            </w:r>
            <w:r w:rsidR="009C2996" w:rsidRPr="00C604B9">
              <w:rPr>
                <w:sz w:val="26"/>
                <w:rtl/>
              </w:rPr>
              <w:t xml:space="preserve"> </w:t>
            </w:r>
            <w:r w:rsidR="009C2996" w:rsidRPr="00C604B9">
              <w:rPr>
                <w:rFonts w:ascii="David" w:hAnsi="David" w:hint="cs"/>
                <w:sz w:val="26"/>
                <w:rtl/>
              </w:rPr>
              <w:t>"</w:t>
            </w:r>
            <w:r w:rsidR="00E11998">
              <w:rPr>
                <w:rFonts w:ascii="David" w:hAnsi="David" w:hint="cs"/>
                <w:sz w:val="26"/>
                <w:rtl/>
              </w:rPr>
              <w:t xml:space="preserve">י"א בטבת </w:t>
            </w:r>
            <w:proofErr w:type="spellStart"/>
            <w:r w:rsidR="00E11998">
              <w:rPr>
                <w:rFonts w:ascii="David" w:hAnsi="David" w:hint="cs"/>
                <w:sz w:val="26"/>
                <w:rtl/>
              </w:rPr>
              <w:t>התשפ"ו</w:t>
            </w:r>
            <w:proofErr w:type="spellEnd"/>
            <w:r w:rsidR="009C2996" w:rsidRPr="00C604B9">
              <w:rPr>
                <w:rFonts w:ascii="David" w:hAnsi="David" w:hint="cs"/>
                <w:sz w:val="26"/>
                <w:rtl/>
              </w:rPr>
              <w:t xml:space="preserve"> (</w:t>
            </w:r>
            <w:r w:rsidR="00E11998">
              <w:rPr>
                <w:rFonts w:ascii="David" w:hAnsi="David" w:hint="cs"/>
                <w:sz w:val="26"/>
                <w:rtl/>
              </w:rPr>
              <w:t>31 בדצמבר</w:t>
            </w:r>
            <w:r w:rsidR="009C2996" w:rsidRPr="00C604B9">
              <w:rPr>
                <w:rFonts w:ascii="David" w:hAnsi="David"/>
                <w:sz w:val="26"/>
                <w:rtl/>
              </w:rPr>
              <w:t xml:space="preserve"> 202</w:t>
            </w:r>
            <w:r w:rsidR="00864B22">
              <w:rPr>
                <w:rFonts w:ascii="David" w:hAnsi="David" w:hint="cs"/>
                <w:sz w:val="26"/>
                <w:rtl/>
              </w:rPr>
              <w:t>5</w:t>
            </w:r>
            <w:r w:rsidR="009C2996" w:rsidRPr="00C604B9">
              <w:rPr>
                <w:rFonts w:ascii="David" w:hAnsi="David" w:hint="cs"/>
                <w:sz w:val="26"/>
                <w:rtl/>
              </w:rPr>
              <w:t>)</w:t>
            </w:r>
            <w:r w:rsidR="009C2996" w:rsidRPr="00C604B9">
              <w:rPr>
                <w:rFonts w:hint="cs"/>
                <w:sz w:val="26"/>
                <w:rtl/>
              </w:rPr>
              <w:t>".</w:t>
            </w:r>
          </w:p>
        </w:tc>
      </w:tr>
      <w:tr w:rsidR="00471C80" w:rsidRPr="00C604B9" w14:paraId="37A9E6AF" w14:textId="77777777" w:rsidTr="009C2996">
        <w:trPr>
          <w:trHeight w:val="227"/>
        </w:trPr>
        <w:tc>
          <w:tcPr>
            <w:tcW w:w="1166" w:type="dxa"/>
            <w:vMerge/>
          </w:tcPr>
          <w:p w14:paraId="6F67D082" w14:textId="77777777" w:rsidR="00471C80" w:rsidRPr="00C604B9" w:rsidRDefault="00471C80" w:rsidP="008D0543">
            <w:pPr>
              <w:spacing w:line="276" w:lineRule="auto"/>
              <w:rPr>
                <w:b/>
                <w:bCs/>
                <w:sz w:val="26"/>
                <w:rtl/>
              </w:rPr>
            </w:pPr>
          </w:p>
        </w:tc>
        <w:tc>
          <w:tcPr>
            <w:tcW w:w="425" w:type="dxa"/>
            <w:vMerge/>
          </w:tcPr>
          <w:p w14:paraId="7CB7043B" w14:textId="77777777" w:rsidR="00471C80" w:rsidRPr="00C604B9" w:rsidRDefault="00471C80" w:rsidP="008D0543">
            <w:pPr>
              <w:numPr>
                <w:ilvl w:val="0"/>
                <w:numId w:val="1"/>
              </w:numPr>
              <w:spacing w:line="276" w:lineRule="auto"/>
              <w:rPr>
                <w:sz w:val="26"/>
                <w:rtl/>
              </w:rPr>
            </w:pPr>
          </w:p>
        </w:tc>
        <w:tc>
          <w:tcPr>
            <w:tcW w:w="6934" w:type="dxa"/>
          </w:tcPr>
          <w:p w14:paraId="142A5920" w14:textId="77777777" w:rsidR="00471C80" w:rsidRPr="00C604B9" w:rsidRDefault="00471C80" w:rsidP="008D0543">
            <w:pPr>
              <w:spacing w:line="276" w:lineRule="auto"/>
              <w:jc w:val="both"/>
              <w:rPr>
                <w:sz w:val="26"/>
                <w:rtl/>
              </w:rPr>
            </w:pPr>
          </w:p>
        </w:tc>
      </w:tr>
      <w:tr w:rsidR="00471C80" w:rsidRPr="00C604B9" w14:paraId="458843AD" w14:textId="77777777" w:rsidTr="009C2996">
        <w:trPr>
          <w:trHeight w:val="227"/>
        </w:trPr>
        <w:tc>
          <w:tcPr>
            <w:tcW w:w="1166" w:type="dxa"/>
          </w:tcPr>
          <w:p w14:paraId="09300251" w14:textId="77777777" w:rsidR="00471C80" w:rsidRPr="00C604B9" w:rsidRDefault="00471C80" w:rsidP="008D0543">
            <w:pPr>
              <w:spacing w:line="276" w:lineRule="auto"/>
              <w:rPr>
                <w:b/>
                <w:bCs/>
                <w:sz w:val="26"/>
                <w:rtl/>
              </w:rPr>
            </w:pPr>
            <w:r w:rsidRPr="00C604B9">
              <w:rPr>
                <w:rFonts w:hint="cs"/>
                <w:b/>
                <w:bCs/>
                <w:sz w:val="26"/>
                <w:rtl/>
              </w:rPr>
              <w:t>תחילה</w:t>
            </w:r>
          </w:p>
        </w:tc>
        <w:tc>
          <w:tcPr>
            <w:tcW w:w="425" w:type="dxa"/>
          </w:tcPr>
          <w:p w14:paraId="11D58704" w14:textId="2EFAD25A" w:rsidR="00471C80" w:rsidRPr="00C604B9" w:rsidRDefault="009C2996" w:rsidP="008D0543">
            <w:pPr>
              <w:spacing w:line="276" w:lineRule="auto"/>
              <w:rPr>
                <w:sz w:val="26"/>
                <w:rtl/>
              </w:rPr>
            </w:pPr>
            <w:r w:rsidRPr="00C604B9">
              <w:rPr>
                <w:rFonts w:hint="cs"/>
                <w:sz w:val="26"/>
                <w:rtl/>
              </w:rPr>
              <w:t>2</w:t>
            </w:r>
            <w:r w:rsidR="00471C80" w:rsidRPr="00C604B9">
              <w:rPr>
                <w:rFonts w:hint="cs"/>
                <w:sz w:val="26"/>
                <w:rtl/>
              </w:rPr>
              <w:t>.</w:t>
            </w:r>
          </w:p>
        </w:tc>
        <w:tc>
          <w:tcPr>
            <w:tcW w:w="6934" w:type="dxa"/>
          </w:tcPr>
          <w:p w14:paraId="47A950A9" w14:textId="77777777" w:rsidR="00471C80" w:rsidRPr="00C604B9" w:rsidRDefault="00471C80" w:rsidP="008D0543">
            <w:pPr>
              <w:spacing w:line="276" w:lineRule="auto"/>
              <w:jc w:val="both"/>
              <w:rPr>
                <w:sz w:val="26"/>
                <w:rtl/>
              </w:rPr>
            </w:pPr>
            <w:r w:rsidRPr="00C604B9">
              <w:rPr>
                <w:rFonts w:hint="cs"/>
                <w:sz w:val="26"/>
                <w:rtl/>
              </w:rPr>
              <w:t>תחילתו של צו זה ביום חתימתו.</w:t>
            </w:r>
          </w:p>
        </w:tc>
      </w:tr>
      <w:tr w:rsidR="00471C80" w:rsidRPr="00C604B9" w14:paraId="54B9CA6A" w14:textId="77777777" w:rsidTr="009C2996">
        <w:trPr>
          <w:trHeight w:val="227"/>
        </w:trPr>
        <w:tc>
          <w:tcPr>
            <w:tcW w:w="1166" w:type="dxa"/>
          </w:tcPr>
          <w:p w14:paraId="17992D59" w14:textId="77777777" w:rsidR="00471C80" w:rsidRPr="00C604B9" w:rsidRDefault="00471C80" w:rsidP="008D0543">
            <w:pPr>
              <w:spacing w:line="276" w:lineRule="auto"/>
              <w:rPr>
                <w:b/>
                <w:bCs/>
                <w:sz w:val="26"/>
                <w:rtl/>
              </w:rPr>
            </w:pPr>
          </w:p>
        </w:tc>
        <w:tc>
          <w:tcPr>
            <w:tcW w:w="425" w:type="dxa"/>
          </w:tcPr>
          <w:p w14:paraId="6A6D7F94" w14:textId="77777777" w:rsidR="00471C80" w:rsidRPr="00C604B9" w:rsidRDefault="00471C80" w:rsidP="008D0543">
            <w:pPr>
              <w:spacing w:line="276" w:lineRule="auto"/>
              <w:rPr>
                <w:sz w:val="26"/>
                <w:rtl/>
              </w:rPr>
            </w:pPr>
          </w:p>
        </w:tc>
        <w:tc>
          <w:tcPr>
            <w:tcW w:w="6934" w:type="dxa"/>
          </w:tcPr>
          <w:p w14:paraId="05C43F37" w14:textId="77777777" w:rsidR="00471C80" w:rsidRPr="00C604B9" w:rsidRDefault="00471C80" w:rsidP="008D0543">
            <w:pPr>
              <w:spacing w:line="276" w:lineRule="auto"/>
              <w:jc w:val="both"/>
              <w:rPr>
                <w:sz w:val="26"/>
                <w:rtl/>
              </w:rPr>
            </w:pPr>
          </w:p>
        </w:tc>
      </w:tr>
      <w:tr w:rsidR="00471C80" w:rsidRPr="00C604B9" w14:paraId="5977F9A4" w14:textId="77777777" w:rsidTr="009C2996">
        <w:trPr>
          <w:trHeight w:val="227"/>
        </w:trPr>
        <w:tc>
          <w:tcPr>
            <w:tcW w:w="1166" w:type="dxa"/>
          </w:tcPr>
          <w:p w14:paraId="76972F81" w14:textId="77777777" w:rsidR="00471C80" w:rsidRPr="00C604B9" w:rsidRDefault="00471C80" w:rsidP="008D0543">
            <w:pPr>
              <w:spacing w:line="276" w:lineRule="auto"/>
              <w:rPr>
                <w:b/>
                <w:bCs/>
                <w:sz w:val="26"/>
                <w:rtl/>
              </w:rPr>
            </w:pPr>
            <w:r w:rsidRPr="00C604B9">
              <w:rPr>
                <w:rFonts w:hint="cs"/>
                <w:b/>
                <w:bCs/>
                <w:sz w:val="26"/>
                <w:rtl/>
              </w:rPr>
              <w:t>השם</w:t>
            </w:r>
          </w:p>
        </w:tc>
        <w:tc>
          <w:tcPr>
            <w:tcW w:w="425" w:type="dxa"/>
          </w:tcPr>
          <w:p w14:paraId="21065064" w14:textId="1B04F2B8" w:rsidR="00471C80" w:rsidRPr="00C604B9" w:rsidRDefault="009C2996" w:rsidP="008D0543">
            <w:pPr>
              <w:spacing w:line="276" w:lineRule="auto"/>
              <w:rPr>
                <w:sz w:val="26"/>
                <w:rtl/>
              </w:rPr>
            </w:pPr>
            <w:r w:rsidRPr="00C604B9">
              <w:rPr>
                <w:rFonts w:hint="cs"/>
                <w:sz w:val="26"/>
                <w:rtl/>
              </w:rPr>
              <w:t>3</w:t>
            </w:r>
            <w:r w:rsidR="00471C80" w:rsidRPr="00C604B9">
              <w:rPr>
                <w:rFonts w:hint="cs"/>
                <w:sz w:val="26"/>
                <w:rtl/>
              </w:rPr>
              <w:t>.</w:t>
            </w:r>
          </w:p>
        </w:tc>
        <w:tc>
          <w:tcPr>
            <w:tcW w:w="6934" w:type="dxa"/>
          </w:tcPr>
          <w:p w14:paraId="0A46CECB" w14:textId="1FA92F73" w:rsidR="00471C80" w:rsidRPr="00C604B9" w:rsidRDefault="00471C80" w:rsidP="008D0543">
            <w:pPr>
              <w:spacing w:line="276" w:lineRule="auto"/>
              <w:jc w:val="both"/>
              <w:rPr>
                <w:sz w:val="26"/>
                <w:rtl/>
              </w:rPr>
            </w:pPr>
            <w:r w:rsidRPr="00C604B9">
              <w:rPr>
                <w:rFonts w:hint="cs"/>
                <w:sz w:val="26"/>
                <w:rtl/>
              </w:rPr>
              <w:t>צו זה ייקרא: "</w:t>
            </w:r>
            <w:r w:rsidR="00FB7777" w:rsidRPr="00C604B9">
              <w:rPr>
                <w:sz w:val="26"/>
                <w:rtl/>
              </w:rPr>
              <w:t>צו בדבר החמרת הטיפול בעבירות הסתה ותמיכה בארגון עוין ("חרבות ברזל") (הוראת שעה)</w:t>
            </w:r>
            <w:r w:rsidR="00FB7777" w:rsidRPr="00C604B9">
              <w:rPr>
                <w:rFonts w:hint="cs"/>
                <w:sz w:val="26"/>
                <w:rtl/>
              </w:rPr>
              <w:t xml:space="preserve"> (תיקון</w:t>
            </w:r>
            <w:r w:rsidR="009C2996" w:rsidRPr="00C604B9">
              <w:rPr>
                <w:rFonts w:hint="cs"/>
                <w:sz w:val="26"/>
                <w:rtl/>
              </w:rPr>
              <w:t xml:space="preserve"> מס' </w:t>
            </w:r>
            <w:r w:rsidR="00864B22">
              <w:rPr>
                <w:rFonts w:hint="cs"/>
                <w:sz w:val="26"/>
                <w:rtl/>
              </w:rPr>
              <w:t>3</w:t>
            </w:r>
            <w:r w:rsidR="00FB7777" w:rsidRPr="00C604B9">
              <w:rPr>
                <w:rFonts w:hint="cs"/>
                <w:sz w:val="26"/>
                <w:rtl/>
              </w:rPr>
              <w:t>)</w:t>
            </w:r>
            <w:r w:rsidR="00FB7777" w:rsidRPr="00C604B9">
              <w:rPr>
                <w:sz w:val="26"/>
                <w:rtl/>
              </w:rPr>
              <w:t xml:space="preserve"> (יהודה ושומרון) (מס'</w:t>
            </w:r>
            <w:r w:rsidR="00323FD3">
              <w:rPr>
                <w:rFonts w:hint="cs"/>
                <w:sz w:val="26"/>
                <w:rtl/>
              </w:rPr>
              <w:t xml:space="preserve"> </w:t>
            </w:r>
            <w:r w:rsidR="004F7B4C">
              <w:rPr>
                <w:rFonts w:hint="cs"/>
                <w:sz w:val="26"/>
                <w:rtl/>
              </w:rPr>
              <w:t>2216</w:t>
            </w:r>
            <w:r w:rsidR="00FB7777" w:rsidRPr="00C604B9">
              <w:rPr>
                <w:sz w:val="26"/>
                <w:rtl/>
              </w:rPr>
              <w:t>), התשפ"</w:t>
            </w:r>
            <w:r w:rsidR="00864B22">
              <w:rPr>
                <w:rFonts w:hint="cs"/>
                <w:sz w:val="26"/>
                <w:rtl/>
              </w:rPr>
              <w:t>ה</w:t>
            </w:r>
            <w:r w:rsidR="00FB7777" w:rsidRPr="00C604B9">
              <w:rPr>
                <w:sz w:val="26"/>
                <w:rtl/>
              </w:rPr>
              <w:t>-</w:t>
            </w:r>
            <w:r w:rsidRPr="00C604B9">
              <w:rPr>
                <w:rFonts w:hint="cs"/>
                <w:sz w:val="26"/>
                <w:rtl/>
              </w:rPr>
              <w:t>202</w:t>
            </w:r>
            <w:r w:rsidR="009C2996" w:rsidRPr="00C604B9">
              <w:rPr>
                <w:rFonts w:hint="cs"/>
                <w:sz w:val="26"/>
                <w:rtl/>
              </w:rPr>
              <w:t>4</w:t>
            </w:r>
            <w:r w:rsidRPr="00C604B9">
              <w:rPr>
                <w:rFonts w:hint="cs"/>
                <w:sz w:val="26"/>
                <w:rtl/>
              </w:rPr>
              <w:t>".</w:t>
            </w:r>
          </w:p>
        </w:tc>
      </w:tr>
    </w:tbl>
    <w:p w14:paraId="6AB0F5BF" w14:textId="77777777" w:rsidR="00471C80" w:rsidRDefault="00471C80" w:rsidP="00471C80">
      <w:pPr>
        <w:rPr>
          <w:rtl/>
        </w:rPr>
      </w:pPr>
    </w:p>
    <w:p w14:paraId="0739DB76" w14:textId="77777777" w:rsidR="009C2996" w:rsidRDefault="009C2996" w:rsidP="00471C80">
      <w:pPr>
        <w:rPr>
          <w:rtl/>
        </w:rPr>
      </w:pPr>
    </w:p>
    <w:p w14:paraId="07B6D5F5" w14:textId="77777777" w:rsidR="00496973" w:rsidRDefault="00496973" w:rsidP="00496973">
      <w:pPr>
        <w:tabs>
          <w:tab w:val="left" w:pos="6026"/>
        </w:tabs>
        <w:rPr>
          <w:sz w:val="24"/>
          <w:lang w:eastAsia="en-US"/>
        </w:rPr>
      </w:pPr>
    </w:p>
    <w:p w14:paraId="0C3AD633" w14:textId="77777777" w:rsidR="00496973" w:rsidRDefault="00496973" w:rsidP="00496973">
      <w:pPr>
        <w:tabs>
          <w:tab w:val="left" w:pos="6026"/>
        </w:tabs>
        <w:rPr>
          <w:rtl/>
        </w:rPr>
      </w:pPr>
    </w:p>
    <w:tbl>
      <w:tblPr>
        <w:bidiVisual/>
        <w:tblW w:w="8910" w:type="dxa"/>
        <w:tblInd w:w="-256" w:type="dxa"/>
        <w:tblLayout w:type="fixed"/>
        <w:tblLook w:val="01E0" w:firstRow="1" w:lastRow="1" w:firstColumn="1" w:lastColumn="1" w:noHBand="0" w:noVBand="0"/>
      </w:tblPr>
      <w:tblGrid>
        <w:gridCol w:w="2973"/>
        <w:gridCol w:w="2391"/>
        <w:gridCol w:w="3546"/>
      </w:tblGrid>
      <w:tr w:rsidR="00496973" w14:paraId="56F2097F" w14:textId="77777777" w:rsidTr="004F7B4C">
        <w:trPr>
          <w:trHeight w:val="362"/>
        </w:trPr>
        <w:tc>
          <w:tcPr>
            <w:tcW w:w="2973" w:type="dxa"/>
            <w:hideMark/>
          </w:tcPr>
          <w:p w14:paraId="295245D1" w14:textId="76308BFA" w:rsidR="00496973" w:rsidRDefault="004F7B4C" w:rsidP="004F7B4C">
            <w:pPr>
              <w:spacing w:line="480" w:lineRule="auto"/>
              <w:jc w:val="both"/>
              <w:rPr>
                <w:b/>
                <w:bCs/>
                <w:rtl/>
              </w:rPr>
            </w:pPr>
            <w:r>
              <w:rPr>
                <w:rFonts w:hint="cs"/>
                <w:b/>
                <w:bCs/>
                <w:rtl/>
              </w:rPr>
              <w:t xml:space="preserve">כ"ג בכסלו </w:t>
            </w:r>
            <w:proofErr w:type="spellStart"/>
            <w:r w:rsidR="00496973">
              <w:rPr>
                <w:b/>
                <w:bCs/>
                <w:rtl/>
              </w:rPr>
              <w:t>התשפ"</w:t>
            </w:r>
            <w:r w:rsidR="00864B22">
              <w:rPr>
                <w:rFonts w:hint="cs"/>
                <w:b/>
                <w:bCs/>
                <w:rtl/>
              </w:rPr>
              <w:t>ה</w:t>
            </w:r>
            <w:proofErr w:type="spellEnd"/>
            <w:r>
              <w:rPr>
                <w:b/>
                <w:bCs/>
                <w:rtl/>
              </w:rPr>
              <w:br/>
            </w:r>
            <w:r>
              <w:rPr>
                <w:rFonts w:hint="cs"/>
                <w:b/>
                <w:bCs/>
                <w:rtl/>
              </w:rPr>
              <w:t xml:space="preserve">24 בדצמבר </w:t>
            </w:r>
            <w:r w:rsidR="00496973">
              <w:rPr>
                <w:b/>
                <w:bCs/>
                <w:rtl/>
              </w:rPr>
              <w:t xml:space="preserve">2024    </w:t>
            </w:r>
            <w:r w:rsidR="00496973">
              <w:rPr>
                <w:b/>
                <w:bCs/>
                <w:rtl/>
              </w:rPr>
              <w:br/>
            </w:r>
          </w:p>
        </w:tc>
        <w:tc>
          <w:tcPr>
            <w:tcW w:w="2391" w:type="dxa"/>
          </w:tcPr>
          <w:p w14:paraId="544D19FF" w14:textId="77777777" w:rsidR="00496973" w:rsidRDefault="00496973">
            <w:pPr>
              <w:spacing w:line="720" w:lineRule="auto"/>
              <w:rPr>
                <w:rtl/>
              </w:rPr>
            </w:pPr>
          </w:p>
        </w:tc>
        <w:tc>
          <w:tcPr>
            <w:tcW w:w="3546" w:type="dxa"/>
            <w:hideMark/>
          </w:tcPr>
          <w:p w14:paraId="2CEB38E2" w14:textId="73423FF1" w:rsidR="00496973" w:rsidRDefault="00496973">
            <w:pPr>
              <w:spacing w:line="360" w:lineRule="auto"/>
              <w:ind w:left="29"/>
              <w:jc w:val="both"/>
              <w:rPr>
                <w:b/>
                <w:bCs/>
                <w:rtl/>
              </w:rPr>
            </w:pPr>
            <w:r>
              <w:rPr>
                <w:rFonts w:ascii="David" w:hAnsi="David"/>
                <w:b/>
                <w:bCs/>
                <w:sz w:val="26"/>
                <w:rtl/>
              </w:rPr>
              <w:t xml:space="preserve">אלוף </w:t>
            </w:r>
            <w:r w:rsidR="00864B22">
              <w:rPr>
                <w:rFonts w:ascii="David" w:hAnsi="David" w:hint="cs"/>
                <w:b/>
                <w:bCs/>
                <w:sz w:val="26"/>
                <w:rtl/>
              </w:rPr>
              <w:t>אבי בלוט</w:t>
            </w:r>
            <w:r>
              <w:rPr>
                <w:rFonts w:ascii="David" w:hAnsi="David"/>
                <w:b/>
                <w:bCs/>
                <w:sz w:val="26"/>
                <w:rtl/>
              </w:rPr>
              <w:t xml:space="preserve"> </w:t>
            </w:r>
            <w:r>
              <w:rPr>
                <w:rFonts w:ascii="David" w:hAnsi="David"/>
                <w:b/>
                <w:bCs/>
                <w:sz w:val="26"/>
                <w:rtl/>
              </w:rPr>
              <w:br/>
              <w:t xml:space="preserve">מפקד כוחות צה"ל </w:t>
            </w:r>
            <w:r>
              <w:rPr>
                <w:rFonts w:ascii="David" w:hAnsi="David"/>
                <w:b/>
                <w:bCs/>
                <w:sz w:val="26"/>
                <w:rtl/>
              </w:rPr>
              <w:br/>
              <w:t>באזור               יהודה                ושומרון</w:t>
            </w:r>
          </w:p>
        </w:tc>
      </w:tr>
    </w:tbl>
    <w:p w14:paraId="41D3D73C" w14:textId="41CAA8D6" w:rsidR="009C2996" w:rsidRPr="009C2996" w:rsidRDefault="009C2996" w:rsidP="009C2996">
      <w:pPr>
        <w:rPr>
          <w:rtl/>
        </w:rPr>
      </w:pPr>
    </w:p>
    <w:p w14:paraId="3ABD19B4" w14:textId="77777777" w:rsidR="00471C80" w:rsidRPr="00C02F4A" w:rsidRDefault="00471C80" w:rsidP="00471C80"/>
    <w:p w14:paraId="12BE5B84" w14:textId="77777777" w:rsidR="00D45A62" w:rsidRDefault="00D45A62"/>
    <w:sectPr w:rsidR="00D45A62" w:rsidSect="002B7878">
      <w:headerReference w:type="even" r:id="rId11"/>
      <w:headerReference w:type="default" r:id="rId12"/>
      <w:headerReference w:type="first" r:id="rId13"/>
      <w:footerReference w:type="first" r:id="rId14"/>
      <w:endnotePr>
        <w:numFmt w:val="lowerLetter"/>
      </w:endnotePr>
      <w:pgSz w:w="11909" w:h="16834" w:code="9"/>
      <w:pgMar w:top="1440" w:right="1649" w:bottom="1440" w:left="162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F53BE" w14:textId="77777777" w:rsidR="00FE5257" w:rsidRDefault="00FE5257" w:rsidP="00FB7777">
      <w:r>
        <w:separator/>
      </w:r>
    </w:p>
  </w:endnote>
  <w:endnote w:type="continuationSeparator" w:id="0">
    <w:p w14:paraId="2E63CE07" w14:textId="77777777" w:rsidR="00FE5257" w:rsidRDefault="00FE5257" w:rsidP="00FB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2710" w14:textId="77777777" w:rsidR="005602C7" w:rsidRDefault="005602C7">
    <w:pPr>
      <w:jc w:val="center"/>
      <w:rPr>
        <w:u w:val="single"/>
        <w:rtl/>
      </w:rPr>
    </w:pPr>
  </w:p>
  <w:p w14:paraId="71C156CB" w14:textId="77777777" w:rsidR="005602C7" w:rsidRDefault="005602C7">
    <w:pPr>
      <w:rPr>
        <w:rtl/>
      </w:rPr>
    </w:pPr>
  </w:p>
  <w:p w14:paraId="212B9C9D" w14:textId="77777777" w:rsidR="005602C7" w:rsidRDefault="005602C7">
    <w:pP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8BA14" w14:textId="77777777" w:rsidR="00FE5257" w:rsidRDefault="00FE5257" w:rsidP="00FB7777">
      <w:r>
        <w:separator/>
      </w:r>
    </w:p>
  </w:footnote>
  <w:footnote w:type="continuationSeparator" w:id="0">
    <w:p w14:paraId="76F435B2" w14:textId="77777777" w:rsidR="00FE5257" w:rsidRDefault="00FE5257" w:rsidP="00FB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FE875" w14:textId="5BEB75B5" w:rsidR="005602C7" w:rsidRDefault="00FB7777">
    <w:pPr>
      <w:framePr w:wrap="around" w:vAnchor="text" w:hAnchor="margin" w:xAlign="center" w:y="1"/>
      <w:rPr>
        <w:rtl/>
      </w:rPr>
    </w:pPr>
    <w:r>
      <w:rPr>
        <w:noProof/>
        <w:rtl/>
        <w:lang w:val="he-IL"/>
        <w14:ligatures w14:val="standardContextual"/>
      </w:rPr>
      <mc:AlternateContent>
        <mc:Choice Requires="wps">
          <w:drawing>
            <wp:anchor distT="0" distB="0" distL="0" distR="0" simplePos="0" relativeHeight="251659264" behindDoc="0" locked="0" layoutInCell="1" allowOverlap="1" wp14:anchorId="730F920B" wp14:editId="37BF93E7">
              <wp:simplePos x="635" y="635"/>
              <wp:positionH relativeFrom="page">
                <wp:align>center</wp:align>
              </wp:positionH>
              <wp:positionV relativeFrom="page">
                <wp:align>top</wp:align>
              </wp:positionV>
              <wp:extent cx="443865" cy="443865"/>
              <wp:effectExtent l="0" t="0" r="6985" b="16510"/>
              <wp:wrapNone/>
              <wp:docPr id="1388774582"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DA4FE7" w14:textId="3238492E" w:rsidR="00FB7777" w:rsidRPr="00FB7777" w:rsidRDefault="00FB7777" w:rsidP="00FB7777">
                          <w:pPr>
                            <w:rPr>
                              <w:rFonts w:ascii="Calibri" w:eastAsia="Calibri" w:hAnsi="Calibri" w:cs="Calibri"/>
                              <w:noProof/>
                              <w:color w:val="000000"/>
                              <w:sz w:val="20"/>
                              <w:szCs w:val="20"/>
                            </w:rPr>
                          </w:pPr>
                          <w:r w:rsidRPr="00FB7777">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730F920B"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9N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8moP&#10;7SvpeBULUUhYSeVKjpN5j4Nk6R1ItVqlJNKPE7ixWycjdOQpkvjSvwrvRqaRVvQIk4xE8Y7wITf+&#10;GdzqgER72kbkdCBypJq0l/Y5vpMo7l/vKev8mpc/AQ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GBuf00GAgAAFQQAAA4AAAAAAAAA&#10;AAAAAAAALgIAAGRycy9lMm9Eb2MueG1sUEsBAi0AFAAGAAgAAAAhANQeDUfYAAAAAwEAAA8AAAAA&#10;AAAAAAAAAAAAYAQAAGRycy9kb3ducmV2LnhtbFBLBQYAAAAABAAEAPMAAABlBQAAAAA=&#10;" filled="f" stroked="f">
              <v:textbox style="mso-fit-shape-to-text:t" inset="0,15pt,0,0">
                <w:txbxContent>
                  <w:p w14:paraId="60DA4FE7" w14:textId="3238492E" w:rsidR="00FB7777" w:rsidRPr="00FB7777" w:rsidRDefault="00FB7777" w:rsidP="00FB7777">
                    <w:pPr>
                      <w:rPr>
                        <w:rFonts w:ascii="Calibri" w:eastAsia="Calibri" w:hAnsi="Calibri" w:cs="Calibri"/>
                        <w:noProof/>
                        <w:color w:val="000000"/>
                        <w:sz w:val="20"/>
                        <w:szCs w:val="20"/>
                      </w:rPr>
                    </w:pPr>
                    <w:r w:rsidRPr="00FB7777">
                      <w:rPr>
                        <w:rFonts w:ascii="Calibri" w:eastAsia="Calibri" w:hAnsi="Calibri" w:cs="Calibri"/>
                        <w:noProof/>
                        <w:color w:val="000000"/>
                        <w:sz w:val="20"/>
                        <w:szCs w:val="20"/>
                        <w:rtl/>
                      </w:rPr>
                      <w:t>- בלמ"ס -</w:t>
                    </w:r>
                  </w:p>
                </w:txbxContent>
              </v:textbox>
              <w10:wrap anchorx="page" anchory="page"/>
            </v:shape>
          </w:pict>
        </mc:Fallback>
      </mc:AlternateContent>
    </w:r>
    <w:r>
      <w:rPr>
        <w:rtl/>
      </w:rPr>
      <w:fldChar w:fldCharType="begin"/>
    </w:r>
    <w:r>
      <w:instrText xml:space="preserve">PAGE  </w:instrText>
    </w:r>
    <w:r>
      <w:rPr>
        <w:rtl/>
      </w:rPr>
      <w:fldChar w:fldCharType="end"/>
    </w:r>
  </w:p>
  <w:p w14:paraId="42D590B8" w14:textId="77777777" w:rsidR="005602C7" w:rsidRDefault="005602C7">
    <w:pP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0CD5D" w14:textId="3E125855" w:rsidR="005602C7" w:rsidRPr="00F64D89" w:rsidRDefault="005602C7" w:rsidP="009C2996">
    <w:pPr>
      <w:rPr>
        <w:sz w:val="26"/>
        <w:rtl/>
      </w:rPr>
    </w:pPr>
  </w:p>
  <w:p w14:paraId="300329F9" w14:textId="77777777" w:rsidR="005602C7" w:rsidRPr="00F64D89" w:rsidRDefault="005602C7">
    <w:pPr>
      <w:widowControl w:val="0"/>
      <w:tabs>
        <w:tab w:val="center" w:pos="5048"/>
      </w:tabs>
      <w:ind w:left="5047" w:firstLine="1"/>
      <w:rPr>
        <w:sz w:val="26"/>
        <w:rtl/>
      </w:rPr>
    </w:pPr>
    <w:bookmarkStart w:id="2" w:name="HSECRET"/>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E679" w14:textId="53DC5121" w:rsidR="005602C7" w:rsidRDefault="00FB7777">
    <w:pPr>
      <w:rPr>
        <w:rtl/>
      </w:rPr>
    </w:pPr>
    <w:r>
      <w:rPr>
        <w:noProof/>
        <w:rtl/>
        <w:lang w:val="he-IL"/>
        <w14:ligatures w14:val="standardContextual"/>
      </w:rPr>
      <mc:AlternateContent>
        <mc:Choice Requires="wps">
          <w:drawing>
            <wp:anchor distT="0" distB="0" distL="0" distR="0" simplePos="0" relativeHeight="251658240" behindDoc="0" locked="0" layoutInCell="1" allowOverlap="1" wp14:anchorId="46213FDF" wp14:editId="4E1904D3">
              <wp:simplePos x="635" y="635"/>
              <wp:positionH relativeFrom="page">
                <wp:align>center</wp:align>
              </wp:positionH>
              <wp:positionV relativeFrom="page">
                <wp:align>top</wp:align>
              </wp:positionV>
              <wp:extent cx="443865" cy="443865"/>
              <wp:effectExtent l="0" t="0" r="6985" b="16510"/>
              <wp:wrapNone/>
              <wp:docPr id="90706437"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A6ACE" w14:textId="12E0149D" w:rsidR="00FB7777" w:rsidRPr="00FB7777" w:rsidRDefault="00FB7777" w:rsidP="00FB7777">
                          <w:pPr>
                            <w:rPr>
                              <w:rFonts w:ascii="Calibri" w:eastAsia="Calibri" w:hAnsi="Calibri" w:cs="Calibri"/>
                              <w:noProof/>
                              <w:color w:val="000000"/>
                              <w:sz w:val="20"/>
                              <w:szCs w:val="20"/>
                            </w:rPr>
                          </w:pPr>
                          <w:r w:rsidRPr="00FB7777">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46213FDF"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th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Xu2hfSE5r2IhCgkrqVzJcTLvcFAuPQepVquURDJyAjd262SEjnRFLp/7F+HdSDjSph5gUpMo3vE+&#10;5MY/g1sdkNhPS4nUDkSOjJME01rH5xI1/vaess6PevkL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GU5rYQgCAAAcBAAADgAAAAAA&#10;AAAAAAAAAAAuAgAAZHJzL2Uyb0RvYy54bWxQSwECLQAUAAYACAAAACEA1B4NR9gAAAADAQAADwAA&#10;AAAAAAAAAAAAAABiBAAAZHJzL2Rvd25yZXYueG1sUEsFBgAAAAAEAAQA8wAAAGcFAAAAAA==&#10;" filled="f" stroked="f">
              <v:textbox style="mso-fit-shape-to-text:t" inset="0,15pt,0,0">
                <w:txbxContent>
                  <w:p w14:paraId="25FA6ACE" w14:textId="12E0149D" w:rsidR="00FB7777" w:rsidRPr="00FB7777" w:rsidRDefault="00FB7777" w:rsidP="00FB7777">
                    <w:pPr>
                      <w:rPr>
                        <w:rFonts w:ascii="Calibri" w:eastAsia="Calibri" w:hAnsi="Calibri" w:cs="Calibri"/>
                        <w:noProof/>
                        <w:color w:val="000000"/>
                        <w:sz w:val="20"/>
                        <w:szCs w:val="20"/>
                      </w:rPr>
                    </w:pPr>
                    <w:r w:rsidRPr="00FB7777">
                      <w:rPr>
                        <w:rFonts w:ascii="Calibri" w:eastAsia="Calibri" w:hAnsi="Calibri" w:cs="Calibri"/>
                        <w:noProof/>
                        <w:color w:val="000000"/>
                        <w:sz w:val="20"/>
                        <w:szCs w:val="20"/>
                        <w:rtl/>
                      </w:rPr>
                      <w:t>- בלמ"ס -</w:t>
                    </w:r>
                  </w:p>
                </w:txbxContent>
              </v:textbox>
              <w10:wrap anchorx="page" anchory="page"/>
            </v:shape>
          </w:pict>
        </mc:Fallback>
      </mc:AlternateContent>
    </w:r>
  </w:p>
  <w:p w14:paraId="7F177603" w14:textId="77777777" w:rsidR="005602C7" w:rsidRDefault="005602C7">
    <w:pPr>
      <w:jc w:val="center"/>
      <w:rPr>
        <w:u w:val="single"/>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14414"/>
    <w:multiLevelType w:val="hybridMultilevel"/>
    <w:tmpl w:val="C742D2B6"/>
    <w:lvl w:ilvl="0" w:tplc="0409000F">
      <w:start w:val="1"/>
      <w:numFmt w:val="decimal"/>
      <w:lvlText w:val="%1."/>
      <w:lvlJc w:val="left"/>
      <w:pPr>
        <w:tabs>
          <w:tab w:val="num" w:pos="360"/>
        </w:tabs>
        <w:ind w:left="360" w:hanging="360"/>
      </w:pPr>
    </w:lvl>
    <w:lvl w:ilvl="1" w:tplc="269452B2">
      <w:start w:val="1"/>
      <w:numFmt w:val="hebrew1"/>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D1FA3"/>
    <w:multiLevelType w:val="hybridMultilevel"/>
    <w:tmpl w:val="9E7C968A"/>
    <w:lvl w:ilvl="0" w:tplc="D5C6A67C">
      <w:start w:val="1"/>
      <w:numFmt w:val="decimal"/>
      <w:lvlText w:val="(%1)"/>
      <w:lvlJc w:val="left"/>
      <w:pPr>
        <w:ind w:left="360" w:hanging="360"/>
      </w:pPr>
      <w:rPr>
        <w:rFonts w:ascii="David" w:eastAsia="Times New Roman" w:hAnsi="David" w:cs="David"/>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9366635">
    <w:abstractNumId w:val="0"/>
  </w:num>
  <w:num w:numId="2" w16cid:durableId="62851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80"/>
    <w:rsid w:val="000150FF"/>
    <w:rsid w:val="00062AD2"/>
    <w:rsid w:val="000F1B05"/>
    <w:rsid w:val="00112EDE"/>
    <w:rsid w:val="00114B97"/>
    <w:rsid w:val="00154A21"/>
    <w:rsid w:val="00215766"/>
    <w:rsid w:val="002679F4"/>
    <w:rsid w:val="002868C8"/>
    <w:rsid w:val="0032288C"/>
    <w:rsid w:val="00323FD3"/>
    <w:rsid w:val="00395888"/>
    <w:rsid w:val="004123ED"/>
    <w:rsid w:val="004252BD"/>
    <w:rsid w:val="00455583"/>
    <w:rsid w:val="00471C80"/>
    <w:rsid w:val="00496973"/>
    <w:rsid w:val="004E2888"/>
    <w:rsid w:val="004F7B4C"/>
    <w:rsid w:val="005602C7"/>
    <w:rsid w:val="005A513B"/>
    <w:rsid w:val="00604C64"/>
    <w:rsid w:val="00662810"/>
    <w:rsid w:val="006B129D"/>
    <w:rsid w:val="006B6313"/>
    <w:rsid w:val="00864B22"/>
    <w:rsid w:val="008C43DB"/>
    <w:rsid w:val="008D0543"/>
    <w:rsid w:val="008F6737"/>
    <w:rsid w:val="009014E4"/>
    <w:rsid w:val="0091316F"/>
    <w:rsid w:val="009C2996"/>
    <w:rsid w:val="00A31D55"/>
    <w:rsid w:val="00A6215E"/>
    <w:rsid w:val="00AA7920"/>
    <w:rsid w:val="00AC7AB2"/>
    <w:rsid w:val="00AD7F38"/>
    <w:rsid w:val="00C15304"/>
    <w:rsid w:val="00C41B5F"/>
    <w:rsid w:val="00C544F9"/>
    <w:rsid w:val="00C604B9"/>
    <w:rsid w:val="00C8236F"/>
    <w:rsid w:val="00CE1032"/>
    <w:rsid w:val="00D17E79"/>
    <w:rsid w:val="00D313F0"/>
    <w:rsid w:val="00D41039"/>
    <w:rsid w:val="00D45A62"/>
    <w:rsid w:val="00D54946"/>
    <w:rsid w:val="00DA3561"/>
    <w:rsid w:val="00E11998"/>
    <w:rsid w:val="00E675A5"/>
    <w:rsid w:val="00E728E7"/>
    <w:rsid w:val="00E877E2"/>
    <w:rsid w:val="00F0268F"/>
    <w:rsid w:val="00F5769D"/>
    <w:rsid w:val="00F873A0"/>
    <w:rsid w:val="00FB7777"/>
    <w:rsid w:val="00FE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91F7D"/>
  <w15:chartTrackingRefBased/>
  <w15:docId w15:val="{94F3154D-FF12-4D2F-A563-0D6B3871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77"/>
    <w:pPr>
      <w:bidi/>
      <w:spacing w:after="0" w:line="240" w:lineRule="auto"/>
    </w:pPr>
    <w:rPr>
      <w:rFonts w:ascii="Times New Roman" w:eastAsia="Times New Roman" w:hAnsi="Times New Roman" w:cs="David"/>
      <w:kern w:val="0"/>
      <w:sz w:val="18"/>
      <w:szCs w:val="26"/>
      <w:lang w:eastAsia="he-I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471C80"/>
    <w:pPr>
      <w:ind w:left="5615"/>
      <w:jc w:val="both"/>
    </w:pPr>
    <w:rPr>
      <w:b/>
      <w:bCs/>
      <w:sz w:val="22"/>
      <w:szCs w:val="28"/>
      <w:lang w:eastAsia="en-US"/>
    </w:rPr>
  </w:style>
  <w:style w:type="paragraph" w:styleId="a4">
    <w:name w:val="List Paragraph"/>
    <w:basedOn w:val="a"/>
    <w:uiPriority w:val="34"/>
    <w:qFormat/>
    <w:rsid w:val="00FB7777"/>
    <w:pPr>
      <w:ind w:left="720"/>
      <w:contextualSpacing/>
    </w:pPr>
  </w:style>
  <w:style w:type="character" w:styleId="a5">
    <w:name w:val="annotation reference"/>
    <w:basedOn w:val="a0"/>
    <w:uiPriority w:val="99"/>
    <w:semiHidden/>
    <w:unhideWhenUsed/>
    <w:rsid w:val="00C15304"/>
    <w:rPr>
      <w:sz w:val="16"/>
      <w:szCs w:val="16"/>
    </w:rPr>
  </w:style>
  <w:style w:type="paragraph" w:styleId="a6">
    <w:name w:val="annotation text"/>
    <w:basedOn w:val="a"/>
    <w:link w:val="a7"/>
    <w:uiPriority w:val="99"/>
    <w:unhideWhenUsed/>
    <w:rsid w:val="00C15304"/>
    <w:rPr>
      <w:sz w:val="20"/>
      <w:szCs w:val="20"/>
    </w:rPr>
  </w:style>
  <w:style w:type="character" w:customStyle="1" w:styleId="a7">
    <w:name w:val="טקסט הערה תו"/>
    <w:basedOn w:val="a0"/>
    <w:link w:val="a6"/>
    <w:uiPriority w:val="99"/>
    <w:rsid w:val="00C15304"/>
    <w:rPr>
      <w:rFonts w:ascii="Times New Roman" w:eastAsia="Times New Roman" w:hAnsi="Times New Roman" w:cs="David"/>
      <w:kern w:val="0"/>
      <w:sz w:val="20"/>
      <w:szCs w:val="20"/>
      <w:lang w:eastAsia="he-IL"/>
      <w14:ligatures w14:val="none"/>
    </w:rPr>
  </w:style>
  <w:style w:type="paragraph" w:styleId="a8">
    <w:name w:val="annotation subject"/>
    <w:basedOn w:val="a6"/>
    <w:next w:val="a6"/>
    <w:link w:val="a9"/>
    <w:uiPriority w:val="99"/>
    <w:semiHidden/>
    <w:unhideWhenUsed/>
    <w:rsid w:val="00C15304"/>
    <w:rPr>
      <w:b/>
      <w:bCs/>
    </w:rPr>
  </w:style>
  <w:style w:type="character" w:customStyle="1" w:styleId="a9">
    <w:name w:val="נושא הערה תו"/>
    <w:basedOn w:val="a7"/>
    <w:link w:val="a8"/>
    <w:uiPriority w:val="99"/>
    <w:semiHidden/>
    <w:rsid w:val="00C15304"/>
    <w:rPr>
      <w:rFonts w:ascii="Times New Roman" w:eastAsia="Times New Roman" w:hAnsi="Times New Roman" w:cs="David"/>
      <w:b/>
      <w:bCs/>
      <w:kern w:val="0"/>
      <w:sz w:val="20"/>
      <w:szCs w:val="20"/>
      <w:lang w:eastAsia="he-IL"/>
      <w14:ligatures w14:val="none"/>
    </w:rPr>
  </w:style>
  <w:style w:type="paragraph" w:styleId="aa">
    <w:name w:val="Revision"/>
    <w:hidden/>
    <w:uiPriority w:val="99"/>
    <w:semiHidden/>
    <w:rsid w:val="00C544F9"/>
    <w:pPr>
      <w:spacing w:after="0" w:line="240" w:lineRule="auto"/>
    </w:pPr>
    <w:rPr>
      <w:rFonts w:ascii="Times New Roman" w:eastAsia="Times New Roman" w:hAnsi="Times New Roman" w:cs="David"/>
      <w:kern w:val="0"/>
      <w:sz w:val="18"/>
      <w:szCs w:val="26"/>
      <w:lang w:eastAsia="he-IL"/>
      <w14:ligatures w14:val="none"/>
    </w:rPr>
  </w:style>
  <w:style w:type="paragraph" w:styleId="ab">
    <w:name w:val="footer"/>
    <w:basedOn w:val="a"/>
    <w:link w:val="ac"/>
    <w:uiPriority w:val="99"/>
    <w:unhideWhenUsed/>
    <w:rsid w:val="009C2996"/>
    <w:pPr>
      <w:tabs>
        <w:tab w:val="center" w:pos="4153"/>
        <w:tab w:val="right" w:pos="8306"/>
      </w:tabs>
    </w:pPr>
  </w:style>
  <w:style w:type="character" w:customStyle="1" w:styleId="ac">
    <w:name w:val="כותרת תחתונה תו"/>
    <w:basedOn w:val="a0"/>
    <w:link w:val="ab"/>
    <w:uiPriority w:val="99"/>
    <w:rsid w:val="009C2996"/>
    <w:rPr>
      <w:rFonts w:ascii="Times New Roman" w:eastAsia="Times New Roman" w:hAnsi="Times New Roman" w:cs="David"/>
      <w:kern w:val="0"/>
      <w:sz w:val="18"/>
      <w:szCs w:val="26"/>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מסמך" ma:contentTypeID="0x010100CB9406F85F87134D827E613BB0F4338C" ma:contentTypeVersion="35" ma:contentTypeDescription="צור מסמך חדש." ma:contentTypeScope="" ma:versionID="b67a2811a384de45da12af02cfe63b5f">
  <xsd:schema xmlns:xsd="http://www.w3.org/2001/XMLSchema" xmlns:xs="http://www.w3.org/2001/XMLSchema" xmlns:p="http://schemas.microsoft.com/office/2006/metadata/properties" xmlns:ns1="http://schemas.microsoft.com/sharepoint/v3" xmlns:ns2="2b14b52c-9172-4749-a385-5d23bc96e1a1" xmlns:ns3="58dd6d54-1ec8-4207-9e1a-cd461fb17958" xmlns:ns4="http://schemas.microsoft.com/sharepoint/v4" targetNamespace="http://schemas.microsoft.com/office/2006/metadata/properties" ma:root="true" ma:fieldsID="bad968ee9331659485311ff35ec4ba86" ns1:_="" ns2:_="" ns3:_="" ns4:_="">
    <xsd:import namespace="http://schemas.microsoft.com/sharepoint/v3"/>
    <xsd:import namespace="2b14b52c-9172-4749-a385-5d23bc96e1a1"/>
    <xsd:import namespace="58dd6d54-1ec8-4207-9e1a-cd461fb1795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x05d4__x05e2__x05e8__x05d5__x05ea_" minOccurs="0"/>
                <xsd:element ref="ns2:_Flow_SignoffStatus" minOccurs="0"/>
                <xsd:element ref="ns1:_ip_UnifiedCompliancePolicyProperties" minOccurs="0"/>
                <xsd:element ref="ns1:_ip_UnifiedCompliancePolicyUIAction" minOccurs="0"/>
                <xsd:element ref="ns2:MediaLengthInSeconds" minOccurs="0"/>
                <xsd:element ref="ns3:_dlc_DocId" minOccurs="0"/>
                <xsd:element ref="ns3:_dlc_DocIdUrl" minOccurs="0"/>
                <xsd:element ref="ns3:_dlc_DocIdPersistId" minOccurs="0"/>
                <xsd:element ref="ns4:IconOverlay" minOccurs="0"/>
                <xsd:element ref="ns2:lcf76f155ced4ddcb4097134ff3c332f" minOccurs="0"/>
                <xsd:element ref="ns3:TaxCatchAll" minOccurs="0"/>
                <xsd:element ref="ns2:_x05d9__x05d5__x05e0__x05d9_" minOccurs="0"/>
                <xsd:element ref="ns2:MediaServiceObjectDetectorVersions" minOccurs="0"/>
                <xsd:element ref="ns2:_x05d4__x05e2__x05e8__x05d4_" minOccurs="0"/>
                <xsd:element ref="ns2:_x05d8__x05e7__x05e1__x05d8_" minOccurs="0"/>
                <xsd:element ref="ns2:_x05e0__x05d5__x05e9__x05d0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מאפייני מדיניות תאימות מאוחדת" ma:hidden="true" ma:internalName="_ip_UnifiedCompliancePolicyProperties">
      <xsd:simpleType>
        <xsd:restriction base="dms:Note"/>
      </xsd:simpleType>
    </xsd:element>
    <xsd:element name="_ip_UnifiedCompliancePolicyUIAction" ma:index="23" nillable="true" ma:displayName="פעולת ממשק משתמש של מדיניות תאימות מאוחדת"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b52c-9172-4749-a385-5d23bc96e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05d4__x05e2__x05e8__x05d5__x05ea_" ma:index="20" nillable="true" ma:displayName="הערות " ma:description="1" ma:format="Dropdown" ma:internalName="_x05d4__x05e2__x05e8__x05d5__x05ea_">
      <xsd:simpleType>
        <xsd:restriction base="dms:Note">
          <xsd:maxLength value="255"/>
        </xsd:restriction>
      </xsd:simpleType>
    </xsd:element>
    <xsd:element name="_Flow_SignoffStatus" ma:index="21" nillable="true" ma:displayName="מצב הסכמה" ma:internalName="_x05de__x05e6__x05d1__x0020__x05d4__x05e1__x05db__x05de__x05d4_">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תגיות תמונה" ma:readOnly="false" ma:fieldId="{5cf76f15-5ced-4ddc-b409-7134ff3c332f}" ma:taxonomyMulti="true" ma:sspId="51ac0fc8-900c-457c-bd3f-4d6a2a3a122b" ma:termSetId="09814cd3-568e-fe90-9814-8d621ff8fb84" ma:anchorId="fba54fb3-c3e1-fe81-a776-ca4b69148c4d" ma:open="true" ma:isKeyword="false">
      <xsd:complexType>
        <xsd:sequence>
          <xsd:element ref="pc:Terms" minOccurs="0" maxOccurs="1"/>
        </xsd:sequence>
      </xsd:complexType>
    </xsd:element>
    <xsd:element name="_x05d9__x05d5__x05e0__x05d9_" ma:index="32" nillable="true" ma:displayName="יוני" ma:format="Dropdown" ma:internalName="_x05d9__x05d5__x05e0__x05d9_">
      <xsd:simpleType>
        <xsd:restriction base="dms:Text">
          <xsd:maxLength value="255"/>
        </xsd:restrictio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_x05d4__x05e2__x05e8__x05d4_" ma:index="34" nillable="true" ma:displayName="הערה" ma:format="Dropdown" ma:internalName="_x05d4__x05e2__x05e8__x05d4_">
      <xsd:simpleType>
        <xsd:restriction base="dms:Note">
          <xsd:maxLength value="255"/>
        </xsd:restriction>
      </xsd:simpleType>
    </xsd:element>
    <xsd:element name="_x05d8__x05e7__x05e1__x05d8_" ma:index="35" nillable="true" ma:displayName="טקסט" ma:format="Dropdown" ma:internalName="_x05d8__x05e7__x05e1__x05d8_">
      <xsd:simpleType>
        <xsd:restriction base="dms:Text">
          <xsd:maxLength value="255"/>
        </xsd:restriction>
      </xsd:simpleType>
    </xsd:element>
    <xsd:element name="_x05e0__x05d5__x05e9__x05d0_" ma:index="36" nillable="true" ma:displayName="נושא" ma:format="Dropdown" ma:internalName="_x05e0__x05d5__x05e9__x05d0_">
      <xsd:simpleType>
        <xsd:restriction base="dms:Choice">
          <xsd:enumeration value="מים"/>
          <xsd:enumeration value="חשמל"/>
          <xsd:enumeration value="תקשורת"/>
          <xsd:enumeration value="גניבות מים"/>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_dlc_DocId" ma:index="25" nillable="true" ma:displayName="ערך של מזהה מסמך" ma:description="הערך של מזהה המסמך שהוקצה לפריט זה." ma:indexed="true" ma:internalName="_dlc_DocId" ma:readOnly="true">
      <xsd:simpleType>
        <xsd:restriction base="dms:Text"/>
      </xsd:simpleType>
    </xsd:element>
    <xsd:element name="_dlc_DocIdUrl" ma:index="26"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d32ec7f3-5027-48c8-9ed2-3177e6fd4e22}" ma:internalName="TaxCatchAll" ma:showField="CatchAllData" ma:web="58dd6d54-1ec8-4207-9e1a-cd461fb179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b14b52c-9172-4749-a385-5d23bc96e1a1" xsi:nil="true"/>
    <_ip_UnifiedCompliancePolicyUIAction xmlns="http://schemas.microsoft.com/sharepoint/v3" xsi:nil="true"/>
    <_x05d9__x05d5__x05e0__x05d9_ xmlns="2b14b52c-9172-4749-a385-5d23bc96e1a1" xsi:nil="true"/>
    <_x05d4__x05e2__x05e8__x05d5__x05ea_ xmlns="2b14b52c-9172-4749-a385-5d23bc96e1a1" xsi:nil="true"/>
    <_x05d4__x05e2__x05e8__x05d4_ xmlns="2b14b52c-9172-4749-a385-5d23bc96e1a1" xsi:nil="true"/>
    <_x05d8__x05e7__x05e1__x05d8_ xmlns="2b14b52c-9172-4749-a385-5d23bc96e1a1" xsi:nil="true"/>
    <IconOverlay xmlns="http://schemas.microsoft.com/sharepoint/v4" xsi:nil="true"/>
    <_ip_UnifiedCompliancePolicyProperties xmlns="http://schemas.microsoft.com/sharepoint/v3" xsi:nil="true"/>
    <_x05e0__x05d5__x05e9__x05d0_ xmlns="2b14b52c-9172-4749-a385-5d23bc96e1a1" xsi:nil="true"/>
    <lcf76f155ced4ddcb4097134ff3c332f xmlns="2b14b52c-9172-4749-a385-5d23bc96e1a1">
      <Terms xmlns="http://schemas.microsoft.com/office/infopath/2007/PartnerControls"/>
    </lcf76f155ced4ddcb4097134ff3c332f>
    <TaxCatchAll xmlns="58dd6d54-1ec8-4207-9e1a-cd461fb17958" xsi:nil="true"/>
    <_dlc_DocId xmlns="58dd6d54-1ec8-4207-9e1a-cd461fb17958">AYOSHC-956532929-488533</_dlc_DocId>
    <_dlc_DocIdUrl xmlns="58dd6d54-1ec8-4207-9e1a-cd461fb17958">
      <Url>https://tikshuv.sharepoint.com/sites/msteams_e0b4e8/_layouts/15/DocIdRedir.aspx?ID=AYOSHC-956532929-488533</Url>
      <Description>AYOSHC-956532929-488533</Description>
    </_dlc_DocIdUrl>
  </documentManagement>
</p:properties>
</file>

<file path=customXml/itemProps1.xml><?xml version="1.0" encoding="utf-8"?>
<ds:datastoreItem xmlns:ds="http://schemas.openxmlformats.org/officeDocument/2006/customXml" ds:itemID="{BFE289E3-99CA-4422-A907-11786A99AC3A}">
  <ds:schemaRefs>
    <ds:schemaRef ds:uri="http://schemas.microsoft.com/sharepoint/v3/contenttype/forms"/>
  </ds:schemaRefs>
</ds:datastoreItem>
</file>

<file path=customXml/itemProps2.xml><?xml version="1.0" encoding="utf-8"?>
<ds:datastoreItem xmlns:ds="http://schemas.openxmlformats.org/officeDocument/2006/customXml" ds:itemID="{109D29EA-D81F-4674-89D4-8903232BF973}">
  <ds:schemaRefs>
    <ds:schemaRef ds:uri="http://schemas.microsoft.com/sharepoint/events"/>
  </ds:schemaRefs>
</ds:datastoreItem>
</file>

<file path=customXml/itemProps3.xml><?xml version="1.0" encoding="utf-8"?>
<ds:datastoreItem xmlns:ds="http://schemas.openxmlformats.org/officeDocument/2006/customXml" ds:itemID="{BF439F71-AC5F-4663-8E50-3D0411909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4b52c-9172-4749-a385-5d23bc96e1a1"/>
    <ds:schemaRef ds:uri="58dd6d54-1ec8-4207-9e1a-cd461fb179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ED16F-021E-42FC-AEB9-D99E0CFAE000}">
  <ds:schemaRefs>
    <ds:schemaRef ds:uri="http://schemas.microsoft.com/office/2006/metadata/properties"/>
    <ds:schemaRef ds:uri="http://schemas.microsoft.com/office/infopath/2007/PartnerControls"/>
    <ds:schemaRef ds:uri="2b14b52c-9172-4749-a385-5d23bc96e1a1"/>
    <ds:schemaRef ds:uri="http://schemas.microsoft.com/sharepoint/v3"/>
    <ds:schemaRef ds:uri="http://schemas.microsoft.com/sharepoint/v4"/>
    <ds:schemaRef ds:uri="58dd6d54-1ec8-4207-9e1a-cd461fb1795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759</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קוראל רוהקר</dc:creator>
  <cp:keywords/>
  <dc:description/>
  <cp:lastModifiedBy>נדב פסטר בכר</cp:lastModifiedBy>
  <cp:revision>2</cp:revision>
  <dcterms:created xsi:type="dcterms:W3CDTF">2024-12-25T08:01:00Z</dcterms:created>
  <dcterms:modified xsi:type="dcterms:W3CDTF">2024-12-25T08:01:00Z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5681205,52c704b6,2b12bb</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2023-12-12T12:50:17Z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fc293648-9c08-408d-b669-41b563881d50</vt:lpwstr>
  </property>
  <property fmtid="{D5CDD505-2E9C-101B-9397-08002B2CF9AE}" pid="11" name="MSIP_Label_701b9bfc-c426-492e-a46c-1a922d5fe54b_ContentBits">
    <vt:lpwstr>1</vt:lpwstr>
  </property>
  <property fmtid="{D5CDD505-2E9C-101B-9397-08002B2CF9AE}" pid="12" name="ContentTypeId">
    <vt:lpwstr>0x010100CB9406F85F87134D827E613BB0F4338C</vt:lpwstr>
  </property>
  <property fmtid="{D5CDD505-2E9C-101B-9397-08002B2CF9AE}" pid="13" name="_dlc_DocIdItemGuid">
    <vt:lpwstr>91ae6ec5-e3ac-4d53-a15e-fe67123e1abf</vt:lpwstr>
  </property>
  <property fmtid="{D5CDD505-2E9C-101B-9397-08002B2CF9AE}" pid="14" name="MediaServiceImageTags">
    <vt:lpwstr/>
  </property>
  <property fmtid="{D5CDD505-2E9C-101B-9397-08002B2CF9AE}" pid="15" name="DocType">
    <vt:lpwstr>חקיקה</vt:lpwstr>
  </property>
  <property fmtid="{D5CDD505-2E9C-101B-9397-08002B2CF9AE}" pid="16" name="Tags">
    <vt:lpwstr>57;#;#61;#;#32;#;#55;#;#60;#;#171;#;#45;#;#34;#</vt:lpwstr>
  </property>
  <property fmtid="{D5CDD505-2E9C-101B-9397-08002B2CF9AE}" pid="17" name="Rerun">
    <vt:bool>false</vt:bool>
  </property>
  <property fmtid="{D5CDD505-2E9C-101B-9397-08002B2CF9AE}" pid="18" name="Summarize">
    <vt:lpwstr>המסמך הוא צו צבאי שמחמיר את הטיפול בעבירות הסתה ותמיכה בארגון עוין באזור יהודה ושומרון. הצו נחתם על ידי מפקד כוחות צה"ל באזור לאור הנסיבות הביטחוניות יוצאות הדופן השוררות כיום באזור, ומטרתו לשמור על ביטחון האזור והסדר הציבורי. הצו הוא תיקון מס' 3 לצו בדבר החמרת הטיפול בעבירות הסתה ותמיכה בארגון עוין ('חרבות ברזל') והינו הוראת שעה לשנת התשפ"ה-2024.</vt:lpwstr>
  </property>
</Properties>
</file>