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4F" w:rsidRPr="009F0A4F" w:rsidRDefault="00C01DD4" w:rsidP="009F0A4F">
      <w:pPr>
        <w:spacing w:line="360" w:lineRule="auto"/>
        <w:jc w:val="center"/>
        <w:rPr>
          <w:rFonts w:ascii="Calibri" w:eastAsia="Calibri" w:hAnsi="Calibri" w:cs="David"/>
          <w:b/>
          <w:bCs/>
          <w:sz w:val="24"/>
          <w:szCs w:val="24"/>
          <w:u w:val="single"/>
          <w:rtl/>
        </w:rPr>
      </w:pPr>
      <w:r>
        <w:rPr>
          <w:rtl/>
        </w:rPr>
        <w:t xml:space="preserve"> </w:t>
      </w:r>
      <w:r w:rsidRPr="009F0A4F">
        <w:rPr>
          <w:rFonts w:ascii="Calibri" w:eastAsia="Calibri" w:hAnsi="Calibri" w:cs="David"/>
          <w:b/>
          <w:bCs/>
          <w:noProof/>
          <w:sz w:val="24"/>
          <w:szCs w:val="24"/>
          <w:u w:val="single"/>
          <w:rtl/>
        </w:rPr>
        <w:drawing>
          <wp:anchor distT="0" distB="0" distL="114300" distR="114300" simplePos="0" relativeHeight="251658240" behindDoc="0" locked="0" layoutInCell="1" allowOverlap="1">
            <wp:simplePos x="0" y="0"/>
            <wp:positionH relativeFrom="margin">
              <wp:posOffset>-133350</wp:posOffset>
            </wp:positionH>
            <wp:positionV relativeFrom="margin">
              <wp:posOffset>104775</wp:posOffset>
            </wp:positionV>
            <wp:extent cx="1704975" cy="2438400"/>
            <wp:effectExtent l="0" t="0" r="9525" b="0"/>
            <wp:wrapSquare wrapText="bothSides"/>
            <wp:docPr id="1" name="תמונה 1" descr="×ª××¦××ª ×ª××× × ×¢×××¨ ××©× ×©×¨×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95356" name="תמונה 1" descr="×ª××¦××ª ×ª××× × ×¢×××¨ ××©× ×©×¨×ª"/>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704975" cy="2438400"/>
                    </a:xfrm>
                    <a:prstGeom prst="rect">
                      <a:avLst/>
                    </a:prstGeom>
                    <a:noFill/>
                  </pic:spPr>
                </pic:pic>
              </a:graphicData>
            </a:graphic>
            <wp14:sizeRelH relativeFrom="page">
              <wp14:pctWidth>0</wp14:pctWidth>
            </wp14:sizeRelH>
            <wp14:sizeRelV relativeFrom="page">
              <wp14:pctHeight>0</wp14:pctHeight>
            </wp14:sizeRelV>
          </wp:anchor>
        </w:drawing>
      </w:r>
      <w:r w:rsidRPr="009F0A4F">
        <w:rPr>
          <w:rFonts w:ascii="Calibri" w:eastAsia="Calibri" w:hAnsi="Calibri" w:cs="David" w:hint="cs"/>
          <w:b/>
          <w:bCs/>
          <w:sz w:val="24"/>
          <w:szCs w:val="24"/>
          <w:u w:val="single"/>
          <w:rtl/>
        </w:rPr>
        <w:t>משה שרת (1894-1965)</w:t>
      </w:r>
    </w:p>
    <w:p w:rsidR="009F0A4F" w:rsidRPr="009F0A4F" w:rsidRDefault="00C01DD4" w:rsidP="005D01BC">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t xml:space="preserve">משה שרת, ראש הממשלה השני, נולד </w:t>
      </w:r>
      <w:proofErr w:type="spellStart"/>
      <w:r w:rsidRPr="009F0A4F">
        <w:rPr>
          <w:rFonts w:ascii="Calibri" w:eastAsia="Calibri" w:hAnsi="Calibri" w:cs="David" w:hint="cs"/>
          <w:sz w:val="24"/>
          <w:szCs w:val="24"/>
          <w:rtl/>
        </w:rPr>
        <w:t>ב</w:t>
      </w:r>
      <w:r w:rsidR="005D01BC" w:rsidRPr="005D01BC">
        <w:rPr>
          <w:rFonts w:ascii="Calibri" w:eastAsia="Calibri" w:hAnsi="Calibri" w:cs="David"/>
          <w:sz w:val="24"/>
          <w:szCs w:val="24"/>
          <w:rtl/>
        </w:rPr>
        <w:t>בט"ו</w:t>
      </w:r>
      <w:proofErr w:type="spellEnd"/>
      <w:r w:rsidR="005D01BC" w:rsidRPr="005D01BC">
        <w:rPr>
          <w:rFonts w:ascii="Calibri" w:eastAsia="Calibri" w:hAnsi="Calibri" w:cs="David"/>
          <w:sz w:val="24"/>
          <w:szCs w:val="24"/>
          <w:rtl/>
        </w:rPr>
        <w:t xml:space="preserve"> בתשרי ה'תרנ"ה, 15 באוקטובר שנת </w:t>
      </w:r>
      <w:r w:rsidRPr="009F0A4F">
        <w:rPr>
          <w:rFonts w:ascii="Calibri" w:eastAsia="Calibri" w:hAnsi="Calibri" w:cs="David" w:hint="cs"/>
          <w:sz w:val="24"/>
          <w:szCs w:val="24"/>
          <w:rtl/>
        </w:rPr>
        <w:t xml:space="preserve">1894 בעיירה </w:t>
      </w:r>
      <w:proofErr w:type="spellStart"/>
      <w:r w:rsidRPr="009F0A4F">
        <w:rPr>
          <w:rFonts w:ascii="Calibri" w:eastAsia="Calibri" w:hAnsi="Calibri" w:cs="David" w:hint="cs"/>
          <w:sz w:val="24"/>
          <w:szCs w:val="24"/>
          <w:rtl/>
        </w:rPr>
        <w:t>חרסון</w:t>
      </w:r>
      <w:proofErr w:type="spellEnd"/>
      <w:r w:rsidRPr="009F0A4F">
        <w:rPr>
          <w:rFonts w:ascii="Calibri" w:eastAsia="Calibri" w:hAnsi="Calibri" w:cs="David" w:hint="cs"/>
          <w:sz w:val="24"/>
          <w:szCs w:val="24"/>
          <w:rtl/>
        </w:rPr>
        <w:t xml:space="preserve"> שבאוקראינה תחת השם משה שרתוק. כשהיה בן 12 עלה לארץ עם הוריו כחלק מן העלייה השנייה, התגורר בכפר הערבי עין סי</w:t>
      </w:r>
      <w:bookmarkStart w:id="0" w:name="_GoBack"/>
      <w:bookmarkEnd w:id="0"/>
      <w:r w:rsidRPr="009F0A4F">
        <w:rPr>
          <w:rFonts w:ascii="Calibri" w:eastAsia="Calibri" w:hAnsi="Calibri" w:cs="David" w:hint="cs"/>
          <w:sz w:val="24"/>
          <w:szCs w:val="24"/>
          <w:rtl/>
        </w:rPr>
        <w:t>ניה ולמד את השפה הערבית על בוריה. כשהיה בן 14 היגרה המשפחה ליפו והיוותה חלק מן הגרעין המייסד של תל אביב. שרת נמנה עם המחזור הראשון של תלמידי גימנסיה הרצליה ועם תום לימודיו נסע לאיסטנבול ללמוד משפטים בדומה לדוד בן גוריון וליצחק בן צבי. כשפרצה מלחמת העולם הראשונה, שרת התגייס לצבא התורכי והיה בין היהודים היחידים שזכו לדרגות קצונה בצבא זה.</w:t>
      </w:r>
    </w:p>
    <w:p w:rsidR="009F0A4F" w:rsidRPr="009F0A4F" w:rsidRDefault="00C01DD4" w:rsidP="009F0A4F">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t>אחרי המלחמה הצטרף למפלגת "אחדות העבודה" ופעל לרכישת קרקעות בישראל. ב1920, יצא ללמוד תואר במדעי המדינה בלונדון, על מנת להכשיר את עצמו לתפקידים ייצוגיים בישוב היהודי מול השלטון הבריטי. ב1925, מונה לאחד מעורכי עיתון "דבר", עיתון פופולארי בקרב היישוב היהודי באותה תקופה שייצג את עמדותיהן של מפלגות הפועלים. הוא מילא תפקיד זה עד 1931, אז מונה למזכיר המחלקה המדינית של הסוכנות היהודית.</w:t>
      </w:r>
    </w:p>
    <w:p w:rsidR="009F0A4F" w:rsidRPr="009F0A4F" w:rsidRDefault="00C01DD4" w:rsidP="009F0A4F">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t>בשנת 1933, לאחר רצח חיים ארלוזורוב נבחר שרת למלא את מקומו כראש המחלקה המדינית של הסוכנות היהודית. במסגרת תפקיד זה פעל שרת רבות לשחרור קרקעות והקמת יישובים. כמו כן היה מעורב במאמצי להקמת "הנמל העברי הראשון" בתל אביב.</w:t>
      </w:r>
    </w:p>
    <w:p w:rsidR="009F0A4F" w:rsidRPr="009F0A4F" w:rsidRDefault="00C01DD4" w:rsidP="009F0A4F">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t xml:space="preserve"> </w:t>
      </w:r>
      <w:r>
        <w:rPr>
          <w:rFonts w:ascii="Calibri" w:eastAsia="Calibri" w:hAnsi="Calibri" w:cs="David" w:hint="cs"/>
          <w:sz w:val="24"/>
          <w:szCs w:val="24"/>
          <w:rtl/>
        </w:rPr>
        <w:t>במהלך מלחמת העו</w:t>
      </w:r>
      <w:r w:rsidRPr="009F0A4F">
        <w:rPr>
          <w:rFonts w:ascii="Calibri" w:eastAsia="Calibri" w:hAnsi="Calibri" w:cs="David" w:hint="cs"/>
          <w:sz w:val="24"/>
          <w:szCs w:val="24"/>
          <w:rtl/>
        </w:rPr>
        <w:t>לם השנייה, תמך שרת בהתנדבותם של בני היישוב הארת ישראלי לצבא הבריטי, מפני שראה בכך חובה מוסרית להיאבק נגד הנאצים. הוא ראה בהתנדבות יתרונות משמעותיים, הן בפן המדיני- הצבת היישוב כשותף פעיל תחת הדגל הציוני בחזית המלחמה בגרמניה, והן בפן הצבאי- הכשרת רבים מבני היישוב בידע צבאי וניסיון קרבי. בשנת 1946, לאחר המלחמה כאשר החריף מאבק היישוב נד השלטון הבריטי, הוביל שרת פעולות מבוקרות נגד הבריטים. כחלק מגל המעצרים שגררו פעולות אלו, נעצר שרת למשך 4 חודשים במחנה המעצר בלטרון. לאחר שחרורו מילא תפקיד מרכזי במאבק המדיני באו"ם עבור הקמת מדינה יהודית.</w:t>
      </w:r>
    </w:p>
    <w:p w:rsidR="009F0A4F" w:rsidRDefault="00C01DD4" w:rsidP="009F0A4F">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t xml:space="preserve">שרת, שנודע כמי שחרט את חשיבות הזירה הבינלאומית על דגלו, הפך באופן טבעי עם הקמת המדינה לשר החוץ הראשון. הוא הניח את היסוד לשירות החוץ הישראלי ולמגעים הדיפלומטיים עם עשרות מדינות, שרת דאג למצבה המדיני של ישראל ובתפיסתו המדינית שרת האמין כי הציונות תתגשם בדרך מדודה ואיטית, בתהליך בלתי נמנע שבו ישולבו כוחה של הציונות עם עמדתה של דעת הקהל הבינלאומית. הוא ייחס חשיבות מכרעת למאבק בזירה הבינלאומית ובפרט במוסד האו"ם. בשנת 1953, עם פרישתו של בן גוריון מתפקיד ראש הממשלה מונה שרת למחליפו. </w:t>
      </w:r>
    </w:p>
    <w:p w:rsidR="009F0A4F" w:rsidRPr="009F0A4F" w:rsidRDefault="00C01DD4" w:rsidP="009F0A4F">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lastRenderedPageBreak/>
        <w:t>במהלך כהונתו של שרת בראשות הממשלה, הגיע לישראל ראש ממשלת בורמה וזה הוביל לכך שהיה המנהיג הזר הראשון שערך ביקור רשמי בישראל העצמאית, בהמשך ערך שרת ביקור גומלין בבורמה. כהונתו של שרת בממשלה התאפיינה בקו מדיני מתון. בשנת 1955, החליף בן גוריון את שרת.</w:t>
      </w:r>
    </w:p>
    <w:p w:rsidR="009F0A4F" w:rsidRPr="009F0A4F" w:rsidRDefault="00C01DD4" w:rsidP="009F0A4F">
      <w:pPr>
        <w:spacing w:after="200" w:line="360" w:lineRule="auto"/>
        <w:rPr>
          <w:rFonts w:ascii="Calibri" w:eastAsia="Calibri" w:hAnsi="Calibri" w:cs="David"/>
          <w:sz w:val="24"/>
          <w:szCs w:val="24"/>
          <w:rtl/>
        </w:rPr>
      </w:pPr>
      <w:r w:rsidRPr="009F0A4F">
        <w:rPr>
          <w:rFonts w:ascii="Calibri" w:eastAsia="Calibri" w:hAnsi="Calibri" w:cs="David" w:hint="cs"/>
          <w:sz w:val="24"/>
          <w:szCs w:val="24"/>
          <w:rtl/>
        </w:rPr>
        <w:t xml:space="preserve">לאחר שנה, החליט משה שרת לפרוש מן החיים הפוליטיים ושימש כמנהל הוצאת הספרים "עם עובד" ומכללת בית ברל. בין השנים 1961-1965 שימש כיושב ראש ההסתדרות הציונית. </w:t>
      </w:r>
    </w:p>
    <w:p w:rsidR="009F0A4F" w:rsidRPr="009F0A4F" w:rsidRDefault="005C7362" w:rsidP="005C7362">
      <w:pPr>
        <w:spacing w:after="200" w:line="360" w:lineRule="auto"/>
        <w:rPr>
          <w:rFonts w:ascii="Calibri" w:eastAsia="Calibri" w:hAnsi="Calibri" w:cs="David"/>
          <w:sz w:val="24"/>
          <w:szCs w:val="24"/>
          <w:rtl/>
        </w:rPr>
      </w:pPr>
      <w:r>
        <w:rPr>
          <w:rFonts w:ascii="Calibri" w:eastAsia="Calibri" w:hAnsi="Calibri" w:cs="David" w:hint="cs"/>
          <w:sz w:val="24"/>
          <w:szCs w:val="24"/>
          <w:rtl/>
        </w:rPr>
        <w:t>מש</w:t>
      </w:r>
      <w:r w:rsidR="00C01DD4" w:rsidRPr="009F0A4F">
        <w:rPr>
          <w:rFonts w:ascii="Calibri" w:eastAsia="Calibri" w:hAnsi="Calibri" w:cs="David" w:hint="cs"/>
          <w:sz w:val="24"/>
          <w:szCs w:val="24"/>
          <w:rtl/>
        </w:rPr>
        <w:t>ה שרת נפטר בז' בתמוז תשכ"ה,</w:t>
      </w:r>
      <w:r>
        <w:rPr>
          <w:rFonts w:ascii="Calibri" w:eastAsia="Calibri" w:hAnsi="Calibri" w:cs="David" w:hint="cs"/>
          <w:sz w:val="24"/>
          <w:szCs w:val="24"/>
          <w:rtl/>
        </w:rPr>
        <w:t>7</w:t>
      </w:r>
      <w:r w:rsidR="00C01DD4" w:rsidRPr="009F0A4F">
        <w:rPr>
          <w:rFonts w:ascii="Calibri" w:eastAsia="Calibri" w:hAnsi="Calibri" w:cs="David" w:hint="cs"/>
          <w:sz w:val="24"/>
          <w:szCs w:val="24"/>
          <w:rtl/>
        </w:rPr>
        <w:t xml:space="preserve"> ביולי 1965 ונקבר בתל אביב.</w:t>
      </w:r>
    </w:p>
    <w:p w:rsidR="009F0A4F" w:rsidRPr="009F0A4F" w:rsidRDefault="009F0A4F" w:rsidP="009F0A4F">
      <w:pPr>
        <w:spacing w:after="200" w:line="360" w:lineRule="auto"/>
        <w:rPr>
          <w:rFonts w:ascii="Calibri" w:eastAsia="Calibri" w:hAnsi="Calibri" w:cs="David"/>
          <w:sz w:val="24"/>
          <w:szCs w:val="24"/>
          <w:rtl/>
        </w:rPr>
      </w:pPr>
    </w:p>
    <w:p w:rsidR="009F0A4F" w:rsidRPr="009F0A4F" w:rsidRDefault="00C01DD4" w:rsidP="009F0A4F">
      <w:pPr>
        <w:spacing w:after="200" w:line="360" w:lineRule="auto"/>
        <w:jc w:val="center"/>
        <w:rPr>
          <w:rFonts w:ascii="Calibri" w:eastAsia="Calibri" w:hAnsi="Calibri" w:cs="David"/>
          <w:sz w:val="44"/>
          <w:szCs w:val="44"/>
        </w:rPr>
      </w:pPr>
      <w:r w:rsidRPr="009F0A4F">
        <w:rPr>
          <w:rFonts w:ascii="Calibri" w:eastAsia="Calibri" w:hAnsi="Calibri" w:cs="David" w:hint="cs"/>
          <w:sz w:val="44"/>
          <w:szCs w:val="44"/>
          <w:rtl/>
        </w:rPr>
        <w:t>***</w:t>
      </w:r>
    </w:p>
    <w:p w:rsidR="00ED130D" w:rsidRDefault="00C01DD4" w:rsidP="00ED130D">
      <w:pPr>
        <w:jc w:val="center"/>
        <w:rPr>
          <w:rtl/>
        </w:rPr>
      </w:pPr>
      <w:r>
        <w:rPr>
          <w:rtl/>
        </w:rPr>
        <w:br/>
      </w:r>
    </w:p>
    <w:p w:rsidR="00ED130D" w:rsidRPr="00ED130D" w:rsidRDefault="00ED130D" w:rsidP="00ED130D">
      <w:pPr>
        <w:rPr>
          <w:rtl/>
        </w:rPr>
      </w:pPr>
    </w:p>
    <w:p w:rsidR="00ED130D" w:rsidRPr="00ED130D" w:rsidRDefault="00ED130D" w:rsidP="00ED130D">
      <w:pPr>
        <w:rPr>
          <w:rtl/>
        </w:rPr>
      </w:pPr>
    </w:p>
    <w:p w:rsidR="00ED130D" w:rsidRDefault="00ED130D" w:rsidP="00ED130D">
      <w:pPr>
        <w:rPr>
          <w:rtl/>
        </w:rPr>
      </w:pPr>
    </w:p>
    <w:p w:rsidR="00ED130D" w:rsidRPr="00ED130D" w:rsidRDefault="00C01DD4" w:rsidP="00ED130D">
      <w:pPr>
        <w:tabs>
          <w:tab w:val="left" w:pos="2081"/>
        </w:tabs>
        <w:rPr>
          <w:rtl/>
        </w:rPr>
      </w:pPr>
      <w:r>
        <w:rPr>
          <w:rtl/>
        </w:rPr>
        <w:tab/>
      </w:r>
    </w:p>
    <w:sectPr w:rsidR="00ED130D" w:rsidRPr="00ED130D" w:rsidSect="00480DB0">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84" w:rsidRDefault="00044184">
      <w:pPr>
        <w:spacing w:after="0" w:line="240" w:lineRule="auto"/>
      </w:pPr>
      <w:r>
        <w:separator/>
      </w:r>
    </w:p>
  </w:endnote>
  <w:endnote w:type="continuationSeparator" w:id="0">
    <w:p w:rsidR="00044184" w:rsidRDefault="0004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84" w:rsidRDefault="00044184">
      <w:pPr>
        <w:spacing w:after="0" w:line="240" w:lineRule="auto"/>
      </w:pPr>
      <w:r>
        <w:separator/>
      </w:r>
    </w:p>
  </w:footnote>
  <w:footnote w:type="continuationSeparator" w:id="0">
    <w:p w:rsidR="00044184" w:rsidRDefault="0004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30D" w:rsidRPr="00435593" w:rsidRDefault="00C01DD4" w:rsidP="00ED130D">
    <w:pPr>
      <w:pStyle w:val="a3"/>
      <w:jc w:val="center"/>
      <w:rPr>
        <w:rFonts w:cstheme="minorHAnsi"/>
        <w:b/>
        <w:bCs/>
        <w:sz w:val="32"/>
        <w:szCs w:val="32"/>
        <w:rtl/>
      </w:rPr>
    </w:pPr>
    <w:r w:rsidRPr="00435593">
      <w:rPr>
        <w:rFonts w:cstheme="minorHAnsi"/>
        <w:b/>
        <w:bCs/>
        <w:noProof/>
        <w:sz w:val="32"/>
        <w:szCs w:val="32"/>
        <w:u w:val="single"/>
        <w:rtl/>
      </w:rPr>
      <w:drawing>
        <wp:anchor distT="0" distB="0" distL="114300" distR="114300" simplePos="0" relativeHeight="251658240" behindDoc="1" locked="0" layoutInCell="1" allowOverlap="1">
          <wp:simplePos x="0" y="0"/>
          <wp:positionH relativeFrom="column">
            <wp:posOffset>5086350</wp:posOffset>
          </wp:positionH>
          <wp:positionV relativeFrom="paragraph">
            <wp:posOffset>-401955</wp:posOffset>
          </wp:positionV>
          <wp:extent cx="806450" cy="1218565"/>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82801" name="סמל מערך החינוך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50" cy="1218565"/>
                  </a:xfrm>
                  <a:prstGeom prst="rect">
                    <a:avLst/>
                  </a:prstGeom>
                </pic:spPr>
              </pic:pic>
            </a:graphicData>
          </a:graphic>
          <wp14:sizeRelH relativeFrom="page">
            <wp14:pctWidth>0</wp14:pctWidth>
          </wp14:sizeRelH>
          <wp14:sizeRelV relativeFrom="page">
            <wp14:pctHeight>0</wp14:pctHeight>
          </wp14:sizeRelV>
        </wp:anchor>
      </w:drawing>
    </w:r>
    <w:r w:rsidRPr="00435593">
      <w:rPr>
        <w:rFonts w:cstheme="minorHAnsi"/>
        <w:b/>
        <w:bCs/>
        <w:noProof/>
        <w:sz w:val="32"/>
        <w:szCs w:val="32"/>
        <w:rtl/>
      </w:rPr>
      <w:drawing>
        <wp:anchor distT="0" distB="0" distL="114300" distR="114300" simplePos="0" relativeHeight="251659264" behindDoc="0" locked="0" layoutInCell="1" allowOverlap="1">
          <wp:simplePos x="0" y="0"/>
          <wp:positionH relativeFrom="column">
            <wp:posOffset>-876300</wp:posOffset>
          </wp:positionH>
          <wp:positionV relativeFrom="paragraph">
            <wp:posOffset>-363855</wp:posOffset>
          </wp:positionV>
          <wp:extent cx="1294765" cy="1295400"/>
          <wp:effectExtent l="0" t="0" r="0" b="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70309" name="תג חיל החינוך.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4765" cy="1295400"/>
                  </a:xfrm>
                  <a:prstGeom prst="rect">
                    <a:avLst/>
                  </a:prstGeom>
                </pic:spPr>
              </pic:pic>
            </a:graphicData>
          </a:graphic>
          <wp14:sizeRelH relativeFrom="page">
            <wp14:pctWidth>0</wp14:pctWidth>
          </wp14:sizeRelH>
          <wp14:sizeRelV relativeFrom="page">
            <wp14:pctHeight>0</wp14:pctHeight>
          </wp14:sizeRelV>
        </wp:anchor>
      </w:drawing>
    </w:r>
    <w:r w:rsidRPr="00435593">
      <w:rPr>
        <w:rFonts w:cstheme="minorHAnsi"/>
        <w:b/>
        <w:bCs/>
        <w:sz w:val="32"/>
        <w:szCs w:val="32"/>
        <w:u w:val="single"/>
        <w:rtl/>
      </w:rPr>
      <w:t>מפקדת  קצין  החינוך  והנוער  הראשי</w:t>
    </w:r>
    <w:r w:rsidRPr="00435593">
      <w:rPr>
        <w:rFonts w:cstheme="minorHAnsi"/>
        <w:b/>
        <w:bCs/>
        <w:sz w:val="32"/>
        <w:szCs w:val="32"/>
        <w:rtl/>
      </w:rPr>
      <w:br/>
      <w:t>מערך  החינוך  –  ענף  תורה  והסברה</w:t>
    </w:r>
    <w:r w:rsidRPr="00435593">
      <w:rPr>
        <w:rFonts w:cstheme="minorHAnsi"/>
        <w:b/>
        <w:bCs/>
        <w:sz w:val="32"/>
        <w:szCs w:val="32"/>
        <w:rtl/>
      </w:rPr>
      <w:br/>
      <w:t>מדור       מורשת       וידיעת      הארץ</w:t>
    </w:r>
  </w:p>
  <w:p w:rsidR="00ED130D" w:rsidRDefault="00ED130D" w:rsidP="00ED130D">
    <w:pPr>
      <w:pStyle w:val="a3"/>
      <w:jc w:val="center"/>
      <w:rPr>
        <w:b/>
        <w:bCs/>
        <w:rtl/>
      </w:rPr>
    </w:pPr>
  </w:p>
  <w:p w:rsidR="00ED130D" w:rsidRPr="00ED130D" w:rsidRDefault="00ED130D" w:rsidP="00ED130D">
    <w:pPr>
      <w:pStyle w:val="a3"/>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4E"/>
    <w:rsid w:val="00025F4E"/>
    <w:rsid w:val="00044184"/>
    <w:rsid w:val="000D79C5"/>
    <w:rsid w:val="00435593"/>
    <w:rsid w:val="00480DB0"/>
    <w:rsid w:val="005C7362"/>
    <w:rsid w:val="005D01BC"/>
    <w:rsid w:val="006E5917"/>
    <w:rsid w:val="0074345C"/>
    <w:rsid w:val="009F0A4F"/>
    <w:rsid w:val="00A901EF"/>
    <w:rsid w:val="00C01DD4"/>
    <w:rsid w:val="00E55769"/>
    <w:rsid w:val="00ED13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F994"/>
  <w15:chartTrackingRefBased/>
  <w15:docId w15:val="{70B23EC5-C207-4B60-B18C-95167355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30D"/>
    <w:pPr>
      <w:tabs>
        <w:tab w:val="center" w:pos="4153"/>
        <w:tab w:val="right" w:pos="8306"/>
      </w:tabs>
      <w:spacing w:after="0" w:line="240" w:lineRule="auto"/>
    </w:pPr>
  </w:style>
  <w:style w:type="character" w:customStyle="1" w:styleId="a4">
    <w:name w:val="כותרת עליונה תו"/>
    <w:basedOn w:val="a0"/>
    <w:link w:val="a3"/>
    <w:uiPriority w:val="99"/>
    <w:rsid w:val="00ED130D"/>
  </w:style>
  <w:style w:type="paragraph" w:styleId="a5">
    <w:name w:val="footer"/>
    <w:basedOn w:val="a"/>
    <w:link w:val="a6"/>
    <w:uiPriority w:val="99"/>
    <w:unhideWhenUsed/>
    <w:rsid w:val="00ED130D"/>
    <w:pPr>
      <w:tabs>
        <w:tab w:val="center" w:pos="4153"/>
        <w:tab w:val="right" w:pos="8306"/>
      </w:tabs>
      <w:spacing w:after="0" w:line="240" w:lineRule="auto"/>
    </w:pPr>
  </w:style>
  <w:style w:type="character" w:customStyle="1" w:styleId="a6">
    <w:name w:val="כותרת תחתונה תו"/>
    <w:basedOn w:val="a0"/>
    <w:link w:val="a5"/>
    <w:uiPriority w:val="99"/>
    <w:rsid w:val="00ED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2216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hengo</dc:creator>
  <cp:lastModifiedBy>hengo</cp:lastModifiedBy>
  <cp:revision>3</cp:revision>
  <dcterms:created xsi:type="dcterms:W3CDTF">2024-10-27T11:02:00Z</dcterms:created>
  <dcterms:modified xsi:type="dcterms:W3CDTF">2024-10-27T11:15:00Z</dcterms:modified>
</cp:coreProperties>
</file>