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34B4" w14:textId="77777777" w:rsidR="003B5FE4" w:rsidRPr="00126E94" w:rsidRDefault="003B5FE4" w:rsidP="001A2C30">
      <w:pPr>
        <w:tabs>
          <w:tab w:val="right" w:pos="6328"/>
        </w:tabs>
        <w:ind w:left="2500" w:right="1985"/>
        <w:rPr>
          <w:rtl/>
        </w:rPr>
      </w:pPr>
      <w:bookmarkStart w:id="0" w:name="_Hlk149821736"/>
      <w:bookmarkStart w:id="1" w:name="_Hlk149824479"/>
      <w:r w:rsidRPr="009A19A1">
        <w:rPr>
          <w:noProof/>
        </w:rPr>
        <w:drawing>
          <wp:inline distT="0" distB="0" distL="0" distR="0" wp14:anchorId="41443346" wp14:editId="706FE6E2">
            <wp:extent cx="866775" cy="790575"/>
            <wp:effectExtent l="0" t="0" r="0" b="0"/>
            <wp:docPr id="6"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9A19A1">
        <w:rPr>
          <w:noProof/>
        </w:rPr>
        <w:drawing>
          <wp:inline distT="0" distB="0" distL="0" distR="0" wp14:anchorId="0FF95FDE" wp14:editId="6CDF938C">
            <wp:extent cx="581025" cy="789940"/>
            <wp:effectExtent l="0" t="0" r="0" b="0"/>
            <wp:docPr id="5"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187AD7C0" w14:textId="77777777" w:rsidR="003B5FE4" w:rsidRPr="00FD2DDA" w:rsidRDefault="003B5FE4" w:rsidP="001A2C30">
      <w:pPr>
        <w:bidi w:val="0"/>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4CB2C8FB" w14:textId="77777777" w:rsidR="003B5FE4" w:rsidRPr="003B5FE4" w:rsidRDefault="003B5FE4" w:rsidP="001A2C30">
      <w:pPr>
        <w:spacing w:before="120"/>
        <w:jc w:val="both"/>
        <w:rPr>
          <w:rFonts w:cs="David"/>
          <w:b/>
          <w:bCs/>
          <w:sz w:val="10"/>
          <w:szCs w:val="10"/>
          <w:rtl/>
        </w:rPr>
      </w:pPr>
      <w:r w:rsidRPr="00FD2DDA">
        <w:rPr>
          <w:rFonts w:ascii="David" w:hAnsi="David" w:cs="David" w:hint="cs"/>
          <w:sz w:val="28"/>
          <w:szCs w:val="28"/>
          <w:rtl/>
        </w:rPr>
        <w:t>בפני:</w:t>
      </w:r>
      <w:r w:rsidRPr="005E2B5F">
        <w:rPr>
          <w:rFonts w:cs="David"/>
          <w:sz w:val="28"/>
          <w:szCs w:val="28"/>
          <w:rtl/>
        </w:rPr>
        <w:br/>
      </w:r>
    </w:p>
    <w:p w14:paraId="76D97DBE" w14:textId="1608694A" w:rsidR="003B5FE4" w:rsidRPr="003B5FE4" w:rsidRDefault="003B5FE4" w:rsidP="001A2C30">
      <w:pPr>
        <w:spacing w:before="120"/>
        <w:jc w:val="center"/>
        <w:rPr>
          <w:rFonts w:ascii="David" w:hAnsi="David" w:cs="David"/>
          <w:sz w:val="28"/>
          <w:szCs w:val="28"/>
          <w:rtl/>
        </w:rPr>
      </w:pPr>
      <w:r w:rsidRPr="005E2B5F">
        <w:rPr>
          <w:rFonts w:cs="David" w:hint="cs"/>
          <w:b/>
          <w:bCs/>
          <w:sz w:val="28"/>
          <w:szCs w:val="28"/>
          <w:rtl/>
        </w:rPr>
        <w:t>אל"ם</w:t>
      </w:r>
      <w:r>
        <w:rPr>
          <w:rFonts w:cs="David" w:hint="cs"/>
          <w:b/>
          <w:bCs/>
          <w:sz w:val="28"/>
          <w:szCs w:val="28"/>
          <w:rtl/>
        </w:rPr>
        <w:t xml:space="preserve"> </w:t>
      </w:r>
      <w:r w:rsidRPr="005E2B5F">
        <w:rPr>
          <w:rFonts w:cs="David" w:hint="cs"/>
          <w:b/>
          <w:bCs/>
          <w:sz w:val="28"/>
          <w:szCs w:val="28"/>
          <w:rtl/>
        </w:rPr>
        <w:t>מאיה</w:t>
      </w:r>
      <w:r>
        <w:rPr>
          <w:rFonts w:cs="David" w:hint="cs"/>
          <w:b/>
          <w:bCs/>
          <w:sz w:val="28"/>
          <w:szCs w:val="28"/>
          <w:rtl/>
        </w:rPr>
        <w:t xml:space="preserve"> </w:t>
      </w:r>
      <w:r w:rsidRPr="005E2B5F">
        <w:rPr>
          <w:rFonts w:cs="David" w:hint="cs"/>
          <w:b/>
          <w:bCs/>
          <w:sz w:val="28"/>
          <w:szCs w:val="28"/>
          <w:rtl/>
        </w:rPr>
        <w:t>גולדשמידט</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Pr>
          <w:rFonts w:cs="David" w:hint="cs"/>
          <w:b/>
          <w:bCs/>
          <w:sz w:val="28"/>
          <w:szCs w:val="28"/>
          <w:rtl/>
        </w:rPr>
        <w:t xml:space="preserve">  </w:t>
      </w:r>
      <w:r>
        <w:rPr>
          <w:rFonts w:cs="David" w:hint="cs"/>
          <w:sz w:val="28"/>
          <w:szCs w:val="28"/>
          <w:rtl/>
        </w:rPr>
        <w:t>שופטת</w:t>
      </w:r>
    </w:p>
    <w:p w14:paraId="10B9DFC2" w14:textId="77777777" w:rsidR="003B5FE4" w:rsidRPr="00AD7F34" w:rsidRDefault="003B5FE4" w:rsidP="001A2C30">
      <w:pPr>
        <w:spacing w:before="120"/>
        <w:ind w:left="2174" w:right="2268"/>
        <w:jc w:val="both"/>
        <w:rPr>
          <w:rFonts w:cs="David"/>
          <w:b/>
          <w:bCs/>
          <w:sz w:val="6"/>
          <w:szCs w:val="6"/>
          <w:rtl/>
        </w:rPr>
      </w:pPr>
    </w:p>
    <w:p w14:paraId="482FB871" w14:textId="483C2CFE" w:rsidR="003B5FE4" w:rsidRDefault="003B5FE4" w:rsidP="001A2C30">
      <w:pPr>
        <w:rPr>
          <w:rFonts w:ascii="David" w:hAnsi="David" w:cs="David"/>
          <w:sz w:val="28"/>
          <w:szCs w:val="28"/>
          <w:rtl/>
        </w:rPr>
      </w:pPr>
      <w:r w:rsidRPr="00FD2DDA">
        <w:rPr>
          <w:rFonts w:ascii="David" w:hAnsi="David" w:cs="David" w:hint="cs"/>
          <w:sz w:val="28"/>
          <w:szCs w:val="28"/>
          <w:rtl/>
        </w:rPr>
        <w:t>בעניין:</w:t>
      </w:r>
    </w:p>
    <w:p w14:paraId="69C397F9" w14:textId="77777777" w:rsidR="003B5FE4" w:rsidRPr="00AD7F34" w:rsidRDefault="003B5FE4" w:rsidP="001A2C30">
      <w:pPr>
        <w:rPr>
          <w:rFonts w:ascii="David" w:hAnsi="David" w:cs="David"/>
          <w:sz w:val="10"/>
          <w:szCs w:val="10"/>
          <w:rtl/>
        </w:rPr>
      </w:pPr>
    </w:p>
    <w:p w14:paraId="0FAA0BE5" w14:textId="5ADFEDEC" w:rsidR="003B5FE4" w:rsidRDefault="00A2749F" w:rsidP="001A2C30">
      <w:pPr>
        <w:spacing w:after="120"/>
        <w:jc w:val="center"/>
        <w:rPr>
          <w:rFonts w:ascii="Times New Roman" w:eastAsia="Times New Roman" w:hAnsi="Times New Roman" w:cs="David"/>
          <w:b/>
          <w:bCs/>
          <w:sz w:val="32"/>
          <w:szCs w:val="28"/>
          <w:rtl/>
        </w:rPr>
      </w:pPr>
      <w:r w:rsidRPr="00A2749F">
        <w:rPr>
          <w:rFonts w:ascii="Times New Roman" w:eastAsia="Times New Roman" w:hAnsi="Times New Roman" w:cs="David"/>
          <w:b/>
          <w:bCs/>
          <w:sz w:val="28"/>
          <w:szCs w:val="24"/>
        </w:rPr>
        <w:t>X</w:t>
      </w:r>
      <w:r w:rsidR="003B5FE4" w:rsidRPr="00924749">
        <w:rPr>
          <w:rFonts w:ascii="Times New Roman" w:eastAsia="Times New Roman" w:hAnsi="Times New Roman" w:cs="David" w:hint="cs"/>
          <w:b/>
          <w:bCs/>
          <w:sz w:val="32"/>
          <w:szCs w:val="28"/>
          <w:rtl/>
        </w:rPr>
        <w:t>/</w:t>
      </w:r>
      <w:r w:rsidR="00B71C66" w:rsidRPr="00B71C66">
        <w:rPr>
          <w:rFonts w:ascii="Times New Roman" w:eastAsia="Times New Roman" w:hAnsi="Times New Roman" w:cs="David"/>
          <w:b/>
          <w:bCs/>
          <w:sz w:val="28"/>
          <w:szCs w:val="24"/>
        </w:rPr>
        <w:t>XXXXXXXX</w:t>
      </w:r>
      <w:r w:rsidR="003B5FE4" w:rsidRPr="00B71C66">
        <w:rPr>
          <w:rFonts w:ascii="Times New Roman" w:eastAsia="Times New Roman" w:hAnsi="Times New Roman" w:cs="David" w:hint="cs"/>
          <w:b/>
          <w:bCs/>
          <w:sz w:val="28"/>
          <w:szCs w:val="24"/>
          <w:rtl/>
        </w:rPr>
        <w:t xml:space="preserve"> </w:t>
      </w:r>
      <w:r w:rsidR="003B5FE4">
        <w:rPr>
          <w:rFonts w:ascii="Times New Roman" w:eastAsia="Times New Roman" w:hAnsi="Times New Roman" w:cs="David" w:hint="cs"/>
          <w:b/>
          <w:bCs/>
          <w:sz w:val="32"/>
          <w:szCs w:val="28"/>
          <w:rtl/>
        </w:rPr>
        <w:t>סמ"ר</w:t>
      </w:r>
      <w:r w:rsidR="003B5FE4" w:rsidRPr="00924749">
        <w:rPr>
          <w:rFonts w:ascii="Times New Roman" w:eastAsia="Times New Roman" w:hAnsi="Times New Roman" w:cs="David" w:hint="cs"/>
          <w:b/>
          <w:bCs/>
          <w:sz w:val="32"/>
          <w:szCs w:val="28"/>
          <w:rtl/>
        </w:rPr>
        <w:t xml:space="preserve"> </w:t>
      </w:r>
      <w:r w:rsidR="003B5FE4">
        <w:rPr>
          <w:rFonts w:ascii="Times New Roman" w:eastAsia="Times New Roman" w:hAnsi="Times New Roman" w:cs="David" w:hint="cs"/>
          <w:b/>
          <w:bCs/>
          <w:sz w:val="32"/>
          <w:szCs w:val="28"/>
          <w:rtl/>
        </w:rPr>
        <w:t>י</w:t>
      </w:r>
      <w:r w:rsidR="005D0579">
        <w:rPr>
          <w:rFonts w:ascii="Times New Roman" w:eastAsia="Times New Roman" w:hAnsi="Times New Roman" w:cs="David" w:hint="cs"/>
          <w:b/>
          <w:bCs/>
          <w:sz w:val="32"/>
          <w:szCs w:val="28"/>
          <w:rtl/>
        </w:rPr>
        <w:t>'</w:t>
      </w:r>
      <w:r w:rsidR="003B5FE4" w:rsidRPr="00924749">
        <w:rPr>
          <w:rFonts w:ascii="Times New Roman" w:eastAsia="Times New Roman" w:hAnsi="Times New Roman" w:cs="David" w:hint="cs"/>
          <w:b/>
          <w:bCs/>
          <w:sz w:val="32"/>
          <w:szCs w:val="28"/>
          <w:rtl/>
        </w:rPr>
        <w:t xml:space="preserve"> </w:t>
      </w:r>
      <w:r w:rsidR="003B5FE4">
        <w:rPr>
          <w:rFonts w:ascii="Times New Roman" w:eastAsia="Times New Roman" w:hAnsi="Times New Roman" w:cs="David" w:hint="cs"/>
          <w:b/>
          <w:bCs/>
          <w:sz w:val="32"/>
          <w:szCs w:val="28"/>
          <w:rtl/>
        </w:rPr>
        <w:t>א</w:t>
      </w:r>
      <w:r w:rsidR="005D0579">
        <w:rPr>
          <w:rFonts w:ascii="Times New Roman" w:eastAsia="Times New Roman" w:hAnsi="Times New Roman" w:cs="David" w:hint="cs"/>
          <w:b/>
          <w:bCs/>
          <w:sz w:val="32"/>
          <w:szCs w:val="28"/>
          <w:rtl/>
        </w:rPr>
        <w:t xml:space="preserve">' </w:t>
      </w:r>
      <w:r w:rsidR="003B5FE4" w:rsidRPr="00FD2DDA">
        <w:rPr>
          <w:rFonts w:ascii="David" w:hAnsi="David" w:cs="David" w:hint="cs"/>
          <w:b/>
          <w:bCs/>
          <w:sz w:val="28"/>
          <w:szCs w:val="28"/>
          <w:rtl/>
        </w:rPr>
        <w:t>–</w:t>
      </w:r>
      <w:r w:rsidR="003B5FE4" w:rsidRPr="00FD2DDA">
        <w:rPr>
          <w:rFonts w:ascii="David" w:hAnsi="David" w:cs="David" w:hint="cs"/>
          <w:sz w:val="28"/>
          <w:szCs w:val="28"/>
          <w:rtl/>
        </w:rPr>
        <w:t xml:space="preserve"> המ</w:t>
      </w:r>
      <w:r w:rsidR="003B5FE4">
        <w:rPr>
          <w:rFonts w:ascii="David" w:hAnsi="David" w:cs="David" w:hint="cs"/>
          <w:sz w:val="28"/>
          <w:szCs w:val="28"/>
          <w:rtl/>
        </w:rPr>
        <w:t>ערער</w:t>
      </w:r>
      <w:r w:rsidR="003B5FE4" w:rsidRPr="00FD2DDA">
        <w:rPr>
          <w:rFonts w:ascii="David" w:hAnsi="David" w:cs="David" w:hint="cs"/>
          <w:sz w:val="28"/>
          <w:szCs w:val="28"/>
          <w:rtl/>
        </w:rPr>
        <w:t xml:space="preserve"> (ע"י ב"כ,</w:t>
      </w:r>
      <w:r w:rsidR="003B5FE4">
        <w:rPr>
          <w:rFonts w:ascii="David" w:hAnsi="David" w:cs="David" w:hint="cs"/>
          <w:sz w:val="28"/>
          <w:szCs w:val="28"/>
          <w:rtl/>
        </w:rPr>
        <w:t xml:space="preserve"> </w:t>
      </w:r>
      <w:r w:rsidR="003E3218">
        <w:rPr>
          <w:rFonts w:ascii="David" w:hAnsi="David" w:cs="David" w:hint="cs"/>
          <w:sz w:val="28"/>
          <w:szCs w:val="28"/>
          <w:rtl/>
        </w:rPr>
        <w:t>עו"ד יעל תותחני</w:t>
      </w:r>
      <w:r w:rsidR="003B5FE4" w:rsidRPr="00FD2DDA">
        <w:rPr>
          <w:rFonts w:ascii="David" w:hAnsi="David" w:cs="David" w:hint="cs"/>
          <w:sz w:val="28"/>
          <w:szCs w:val="28"/>
          <w:rtl/>
        </w:rPr>
        <w:t>)</w:t>
      </w:r>
    </w:p>
    <w:p w14:paraId="0996FAE7" w14:textId="77777777" w:rsidR="003B5FE4" w:rsidRPr="00924749" w:rsidRDefault="003B5FE4" w:rsidP="001A2C30">
      <w:pPr>
        <w:jc w:val="center"/>
        <w:rPr>
          <w:rFonts w:ascii="David" w:hAnsi="David" w:cs="David"/>
          <w:sz w:val="20"/>
          <w:szCs w:val="20"/>
          <w:rtl/>
        </w:rPr>
      </w:pPr>
    </w:p>
    <w:p w14:paraId="002437EE" w14:textId="77777777" w:rsidR="003B5FE4" w:rsidRPr="00FD2DDA" w:rsidRDefault="003B5FE4" w:rsidP="001A2C30">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88247EF" w14:textId="70CA0413" w:rsidR="003B5FE4" w:rsidRPr="00FD2DDA" w:rsidRDefault="003B5FE4" w:rsidP="001A2C30">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שיב</w:t>
      </w:r>
      <w:r w:rsidRPr="00FD2DDA">
        <w:rPr>
          <w:rFonts w:ascii="David" w:hAnsi="David" w:cs="David" w:hint="cs"/>
          <w:sz w:val="28"/>
          <w:szCs w:val="28"/>
          <w:rtl/>
        </w:rPr>
        <w:t xml:space="preserve"> (ע"י ב"כ,</w:t>
      </w:r>
      <w:r>
        <w:rPr>
          <w:rFonts w:ascii="David" w:hAnsi="David" w:cs="David" w:hint="cs"/>
          <w:sz w:val="28"/>
          <w:szCs w:val="28"/>
          <w:rtl/>
        </w:rPr>
        <w:t xml:space="preserve"> </w:t>
      </w:r>
      <w:r w:rsidR="003E3218">
        <w:rPr>
          <w:rFonts w:ascii="David" w:hAnsi="David" w:cs="David" w:hint="cs"/>
          <w:sz w:val="28"/>
          <w:szCs w:val="28"/>
          <w:rtl/>
        </w:rPr>
        <w:t>רס"ן אילון גונן; סרן גל דבש</w:t>
      </w:r>
      <w:r w:rsidRPr="00FD2DDA">
        <w:rPr>
          <w:rFonts w:ascii="David" w:hAnsi="David" w:cs="David" w:hint="cs"/>
          <w:sz w:val="28"/>
          <w:szCs w:val="28"/>
          <w:rtl/>
        </w:rPr>
        <w:t>)</w:t>
      </w:r>
    </w:p>
    <w:p w14:paraId="090E3E39" w14:textId="77777777" w:rsidR="003B5FE4" w:rsidRPr="00924749" w:rsidRDefault="003B5FE4" w:rsidP="001A2C30">
      <w:pPr>
        <w:spacing w:after="120"/>
        <w:jc w:val="center"/>
        <w:rPr>
          <w:rFonts w:ascii="Times New Roman" w:eastAsia="Times New Roman" w:hAnsi="Times New Roman" w:cs="David"/>
          <w:b/>
          <w:bCs/>
          <w:sz w:val="32"/>
          <w:szCs w:val="28"/>
          <w:rtl/>
        </w:rPr>
      </w:pPr>
    </w:p>
    <w:p w14:paraId="0275BA83" w14:textId="77777777" w:rsidR="003B5FE4" w:rsidRPr="003E3218" w:rsidRDefault="003B5FE4" w:rsidP="001A2C30">
      <w:pPr>
        <w:spacing w:after="360"/>
        <w:rPr>
          <w:rFonts w:ascii="David" w:hAnsi="David" w:cs="David"/>
          <w:b/>
          <w:bCs/>
          <w:sz w:val="18"/>
          <w:szCs w:val="18"/>
          <w:u w:val="single"/>
          <w:rtl/>
        </w:rPr>
      </w:pPr>
    </w:p>
    <w:bookmarkEnd w:id="0"/>
    <w:bookmarkEnd w:id="1"/>
    <w:p w14:paraId="7980E571" w14:textId="714C8758" w:rsidR="003B5FE4" w:rsidRPr="00924749" w:rsidRDefault="003B5FE4" w:rsidP="001A2C30">
      <w:pPr>
        <w:spacing w:after="360"/>
        <w:jc w:val="both"/>
        <w:rPr>
          <w:rFonts w:ascii="David" w:hAnsi="David" w:cs="David"/>
          <w:sz w:val="28"/>
          <w:szCs w:val="28"/>
          <w:rtl/>
        </w:rPr>
      </w:pPr>
      <w:r w:rsidRPr="00EE22D0">
        <w:rPr>
          <w:rFonts w:ascii="David" w:hAnsi="David" w:cs="David" w:hint="cs"/>
          <w:sz w:val="28"/>
          <w:szCs w:val="28"/>
          <w:rtl/>
        </w:rPr>
        <w:t xml:space="preserve">ערעור על </w:t>
      </w:r>
      <w:r>
        <w:rPr>
          <w:rFonts w:ascii="David" w:hAnsi="David" w:cs="David" w:hint="cs"/>
          <w:sz w:val="28"/>
          <w:szCs w:val="28"/>
          <w:rtl/>
        </w:rPr>
        <w:t>החלטה</w:t>
      </w:r>
      <w:r w:rsidRPr="00EE22D0">
        <w:rPr>
          <w:rFonts w:ascii="David" w:hAnsi="David" w:cs="David" w:hint="cs"/>
          <w:sz w:val="28"/>
          <w:szCs w:val="28"/>
          <w:rtl/>
        </w:rPr>
        <w:t xml:space="preserve"> של בית הדין הצבאי המחוזי במחוז שיפוטי </w:t>
      </w:r>
      <w:r>
        <w:rPr>
          <w:rFonts w:ascii="David" w:hAnsi="David" w:cs="David" w:hint="cs"/>
          <w:sz w:val="28"/>
          <w:szCs w:val="28"/>
          <w:rtl/>
        </w:rPr>
        <w:t>המרכז</w:t>
      </w:r>
      <w:r w:rsidRPr="00EE22D0">
        <w:rPr>
          <w:rFonts w:ascii="David" w:hAnsi="David" w:cs="David" w:hint="cs"/>
          <w:sz w:val="28"/>
          <w:szCs w:val="28"/>
          <w:rtl/>
        </w:rPr>
        <w:t xml:space="preserve"> שניתן בתיק </w:t>
      </w:r>
      <w:r>
        <w:rPr>
          <w:rFonts w:ascii="David" w:hAnsi="David" w:cs="David" w:hint="cs"/>
          <w:sz w:val="28"/>
          <w:szCs w:val="28"/>
          <w:rtl/>
        </w:rPr>
        <w:t>מרכז</w:t>
      </w:r>
      <w:r w:rsidRPr="00EE22D0">
        <w:rPr>
          <w:rFonts w:ascii="David" w:hAnsi="David" w:cs="David" w:hint="cs"/>
          <w:sz w:val="28"/>
          <w:szCs w:val="28"/>
          <w:rtl/>
        </w:rPr>
        <w:t xml:space="preserve"> </w:t>
      </w:r>
      <w:proofErr w:type="spellStart"/>
      <w:r>
        <w:rPr>
          <w:rFonts w:ascii="David" w:hAnsi="David" w:cs="David" w:hint="cs"/>
          <w:sz w:val="28"/>
          <w:szCs w:val="28"/>
          <w:rtl/>
        </w:rPr>
        <w:t>מ"ת</w:t>
      </w:r>
      <w:proofErr w:type="spellEnd"/>
      <w:r w:rsidRPr="00EE22D0">
        <w:rPr>
          <w:rFonts w:ascii="David" w:hAnsi="David" w:cs="David" w:hint="cs"/>
          <w:sz w:val="28"/>
          <w:szCs w:val="28"/>
          <w:rtl/>
        </w:rPr>
        <w:t xml:space="preserve"> </w:t>
      </w:r>
      <w:r>
        <w:rPr>
          <w:rFonts w:ascii="David" w:hAnsi="David" w:cs="David" w:hint="cs"/>
          <w:sz w:val="28"/>
          <w:szCs w:val="28"/>
          <w:rtl/>
        </w:rPr>
        <w:t>4805-07-25</w:t>
      </w:r>
      <w:r w:rsidRPr="00EE22D0">
        <w:rPr>
          <w:rFonts w:ascii="David" w:hAnsi="David" w:cs="David" w:hint="cs"/>
          <w:sz w:val="28"/>
          <w:szCs w:val="28"/>
          <w:rtl/>
        </w:rPr>
        <w:t xml:space="preserve"> (</w:t>
      </w:r>
      <w:r>
        <w:rPr>
          <w:rFonts w:ascii="David" w:hAnsi="David" w:cs="David" w:hint="cs"/>
          <w:sz w:val="28"/>
          <w:szCs w:val="28"/>
          <w:rtl/>
        </w:rPr>
        <w:t>סא"ל שאול ארבל</w:t>
      </w:r>
      <w:r w:rsidR="003E3218">
        <w:rPr>
          <w:rFonts w:ascii="David" w:hAnsi="David" w:cs="David" w:hint="cs"/>
          <w:sz w:val="28"/>
          <w:szCs w:val="28"/>
          <w:rtl/>
        </w:rPr>
        <w:t xml:space="preserve"> </w:t>
      </w:r>
      <w:r w:rsidR="003E3218">
        <w:rPr>
          <w:rFonts w:ascii="David" w:hAnsi="David" w:cs="David"/>
          <w:sz w:val="28"/>
          <w:szCs w:val="28"/>
          <w:rtl/>
        </w:rPr>
        <w:t>–</w:t>
      </w:r>
      <w:r w:rsidR="003E3218">
        <w:rPr>
          <w:rFonts w:ascii="David" w:hAnsi="David" w:cs="David" w:hint="cs"/>
          <w:sz w:val="28"/>
          <w:szCs w:val="28"/>
          <w:rtl/>
        </w:rPr>
        <w:t xml:space="preserve"> שופט</w:t>
      </w:r>
      <w:r w:rsidRPr="00EE22D0">
        <w:rPr>
          <w:rFonts w:ascii="David" w:hAnsi="David" w:cs="David" w:hint="cs"/>
          <w:sz w:val="28"/>
          <w:szCs w:val="28"/>
          <w:rtl/>
        </w:rPr>
        <w:t xml:space="preserve">) ביום </w:t>
      </w:r>
      <w:r w:rsidR="003E3218">
        <w:rPr>
          <w:rFonts w:ascii="David" w:hAnsi="David" w:cs="David" w:hint="cs"/>
          <w:sz w:val="28"/>
          <w:szCs w:val="28"/>
          <w:rtl/>
        </w:rPr>
        <w:t>8.3.2026</w:t>
      </w:r>
      <w:r w:rsidRPr="00EE22D0">
        <w:rPr>
          <w:rFonts w:ascii="David" w:hAnsi="David" w:cs="David" w:hint="cs"/>
          <w:sz w:val="28"/>
          <w:szCs w:val="28"/>
          <w:rtl/>
        </w:rPr>
        <w:t xml:space="preserve">. </w:t>
      </w:r>
      <w:r w:rsidR="003E3218">
        <w:rPr>
          <w:rFonts w:ascii="David" w:hAnsi="David" w:cs="David" w:hint="cs"/>
          <w:sz w:val="28"/>
          <w:szCs w:val="28"/>
          <w:rtl/>
        </w:rPr>
        <w:t>הערעור התקבל</w:t>
      </w:r>
      <w:r w:rsidRPr="00EE22D0">
        <w:rPr>
          <w:rFonts w:ascii="David" w:hAnsi="David" w:cs="David" w:hint="cs"/>
          <w:sz w:val="28"/>
          <w:szCs w:val="28"/>
          <w:rtl/>
        </w:rPr>
        <w:t>.</w:t>
      </w:r>
    </w:p>
    <w:p w14:paraId="60EF1FA5" w14:textId="53719A60" w:rsidR="003B5FE4" w:rsidRPr="00E608CB" w:rsidRDefault="003B5FE4" w:rsidP="001A2C30">
      <w:pPr>
        <w:pStyle w:val="ListParagraph"/>
        <w:ind w:left="0"/>
        <w:jc w:val="center"/>
        <w:rPr>
          <w:rFonts w:ascii="David" w:hAnsi="David" w:cs="David"/>
          <w:b/>
          <w:bCs/>
          <w:sz w:val="28"/>
          <w:szCs w:val="28"/>
          <w:u w:val="single"/>
        </w:rPr>
      </w:pPr>
      <w:r>
        <w:rPr>
          <w:rFonts w:ascii="David" w:hAnsi="David" w:cs="David" w:hint="cs"/>
          <w:b/>
          <w:bCs/>
          <w:sz w:val="28"/>
          <w:szCs w:val="28"/>
          <w:u w:val="single"/>
          <w:rtl/>
        </w:rPr>
        <w:t>ה ח ל ט ה</w:t>
      </w:r>
      <w:r w:rsidRPr="00E608CB">
        <w:rPr>
          <w:rFonts w:ascii="David" w:hAnsi="David" w:cs="David"/>
          <w:b/>
          <w:bCs/>
          <w:sz w:val="28"/>
          <w:szCs w:val="28"/>
          <w:u w:val="single"/>
          <w:rtl/>
        </w:rPr>
        <w:t xml:space="preserve"> </w:t>
      </w:r>
    </w:p>
    <w:p w14:paraId="509DEB76" w14:textId="77777777" w:rsidR="003B5FE4" w:rsidRPr="00E608CB" w:rsidRDefault="003B5FE4" w:rsidP="001A2C30">
      <w:pPr>
        <w:pStyle w:val="ListParagraph"/>
        <w:ind w:left="0"/>
        <w:jc w:val="both"/>
        <w:rPr>
          <w:rFonts w:ascii="David" w:hAnsi="David" w:cs="David"/>
          <w:sz w:val="28"/>
          <w:szCs w:val="28"/>
        </w:rPr>
      </w:pPr>
    </w:p>
    <w:p w14:paraId="2F70AFE9" w14:textId="7D9B09DE"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sz w:val="28"/>
          <w:szCs w:val="28"/>
        </w:rPr>
      </w:pPr>
      <w:r w:rsidRPr="003B5FE4">
        <w:rPr>
          <w:rFonts w:ascii="David" w:hAnsi="David" w:cs="David"/>
          <w:sz w:val="28"/>
          <w:szCs w:val="28"/>
          <w:rtl/>
        </w:rPr>
        <w:t>כנגד ה</w:t>
      </w:r>
      <w:r w:rsidRPr="003B5FE4">
        <w:rPr>
          <w:rFonts w:ascii="David" w:hAnsi="David" w:cs="David" w:hint="cs"/>
          <w:sz w:val="28"/>
          <w:szCs w:val="28"/>
          <w:rtl/>
        </w:rPr>
        <w:t>מערער, סמ"ר י</w:t>
      </w:r>
      <w:r w:rsidR="005D0579">
        <w:rPr>
          <w:rFonts w:ascii="David" w:hAnsi="David" w:cs="David" w:hint="cs"/>
          <w:sz w:val="28"/>
          <w:szCs w:val="28"/>
          <w:rtl/>
        </w:rPr>
        <w:t>'</w:t>
      </w:r>
      <w:r w:rsidRPr="003B5FE4">
        <w:rPr>
          <w:rFonts w:ascii="David" w:hAnsi="David" w:cs="David" w:hint="cs"/>
          <w:sz w:val="28"/>
          <w:szCs w:val="28"/>
          <w:rtl/>
        </w:rPr>
        <w:t xml:space="preserve"> א</w:t>
      </w:r>
      <w:r w:rsidR="005D0579">
        <w:rPr>
          <w:rFonts w:ascii="David" w:hAnsi="David" w:cs="David" w:hint="cs"/>
          <w:sz w:val="28"/>
          <w:szCs w:val="28"/>
          <w:rtl/>
        </w:rPr>
        <w:t>'</w:t>
      </w:r>
      <w:r w:rsidRPr="003B5FE4">
        <w:rPr>
          <w:rFonts w:ascii="David" w:hAnsi="David" w:cs="David" w:hint="cs"/>
          <w:sz w:val="28"/>
          <w:szCs w:val="28"/>
          <w:rtl/>
        </w:rPr>
        <w:t>, הוגש ביום 16 ביולי 2025 כתב אישום המייחס לו שתי עבירות של אינוס, לפי סעיף 345(א)(1) לחוק העונשין, תשל"ז - 1977 ועבירה של התנהגות שאינה הולמת, לפי סעיף 130 לחוק השיפוט הצבאי, תשט"ו -</w:t>
      </w:r>
      <w:r w:rsidR="00C649E1">
        <w:rPr>
          <w:rFonts w:ascii="David" w:hAnsi="David" w:cs="David" w:hint="cs"/>
          <w:sz w:val="28"/>
          <w:szCs w:val="28"/>
          <w:rtl/>
        </w:rPr>
        <w:t xml:space="preserve"> </w:t>
      </w:r>
      <w:r w:rsidRPr="003B5FE4">
        <w:rPr>
          <w:rFonts w:ascii="David" w:hAnsi="David" w:cs="David" w:hint="cs"/>
          <w:sz w:val="28"/>
          <w:szCs w:val="28"/>
          <w:rtl/>
        </w:rPr>
        <w:t xml:space="preserve">1955 (כתב האישום תוקן בהמשך, ביום 27 באוקטובר 2025). עניינו של כתב האישום באירוע מיום 23 באפריל 2025, אז לפי הנטען ביצע המערער עבירות אינוס בחיילת שאותה הכיר זמן קצר קודם לכן, בעת ששירתו בקריית ההדרכה ("עיר </w:t>
      </w:r>
      <w:proofErr w:type="spellStart"/>
      <w:r w:rsidRPr="003B5FE4">
        <w:rPr>
          <w:rFonts w:ascii="David" w:hAnsi="David" w:cs="David" w:hint="cs"/>
          <w:sz w:val="28"/>
          <w:szCs w:val="28"/>
          <w:rtl/>
        </w:rPr>
        <w:t>הבה"דים</w:t>
      </w:r>
      <w:proofErr w:type="spellEnd"/>
      <w:r w:rsidRPr="003B5FE4">
        <w:rPr>
          <w:rFonts w:ascii="David" w:hAnsi="David" w:cs="David" w:hint="cs"/>
          <w:sz w:val="28"/>
          <w:szCs w:val="28"/>
          <w:rtl/>
        </w:rPr>
        <w:t xml:space="preserve">"). המערער נעצר עד לתום ההליכים המשפטיים בעניינו, בהסכמת ההגנה, וכפר באשמה. בתיק הושלמה פרשת ההוכחות והצדדים עתידים להציג את סיכומיהם בקרוב. </w:t>
      </w:r>
    </w:p>
    <w:p w14:paraId="1119426F" w14:textId="77777777"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sz w:val="28"/>
          <w:szCs w:val="28"/>
        </w:rPr>
      </w:pPr>
      <w:r w:rsidRPr="003B5FE4">
        <w:rPr>
          <w:rFonts w:ascii="David" w:hAnsi="David" w:cs="David" w:hint="cs"/>
          <w:sz w:val="28"/>
          <w:szCs w:val="28"/>
          <w:rtl/>
        </w:rPr>
        <w:t xml:space="preserve">לדאבון הלב ביום 3 במארס 2026 נפטר דודו של המערער. עוד קודם לפטירתו, בתקופה שבה שהה הדוד באשפוז במסגרת "הוספיס", נעתר בית הדין קמא, על דעת גורמי הכליאה, לבקשת המערער לחופשה קצרה בת מספר שעות כדי לבקר את הדוד, תוך קביעת תנאים מגבילים שונים. </w:t>
      </w:r>
    </w:p>
    <w:p w14:paraId="11164610" w14:textId="77777777"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b/>
          <w:bCs/>
          <w:sz w:val="28"/>
          <w:szCs w:val="28"/>
        </w:rPr>
      </w:pPr>
      <w:r w:rsidRPr="003B5FE4">
        <w:rPr>
          <w:rFonts w:ascii="David" w:hAnsi="David" w:cs="David" w:hint="cs"/>
          <w:sz w:val="28"/>
          <w:szCs w:val="28"/>
          <w:rtl/>
        </w:rPr>
        <w:lastRenderedPageBreak/>
        <w:t xml:space="preserve">לאחר פטירת הדוד, עתרה ההגנה לאפשר למערער לשהות לצד </w:t>
      </w:r>
      <w:proofErr w:type="spellStart"/>
      <w:r w:rsidRPr="003B5FE4">
        <w:rPr>
          <w:rFonts w:ascii="David" w:hAnsi="David" w:cs="David" w:hint="cs"/>
          <w:sz w:val="28"/>
          <w:szCs w:val="28"/>
          <w:rtl/>
        </w:rPr>
        <w:t>אמו</w:t>
      </w:r>
      <w:proofErr w:type="spellEnd"/>
      <w:r w:rsidRPr="003B5FE4">
        <w:rPr>
          <w:rFonts w:ascii="David" w:hAnsi="David" w:cs="David" w:hint="cs"/>
          <w:sz w:val="28"/>
          <w:szCs w:val="28"/>
          <w:rtl/>
        </w:rPr>
        <w:t xml:space="preserve"> במהלך תקופת "השבעה". מפקד מתקן הכליאה התנגד לבקשה. בית הדין קמא המליץ למפקד מתקן הכליאה לשוב ולשקול את עמדתו, אולם בחוות דעת שהונחה בפני בית הדין, שב מפקד מתקן הכליאה על התנגדותו למתן חופשה למערער. בואר כי עניינו של המערער אינו עומד באף אחד מן התבחינים המצדיקים חופשה, בהתאם להוראת קמצ"ר 3.110 "חופשות מיוחדות לכלואים בבסיסי הכליאה", ואף אינו נופל בגדר אחד המקרים החריגים שנקבעו בהוראה, שאחד מהם עניינו מקרה של פטירת בן משפחה מקרבה ראשונה. צוין עוד כי המערער עצור לאחר שהוגש נגדו כתב אישום בגין עבירה חמורה, ומשפטו טרם הסתיים; למערער אושרה בעבר חופשה כדי לבקר את דודו (ביום 27 בפברואר 2026); ומתן חופשה כעת, באופן חריג, פוגע בערך השוויון אל מול כלואים נוספים. </w:t>
      </w:r>
    </w:p>
    <w:p w14:paraId="1E8A8DF6" w14:textId="77777777"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b/>
          <w:bCs/>
          <w:sz w:val="28"/>
          <w:szCs w:val="28"/>
        </w:rPr>
      </w:pPr>
      <w:r w:rsidRPr="003B5FE4">
        <w:rPr>
          <w:rFonts w:ascii="David" w:hAnsi="David" w:cs="David" w:hint="cs"/>
          <w:sz w:val="28"/>
          <w:szCs w:val="28"/>
          <w:rtl/>
        </w:rPr>
        <w:t xml:space="preserve">אמש, בשעות הערב, ניתנה החלטת בית הדין קמא, שבמסגרתה נדחתה בקשת ההגנה כאמור. בית הדין ביאר בהחלטתו, כי דעתו שונה מדעתו של מפקד מתקן הכליאה, וכי ניתן היה להתיר למערער לצאת לחופשה קצרה כדי להשתתף בשבעה, וזאת משהצטברו בעניינו מספר טעמים המלמדים כי מדובר במקרה חריג: שמוסכם כי בין המערער לבין דודו שנפטר התקיים קשר עמוק ומיוחד, אשר הוביל לכך שניתנה למערער חופשה קצרה כדי לבקרו על ערש דווי; קיומה של חשיבות דתית בקיום מצוות ניחום אבלים; וכן, המציאות הביטחונית בעת הזו והמלחמה שבה נתונה ישראל, מעוררת חשש שמא לא יגיעו מנחמים רבים לבקר את </w:t>
      </w:r>
      <w:proofErr w:type="spellStart"/>
      <w:r w:rsidRPr="003B5FE4">
        <w:rPr>
          <w:rFonts w:ascii="David" w:hAnsi="David" w:cs="David" w:hint="cs"/>
          <w:sz w:val="28"/>
          <w:szCs w:val="28"/>
          <w:rtl/>
        </w:rPr>
        <w:t>אמו</w:t>
      </w:r>
      <w:proofErr w:type="spellEnd"/>
      <w:r w:rsidRPr="003B5FE4">
        <w:rPr>
          <w:rFonts w:ascii="David" w:hAnsi="David" w:cs="David" w:hint="cs"/>
          <w:sz w:val="28"/>
          <w:szCs w:val="28"/>
          <w:rtl/>
        </w:rPr>
        <w:t xml:space="preserve"> בעת אבלה. </w:t>
      </w:r>
    </w:p>
    <w:p w14:paraId="4474C80B" w14:textId="77777777"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b/>
          <w:bCs/>
          <w:sz w:val="28"/>
          <w:szCs w:val="28"/>
        </w:rPr>
      </w:pPr>
      <w:r w:rsidRPr="003B5FE4">
        <w:rPr>
          <w:rFonts w:ascii="David" w:hAnsi="David" w:cs="David" w:hint="cs"/>
          <w:sz w:val="28"/>
          <w:szCs w:val="28"/>
          <w:rtl/>
        </w:rPr>
        <w:t>לצד זאת עמד בית הדין על כך ש"על פי ההלכה הפסוקה אין בית הדין מחליף את שיקול דעת הרשות בשיקול דעתו שלו אלא בוחן את סבירותה", וקבע כי לא ניתן להגדיר, בנסיבות העניין, את החלטת מפקד הכלא כ</w:t>
      </w:r>
      <w:r w:rsidRPr="003B5FE4">
        <w:rPr>
          <w:rFonts w:ascii="David" w:hAnsi="David" w:cs="David" w:hint="cs"/>
          <w:b/>
          <w:bCs/>
          <w:sz w:val="28"/>
          <w:szCs w:val="28"/>
          <w:rtl/>
        </w:rPr>
        <w:t>בלתי סבירה</w:t>
      </w:r>
      <w:r w:rsidRPr="003B5FE4">
        <w:rPr>
          <w:rFonts w:ascii="David" w:hAnsi="David" w:cs="David" w:hint="cs"/>
          <w:sz w:val="28"/>
          <w:szCs w:val="28"/>
          <w:rtl/>
        </w:rPr>
        <w:t xml:space="preserve"> באופן המקים עילה להתערבות בית הדין בשיקול דעתו. על כן, "לא בלי היסוס", דחה בית הדין קמא את הבקשה. </w:t>
      </w:r>
    </w:p>
    <w:p w14:paraId="4F2B383E" w14:textId="77777777"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b/>
          <w:bCs/>
          <w:sz w:val="28"/>
          <w:szCs w:val="28"/>
        </w:rPr>
      </w:pPr>
      <w:r w:rsidRPr="003B5FE4">
        <w:rPr>
          <w:rFonts w:ascii="David" w:hAnsi="David" w:cs="David" w:hint="cs"/>
          <w:sz w:val="28"/>
          <w:szCs w:val="28"/>
          <w:rtl/>
        </w:rPr>
        <w:t xml:space="preserve">בערעורה שבה ההגנה ומבקשת לאפשר למערער חופשה. הסנגורית הלינה על כך שנמנע מן המערער להשתתף בהלוויית הדוד, שכן בקשתו בעניין לא נענתה במועד על ידי גורמי הכליאה. בשים לב לכך שימי ה"שבעה" עתידים להסתיים היום, בקשתה העדכנית של ההגנה היא לאפשר למערער לפקוד מחר את קברו של הדוד בבית העלמין בראש העין, יחד עם </w:t>
      </w:r>
      <w:proofErr w:type="spellStart"/>
      <w:r w:rsidRPr="003B5FE4">
        <w:rPr>
          <w:rFonts w:ascii="David" w:hAnsi="David" w:cs="David" w:hint="cs"/>
          <w:sz w:val="28"/>
          <w:szCs w:val="28"/>
          <w:rtl/>
        </w:rPr>
        <w:t>אמו</w:t>
      </w:r>
      <w:proofErr w:type="spellEnd"/>
      <w:r w:rsidRPr="003B5FE4">
        <w:rPr>
          <w:rFonts w:ascii="David" w:hAnsi="David" w:cs="David" w:hint="cs"/>
          <w:sz w:val="28"/>
          <w:szCs w:val="28"/>
          <w:rtl/>
        </w:rPr>
        <w:t xml:space="preserve">. הוטעם, כי למערער קשר עמוק עם דודו, אשר סייע בגידולו מאז ילדותו; כי המערער עצור מזה כתשעה חודשים וכי מצבה הנפשי של </w:t>
      </w:r>
      <w:proofErr w:type="spellStart"/>
      <w:r w:rsidRPr="003B5FE4">
        <w:rPr>
          <w:rFonts w:ascii="David" w:hAnsi="David" w:cs="David" w:hint="cs"/>
          <w:sz w:val="28"/>
          <w:szCs w:val="28"/>
          <w:rtl/>
        </w:rPr>
        <w:t>אמו</w:t>
      </w:r>
      <w:proofErr w:type="spellEnd"/>
      <w:r w:rsidRPr="003B5FE4">
        <w:rPr>
          <w:rFonts w:ascii="David" w:hAnsi="David" w:cs="David" w:hint="cs"/>
          <w:sz w:val="28"/>
          <w:szCs w:val="28"/>
          <w:rtl/>
        </w:rPr>
        <w:t xml:space="preserve"> התדרדר עקב מחלתו הפתאומית של אחיה ופטירתו בטרם עת, והיא זקוקה לתמיכתו מקרוב של המערער. כן מסרה ההגנה כי יש באפשרותה להעמיד ערבים מתאימים ולוודא כי למערער יהיה ליווי החל ממועד יציאתו ממתקן הכליאה ועד למועד חזרתו אליו, באופן שגם יהיה בו כדי לשמור על בטחונו האישי. </w:t>
      </w:r>
    </w:p>
    <w:p w14:paraId="180667F5" w14:textId="0413E691" w:rsidR="003B5FE4" w:rsidRPr="003B5FE4" w:rsidRDefault="003B5FE4" w:rsidP="001A2C30">
      <w:pPr>
        <w:numPr>
          <w:ilvl w:val="0"/>
          <w:numId w:val="2"/>
        </w:numPr>
        <w:tabs>
          <w:tab w:val="left" w:pos="-58"/>
          <w:tab w:val="left" w:pos="83"/>
          <w:tab w:val="left" w:pos="226"/>
          <w:tab w:val="left" w:pos="368"/>
          <w:tab w:val="left" w:pos="935"/>
        </w:tabs>
        <w:spacing w:after="200"/>
        <w:ind w:left="225" w:firstLine="0"/>
        <w:jc w:val="both"/>
        <w:outlineLvl w:val="0"/>
        <w:rPr>
          <w:rFonts w:ascii="David" w:hAnsi="David" w:cs="David"/>
          <w:sz w:val="28"/>
          <w:szCs w:val="28"/>
          <w:rtl/>
        </w:rPr>
      </w:pPr>
      <w:r w:rsidRPr="003B5FE4">
        <w:rPr>
          <w:rFonts w:ascii="David" w:hAnsi="David" w:cs="David" w:hint="cs"/>
          <w:sz w:val="28"/>
          <w:szCs w:val="28"/>
          <w:rtl/>
        </w:rPr>
        <w:t xml:space="preserve">התביעה ביקשה לסמוך ידיה על החלטת בית הדין קמא, המבוססת על ההלכה שלפיה אין מקום להתערב בשיקול דעתו של מפקד מתקן הכליאה. נטען, כי גורמי הכליאה שקלו </w:t>
      </w:r>
      <w:r w:rsidRPr="003B5FE4">
        <w:rPr>
          <w:rFonts w:ascii="David" w:hAnsi="David" w:cs="David" w:hint="cs"/>
          <w:sz w:val="28"/>
          <w:szCs w:val="28"/>
          <w:rtl/>
        </w:rPr>
        <w:lastRenderedPageBreak/>
        <w:t>את עניינו של המערער ברגישות הראויה, כאשר אפשרו לו לצאת לבקר את דודו בטרם נפטר; וכי משמפקד מתקן הכליאה שב ובחן את הדברים וקיבל החלטה מושכלת בעניינו של המערער, הנשענת גם על שיקולים כלליים החורגים מעניינו הפרטני - אין מקום להתערב בכך.</w:t>
      </w:r>
    </w:p>
    <w:p w14:paraId="40EF2C38" w14:textId="0A80FF14" w:rsidR="003B5FE4" w:rsidRDefault="003B5FE4" w:rsidP="001A2C30">
      <w:pPr>
        <w:tabs>
          <w:tab w:val="left" w:pos="226"/>
        </w:tabs>
        <w:contextualSpacing/>
        <w:jc w:val="both"/>
        <w:rPr>
          <w:rFonts w:ascii="David" w:eastAsia="Times New Roman" w:hAnsi="David" w:cs="David"/>
          <w:b/>
          <w:bCs/>
          <w:sz w:val="28"/>
          <w:szCs w:val="28"/>
          <w:rtl/>
        </w:rPr>
      </w:pPr>
      <w:r w:rsidRPr="003B5FE4">
        <w:rPr>
          <w:rFonts w:ascii="David" w:eastAsia="Times New Roman" w:hAnsi="David" w:cs="David" w:hint="cs"/>
          <w:b/>
          <w:bCs/>
          <w:sz w:val="28"/>
          <w:szCs w:val="28"/>
          <w:rtl/>
        </w:rPr>
        <w:t>דיון והכרעה</w:t>
      </w:r>
    </w:p>
    <w:p w14:paraId="0016743C" w14:textId="77777777" w:rsidR="003E3218" w:rsidRPr="003B5FE4" w:rsidRDefault="003E3218" w:rsidP="001A2C30">
      <w:pPr>
        <w:tabs>
          <w:tab w:val="left" w:pos="226"/>
        </w:tabs>
        <w:contextualSpacing/>
        <w:jc w:val="both"/>
        <w:rPr>
          <w:rFonts w:ascii="David" w:eastAsia="Times New Roman" w:hAnsi="David" w:cs="David"/>
          <w:b/>
          <w:bCs/>
          <w:sz w:val="14"/>
          <w:szCs w:val="14"/>
          <w:rtl/>
        </w:rPr>
      </w:pPr>
    </w:p>
    <w:p w14:paraId="32803AA2" w14:textId="77777777"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sz w:val="28"/>
          <w:szCs w:val="28"/>
        </w:rPr>
      </w:pPr>
      <w:r w:rsidRPr="003B5FE4">
        <w:rPr>
          <w:rFonts w:ascii="David" w:hAnsi="David" w:cs="David" w:hint="cs"/>
          <w:sz w:val="28"/>
          <w:szCs w:val="28"/>
          <w:rtl/>
        </w:rPr>
        <w:t xml:space="preserve">לאחר בחינת טיעוני הצדדים וכלל השיקולים הנוגעים לעניין, מצאתי, כי בנסיבות העניין ראוי להיעתר לערעור ולאפשר למערער לצאת לחופשה קצרה תוך קביעת ערבויות מתאימות, כפי שנעשה בעבר, על מנת לאפשר לו ללוות את </w:t>
      </w:r>
      <w:proofErr w:type="spellStart"/>
      <w:r w:rsidRPr="003B5FE4">
        <w:rPr>
          <w:rFonts w:ascii="David" w:hAnsi="David" w:cs="David" w:hint="cs"/>
          <w:sz w:val="28"/>
          <w:szCs w:val="28"/>
          <w:rtl/>
        </w:rPr>
        <w:t>אמו</w:t>
      </w:r>
      <w:proofErr w:type="spellEnd"/>
      <w:r w:rsidRPr="003B5FE4">
        <w:rPr>
          <w:rFonts w:ascii="David" w:hAnsi="David" w:cs="David" w:hint="cs"/>
          <w:sz w:val="28"/>
          <w:szCs w:val="28"/>
          <w:rtl/>
        </w:rPr>
        <w:t xml:space="preserve"> בעליה לקבר, הצפויה להתקיים מחר. </w:t>
      </w:r>
    </w:p>
    <w:p w14:paraId="7C562DF7" w14:textId="08D4597E"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sz w:val="28"/>
          <w:szCs w:val="28"/>
        </w:rPr>
      </w:pPr>
      <w:r w:rsidRPr="003B5FE4">
        <w:rPr>
          <w:rFonts w:ascii="David" w:hAnsi="David" w:cs="David" w:hint="cs"/>
          <w:sz w:val="28"/>
          <w:szCs w:val="28"/>
          <w:rtl/>
        </w:rPr>
        <w:t xml:space="preserve">אמנם כידוע, ככלל, חופשה מן המעצר אינה עולה בקנה אחד עם עילות המעצר ותכליתו (ראו: </w:t>
      </w:r>
      <w:hyperlink r:id="rId9" w:history="1">
        <w:proofErr w:type="spellStart"/>
        <w:r w:rsidRPr="003B5FE4">
          <w:rPr>
            <w:rFonts w:ascii="David" w:hAnsi="David" w:cs="David" w:hint="cs"/>
            <w:sz w:val="28"/>
            <w:szCs w:val="28"/>
            <w:rtl/>
          </w:rPr>
          <w:t>בש</w:t>
        </w:r>
        <w:r w:rsidRPr="003B5FE4">
          <w:rPr>
            <w:rFonts w:ascii="David" w:hAnsi="David" w:cs="David"/>
            <w:sz w:val="28"/>
            <w:szCs w:val="28"/>
            <w:rtl/>
          </w:rPr>
          <w:t>"</w:t>
        </w:r>
        <w:r w:rsidRPr="003B5FE4">
          <w:rPr>
            <w:rFonts w:ascii="David" w:hAnsi="David" w:cs="David" w:hint="cs"/>
            <w:sz w:val="28"/>
            <w:szCs w:val="28"/>
            <w:rtl/>
          </w:rPr>
          <w:t>פ</w:t>
        </w:r>
        <w:proofErr w:type="spellEnd"/>
        <w:r w:rsidRPr="003B5FE4">
          <w:rPr>
            <w:rFonts w:ascii="David" w:hAnsi="David" w:cs="David"/>
            <w:sz w:val="28"/>
            <w:szCs w:val="28"/>
            <w:rtl/>
          </w:rPr>
          <w:t xml:space="preserve"> 5874/02</w:t>
        </w:r>
      </w:hyperlink>
      <w:r w:rsidRPr="003B5FE4">
        <w:rPr>
          <w:rFonts w:ascii="David" w:hAnsi="David" w:cs="David" w:hint="cs"/>
          <w:b/>
          <w:bCs/>
          <w:sz w:val="28"/>
          <w:szCs w:val="28"/>
          <w:rtl/>
        </w:rPr>
        <w:t xml:space="preserve"> אטיה נ' מדינת ישראל</w:t>
      </w:r>
      <w:r w:rsidRPr="003B5FE4">
        <w:rPr>
          <w:rFonts w:ascii="David" w:hAnsi="David" w:cs="David" w:hint="cs"/>
          <w:sz w:val="28"/>
          <w:szCs w:val="28"/>
          <w:rtl/>
        </w:rPr>
        <w:t>, נו(5) 865 (2002)</w:t>
      </w:r>
      <w:r w:rsidR="003E3218">
        <w:rPr>
          <w:rFonts w:ascii="David" w:hAnsi="David" w:cs="David" w:hint="cs"/>
          <w:sz w:val="28"/>
          <w:szCs w:val="28"/>
          <w:rtl/>
        </w:rPr>
        <w:t>;</w:t>
      </w:r>
      <w:r w:rsidRPr="003B5FE4">
        <w:rPr>
          <w:rFonts w:ascii="David" w:hAnsi="David" w:cs="David" w:hint="cs"/>
          <w:sz w:val="28"/>
          <w:szCs w:val="28"/>
          <w:rtl/>
        </w:rPr>
        <w:t xml:space="preserve"> ע"מ 5/21 </w:t>
      </w:r>
      <w:r w:rsidRPr="003B5FE4">
        <w:rPr>
          <w:rFonts w:ascii="David" w:hAnsi="David" w:cs="David" w:hint="cs"/>
          <w:b/>
          <w:bCs/>
          <w:sz w:val="28"/>
          <w:szCs w:val="28"/>
          <w:rtl/>
        </w:rPr>
        <w:t xml:space="preserve">רס"ר </w:t>
      </w:r>
      <w:proofErr w:type="spellStart"/>
      <w:r w:rsidRPr="003B5FE4">
        <w:rPr>
          <w:rFonts w:ascii="David" w:hAnsi="David" w:cs="David" w:hint="cs"/>
          <w:b/>
          <w:bCs/>
          <w:sz w:val="28"/>
          <w:szCs w:val="28"/>
          <w:rtl/>
        </w:rPr>
        <w:t>שיליאן</w:t>
      </w:r>
      <w:proofErr w:type="spellEnd"/>
      <w:r w:rsidRPr="003B5FE4">
        <w:rPr>
          <w:rFonts w:ascii="David" w:hAnsi="David" w:cs="David" w:hint="cs"/>
          <w:b/>
          <w:bCs/>
          <w:sz w:val="28"/>
          <w:szCs w:val="28"/>
          <w:rtl/>
        </w:rPr>
        <w:t xml:space="preserve"> נ' התובע הצבאי הראשי</w:t>
      </w:r>
      <w:r w:rsidRPr="003B5FE4">
        <w:rPr>
          <w:rFonts w:ascii="David" w:hAnsi="David" w:cs="David" w:hint="cs"/>
          <w:sz w:val="28"/>
          <w:szCs w:val="28"/>
          <w:rtl/>
        </w:rPr>
        <w:t xml:space="preserve">, פסקה 28 (2021); ע"מ 55/22 </w:t>
      </w:r>
      <w:r w:rsidRPr="003B5FE4">
        <w:rPr>
          <w:rFonts w:ascii="David" w:hAnsi="David" w:cs="David" w:hint="cs"/>
          <w:b/>
          <w:bCs/>
          <w:sz w:val="28"/>
          <w:szCs w:val="28"/>
          <w:rtl/>
        </w:rPr>
        <w:t>התובע הצבאי הראשי נ' סמ"ר פלג</w:t>
      </w:r>
      <w:r w:rsidRPr="003B5FE4">
        <w:rPr>
          <w:rFonts w:ascii="David" w:hAnsi="David" w:cs="David" w:hint="cs"/>
          <w:sz w:val="28"/>
          <w:szCs w:val="28"/>
          <w:rtl/>
        </w:rPr>
        <w:t>, פסקה 13 (2022)</w:t>
      </w:r>
      <w:r w:rsidR="003E3218">
        <w:rPr>
          <w:rFonts w:ascii="David" w:hAnsi="David" w:cs="David" w:hint="cs"/>
          <w:sz w:val="28"/>
          <w:szCs w:val="28"/>
          <w:rtl/>
        </w:rPr>
        <w:t>)</w:t>
      </w:r>
      <w:r w:rsidRPr="003B5FE4">
        <w:rPr>
          <w:rFonts w:ascii="David" w:hAnsi="David" w:cs="David" w:hint="cs"/>
          <w:sz w:val="28"/>
          <w:szCs w:val="28"/>
          <w:rtl/>
        </w:rPr>
        <w:t xml:space="preserve">, ואף אינה יכולה להתקבל במנותק מעמדת גורמי הכליאה; ע"מ 82/17 </w:t>
      </w:r>
      <w:r w:rsidRPr="003B5FE4">
        <w:rPr>
          <w:rFonts w:ascii="David" w:hAnsi="David" w:cs="David" w:hint="cs"/>
          <w:b/>
          <w:bCs/>
          <w:sz w:val="28"/>
          <w:szCs w:val="28"/>
          <w:rtl/>
        </w:rPr>
        <w:t xml:space="preserve">טור' </w:t>
      </w:r>
      <w:proofErr w:type="spellStart"/>
      <w:r w:rsidRPr="003B5FE4">
        <w:rPr>
          <w:rFonts w:ascii="David" w:hAnsi="David" w:cs="David" w:hint="cs"/>
          <w:b/>
          <w:bCs/>
          <w:sz w:val="28"/>
          <w:szCs w:val="28"/>
          <w:rtl/>
        </w:rPr>
        <w:t>סאיג</w:t>
      </w:r>
      <w:proofErr w:type="spellEnd"/>
      <w:r w:rsidRPr="003B5FE4">
        <w:rPr>
          <w:rFonts w:ascii="David" w:hAnsi="David" w:cs="David" w:hint="cs"/>
          <w:b/>
          <w:bCs/>
          <w:sz w:val="28"/>
          <w:szCs w:val="28"/>
          <w:rtl/>
        </w:rPr>
        <w:t xml:space="preserve"> נ' התובע הצבאי הראשי</w:t>
      </w:r>
      <w:r w:rsidRPr="003B5FE4">
        <w:rPr>
          <w:rFonts w:ascii="David" w:hAnsi="David" w:cs="David" w:hint="cs"/>
          <w:sz w:val="28"/>
          <w:szCs w:val="28"/>
          <w:rtl/>
        </w:rPr>
        <w:t xml:space="preserve"> (2017); ע"מ 38/15 </w:t>
      </w:r>
      <w:r w:rsidRPr="003B5FE4">
        <w:rPr>
          <w:rFonts w:ascii="David" w:hAnsi="David" w:cs="David" w:hint="cs"/>
          <w:b/>
          <w:bCs/>
          <w:sz w:val="28"/>
          <w:szCs w:val="28"/>
          <w:rtl/>
        </w:rPr>
        <w:t>התובע הצבאי הראשי נ' טור' פרידמן</w:t>
      </w:r>
      <w:r w:rsidRPr="003B5FE4">
        <w:rPr>
          <w:rFonts w:ascii="David" w:hAnsi="David" w:cs="David" w:hint="cs"/>
          <w:sz w:val="28"/>
          <w:szCs w:val="28"/>
          <w:rtl/>
        </w:rPr>
        <w:t xml:space="preserve"> (2015); ע"מ 57/23 </w:t>
      </w:r>
      <w:r w:rsidRPr="003B5FE4">
        <w:rPr>
          <w:rFonts w:ascii="David" w:hAnsi="David" w:cs="David" w:hint="cs"/>
          <w:b/>
          <w:bCs/>
          <w:sz w:val="28"/>
          <w:szCs w:val="28"/>
          <w:rtl/>
        </w:rPr>
        <w:t xml:space="preserve">סמל </w:t>
      </w:r>
      <w:proofErr w:type="spellStart"/>
      <w:r w:rsidRPr="003B5FE4">
        <w:rPr>
          <w:rFonts w:ascii="David" w:hAnsi="David" w:cs="David" w:hint="cs"/>
          <w:b/>
          <w:bCs/>
          <w:sz w:val="28"/>
          <w:szCs w:val="28"/>
          <w:rtl/>
        </w:rPr>
        <w:t>קרקובדוס</w:t>
      </w:r>
      <w:proofErr w:type="spellEnd"/>
      <w:r w:rsidRPr="003B5FE4">
        <w:rPr>
          <w:rFonts w:ascii="David" w:hAnsi="David" w:cs="David" w:hint="cs"/>
          <w:b/>
          <w:bCs/>
          <w:sz w:val="28"/>
          <w:szCs w:val="28"/>
          <w:rtl/>
        </w:rPr>
        <w:t xml:space="preserve"> נ' התובע הצבאי הראשי</w:t>
      </w:r>
      <w:r w:rsidRPr="003B5FE4">
        <w:rPr>
          <w:rFonts w:ascii="David" w:hAnsi="David" w:cs="David" w:hint="cs"/>
          <w:sz w:val="28"/>
          <w:szCs w:val="28"/>
          <w:rtl/>
        </w:rPr>
        <w:t xml:space="preserve"> (2023)). על כן נפסק לא אחת, כי רק במקרים חריגים ויוצאים מן הכלל יורה בית המשפט על שחרורו של עצור בניגוד להחלטת גורמי הכליאה (</w:t>
      </w:r>
      <w:proofErr w:type="spellStart"/>
      <w:r w:rsidRPr="003B5FE4">
        <w:rPr>
          <w:rFonts w:ascii="David" w:hAnsi="David" w:cs="David"/>
          <w:sz w:val="28"/>
          <w:szCs w:val="28"/>
          <w:rtl/>
        </w:rPr>
        <w:fldChar w:fldCharType="begin"/>
      </w:r>
      <w:r w:rsidRPr="003B5FE4">
        <w:rPr>
          <w:rFonts w:ascii="David" w:hAnsi="David" w:cs="David"/>
          <w:sz w:val="28"/>
          <w:szCs w:val="28"/>
          <w:rtl/>
        </w:rPr>
        <w:instrText xml:space="preserve"> </w:instrText>
      </w:r>
      <w:r w:rsidRPr="003B5FE4">
        <w:rPr>
          <w:rFonts w:ascii="David" w:hAnsi="David" w:cs="David"/>
          <w:sz w:val="28"/>
          <w:szCs w:val="28"/>
        </w:rPr>
        <w:instrText xml:space="preserve">HYPERLINK </w:instrText>
      </w:r>
      <w:r w:rsidRPr="003B5FE4">
        <w:rPr>
          <w:rFonts w:ascii="David" w:hAnsi="David" w:cs="David"/>
          <w:sz w:val="28"/>
          <w:szCs w:val="28"/>
          <w:rtl/>
        </w:rPr>
        <w:instrText>"</w:instrText>
      </w:r>
      <w:r w:rsidRPr="003B5FE4">
        <w:rPr>
          <w:rFonts w:ascii="David" w:hAnsi="David" w:cs="David"/>
          <w:sz w:val="28"/>
          <w:szCs w:val="28"/>
        </w:rPr>
        <w:instrText>http://www.nevo.co.il/case/5959686"</w:instrText>
      </w:r>
      <w:r w:rsidRPr="003B5FE4">
        <w:rPr>
          <w:rFonts w:ascii="David" w:hAnsi="David" w:cs="David"/>
          <w:sz w:val="28"/>
          <w:szCs w:val="28"/>
          <w:rtl/>
        </w:rPr>
        <w:instrText xml:space="preserve"> </w:instrText>
      </w:r>
      <w:r w:rsidRPr="003B5FE4">
        <w:rPr>
          <w:rFonts w:ascii="David" w:hAnsi="David" w:cs="David"/>
          <w:sz w:val="28"/>
          <w:szCs w:val="28"/>
          <w:rtl/>
        </w:rPr>
      </w:r>
      <w:r w:rsidRPr="003B5FE4">
        <w:rPr>
          <w:rFonts w:ascii="David" w:hAnsi="David" w:cs="David"/>
          <w:sz w:val="28"/>
          <w:szCs w:val="28"/>
          <w:rtl/>
        </w:rPr>
        <w:fldChar w:fldCharType="separate"/>
      </w:r>
      <w:r w:rsidRPr="003B5FE4">
        <w:rPr>
          <w:rFonts w:ascii="David" w:hAnsi="David" w:cs="David" w:hint="cs"/>
          <w:sz w:val="28"/>
          <w:szCs w:val="28"/>
          <w:rtl/>
        </w:rPr>
        <w:t>בש</w:t>
      </w:r>
      <w:r w:rsidRPr="003B5FE4">
        <w:rPr>
          <w:rFonts w:ascii="David" w:hAnsi="David" w:cs="David"/>
          <w:sz w:val="28"/>
          <w:szCs w:val="28"/>
          <w:rtl/>
        </w:rPr>
        <w:t>"</w:t>
      </w:r>
      <w:r w:rsidRPr="003B5FE4">
        <w:rPr>
          <w:rFonts w:ascii="David" w:hAnsi="David" w:cs="David" w:hint="cs"/>
          <w:sz w:val="28"/>
          <w:szCs w:val="28"/>
          <w:rtl/>
        </w:rPr>
        <w:t>פ</w:t>
      </w:r>
      <w:proofErr w:type="spellEnd"/>
      <w:r w:rsidRPr="003B5FE4">
        <w:rPr>
          <w:rFonts w:ascii="David" w:hAnsi="David" w:cs="David"/>
          <w:sz w:val="28"/>
          <w:szCs w:val="28"/>
          <w:rtl/>
        </w:rPr>
        <w:t xml:space="preserve"> 4474/10</w:t>
      </w:r>
      <w:r w:rsidRPr="003B5FE4">
        <w:rPr>
          <w:rFonts w:ascii="David" w:hAnsi="David" w:cs="David"/>
          <w:sz w:val="28"/>
          <w:szCs w:val="28"/>
          <w:rtl/>
        </w:rPr>
        <w:fldChar w:fldCharType="end"/>
      </w:r>
      <w:r w:rsidRPr="003B5FE4">
        <w:rPr>
          <w:rFonts w:ascii="David" w:hAnsi="David" w:cs="David"/>
          <w:sz w:val="28"/>
          <w:szCs w:val="28"/>
          <w:rtl/>
        </w:rPr>
        <w:t xml:space="preserve"> </w:t>
      </w:r>
      <w:r w:rsidRPr="003B5FE4">
        <w:rPr>
          <w:rFonts w:ascii="David" w:hAnsi="David" w:cs="David"/>
          <w:b/>
          <w:bCs/>
          <w:sz w:val="28"/>
          <w:szCs w:val="28"/>
          <w:rtl/>
        </w:rPr>
        <w:t>לוי נ' מדינת ישראל</w:t>
      </w:r>
      <w:r w:rsidRPr="003B5FE4">
        <w:rPr>
          <w:rFonts w:ascii="David" w:hAnsi="David" w:cs="David"/>
          <w:sz w:val="28"/>
          <w:szCs w:val="28"/>
          <w:rtl/>
        </w:rPr>
        <w:t xml:space="preserve"> (10.6.2010)</w:t>
      </w:r>
      <w:r w:rsidRPr="003B5FE4">
        <w:rPr>
          <w:rFonts w:ascii="David" w:hAnsi="David" w:cs="David" w:hint="cs"/>
          <w:sz w:val="28"/>
          <w:szCs w:val="28"/>
          <w:rtl/>
        </w:rPr>
        <w:t xml:space="preserve">; </w:t>
      </w:r>
      <w:hyperlink r:id="rId10" w:history="1">
        <w:proofErr w:type="spellStart"/>
        <w:r w:rsidRPr="003B5FE4">
          <w:rPr>
            <w:rFonts w:ascii="David" w:hAnsi="David" w:cs="David" w:hint="cs"/>
            <w:sz w:val="28"/>
            <w:szCs w:val="28"/>
            <w:rtl/>
          </w:rPr>
          <w:t>בש</w:t>
        </w:r>
        <w:r w:rsidRPr="003B5FE4">
          <w:rPr>
            <w:rFonts w:ascii="David" w:hAnsi="David" w:cs="David"/>
            <w:sz w:val="28"/>
            <w:szCs w:val="28"/>
            <w:rtl/>
          </w:rPr>
          <w:t>"</w:t>
        </w:r>
        <w:r w:rsidRPr="003B5FE4">
          <w:rPr>
            <w:rFonts w:ascii="David" w:hAnsi="David" w:cs="David" w:hint="cs"/>
            <w:sz w:val="28"/>
            <w:szCs w:val="28"/>
            <w:rtl/>
          </w:rPr>
          <w:t>פ</w:t>
        </w:r>
        <w:proofErr w:type="spellEnd"/>
        <w:r w:rsidRPr="003B5FE4">
          <w:rPr>
            <w:rFonts w:ascii="David" w:hAnsi="David" w:cs="David"/>
            <w:sz w:val="28"/>
            <w:szCs w:val="28"/>
            <w:rtl/>
          </w:rPr>
          <w:t xml:space="preserve"> 1381/10</w:t>
        </w:r>
      </w:hyperlink>
      <w:r w:rsidRPr="003B5FE4">
        <w:rPr>
          <w:rFonts w:ascii="David" w:hAnsi="David" w:cs="David"/>
          <w:sz w:val="28"/>
          <w:szCs w:val="28"/>
          <w:rtl/>
        </w:rPr>
        <w:t xml:space="preserve"> </w:t>
      </w:r>
      <w:r w:rsidRPr="003B5FE4">
        <w:rPr>
          <w:rFonts w:ascii="David" w:hAnsi="David" w:cs="David"/>
          <w:b/>
          <w:bCs/>
          <w:sz w:val="28"/>
          <w:szCs w:val="28"/>
          <w:rtl/>
        </w:rPr>
        <w:t>מדינת ישראל נ' אליאס</w:t>
      </w:r>
      <w:r w:rsidRPr="003B5FE4">
        <w:rPr>
          <w:rFonts w:ascii="David" w:hAnsi="David" w:cs="David"/>
          <w:sz w:val="28"/>
          <w:szCs w:val="28"/>
          <w:rtl/>
        </w:rPr>
        <w:t xml:space="preserve"> (24.2.2010);</w:t>
      </w:r>
      <w:r w:rsidRPr="003B5FE4">
        <w:rPr>
          <w:rFonts w:ascii="David" w:hAnsi="David" w:cs="David" w:hint="cs"/>
          <w:sz w:val="28"/>
          <w:szCs w:val="28"/>
          <w:rtl/>
        </w:rPr>
        <w:t xml:space="preserve"> ע"מ/13/21 </w:t>
      </w:r>
      <w:r w:rsidRPr="003B5FE4">
        <w:rPr>
          <w:rFonts w:ascii="David" w:hAnsi="David" w:cs="David" w:hint="cs"/>
          <w:b/>
          <w:bCs/>
          <w:sz w:val="28"/>
          <w:szCs w:val="28"/>
          <w:rtl/>
        </w:rPr>
        <w:t>התובע הצבאי הראשי נ' סגן כהן</w:t>
      </w:r>
      <w:r w:rsidRPr="003B5FE4">
        <w:rPr>
          <w:rFonts w:ascii="David" w:hAnsi="David" w:cs="David" w:hint="cs"/>
          <w:sz w:val="28"/>
          <w:szCs w:val="28"/>
          <w:rtl/>
        </w:rPr>
        <w:t xml:space="preserve"> (2021)</w:t>
      </w:r>
      <w:r w:rsidRPr="003B5FE4">
        <w:rPr>
          <w:rFonts w:ascii="David" w:hAnsi="David" w:cs="David"/>
          <w:sz w:val="28"/>
          <w:szCs w:val="28"/>
          <w:rtl/>
        </w:rPr>
        <w:t>)</w:t>
      </w:r>
      <w:r w:rsidRPr="003B5FE4">
        <w:rPr>
          <w:rFonts w:ascii="David" w:hAnsi="David" w:cs="David" w:hint="cs"/>
          <w:sz w:val="28"/>
          <w:szCs w:val="28"/>
          <w:rtl/>
        </w:rPr>
        <w:t>.</w:t>
      </w:r>
    </w:p>
    <w:p w14:paraId="112E6A20" w14:textId="77777777"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sz w:val="28"/>
          <w:szCs w:val="28"/>
        </w:rPr>
      </w:pPr>
      <w:r w:rsidRPr="003B5FE4">
        <w:rPr>
          <w:rFonts w:ascii="David" w:hAnsi="David" w:cs="David" w:hint="cs"/>
          <w:sz w:val="28"/>
          <w:szCs w:val="28"/>
          <w:rtl/>
        </w:rPr>
        <w:t xml:space="preserve">עם זאת, </w:t>
      </w:r>
      <w:r w:rsidRPr="003B5FE4">
        <w:rPr>
          <w:rFonts w:ascii="David" w:hAnsi="David" w:cs="David" w:hint="cs"/>
          <w:b/>
          <w:bCs/>
          <w:sz w:val="28"/>
          <w:szCs w:val="28"/>
          <w:rtl/>
        </w:rPr>
        <w:t>בנסיבות הייחודיות</w:t>
      </w:r>
      <w:r w:rsidRPr="003B5FE4">
        <w:rPr>
          <w:rFonts w:ascii="David" w:hAnsi="David" w:cs="David" w:hint="cs"/>
          <w:sz w:val="28"/>
          <w:szCs w:val="28"/>
          <w:rtl/>
        </w:rPr>
        <w:t xml:space="preserve"> של המקרה, ובראשן עמידתו של המערער בתנאי החופשה שניתנה לו לבקר את דודו על ערש דווי - מצאתי כי המדובר במקרה חריג, המצדיק התערבות בהחלטה, כך שלמערער תינתן חופשה מספר שעות בודדות, שיש להטעים כי מטרתה היא עלייה לקבר, בתום השבעה, של דודו שגידל אותו כאב. נתתי דעתי לכך שלא נמסר מידע על התנהגות שלילית או על קיומו של מידע קונקרטי הנוגע למערער במהלך תקופה ארוכה של כליאה, והערבויות המוצעות על ידי ההגנה, הכוללות הפקדה כספית וליווי של המערער לאורך החופשה, מאפשרות בנסיבות העניין יציאה לחופשה קצרה ומדודה (באשר לאפשרות למתן חופשות בנסיבות של אבל - ראו </w:t>
      </w:r>
      <w:proofErr w:type="spellStart"/>
      <w:r w:rsidRPr="003B5FE4">
        <w:rPr>
          <w:rFonts w:ascii="David" w:hAnsi="David" w:cs="David" w:hint="cs"/>
          <w:sz w:val="28"/>
          <w:szCs w:val="28"/>
          <w:rtl/>
        </w:rPr>
        <w:t>בש"פ</w:t>
      </w:r>
      <w:proofErr w:type="spellEnd"/>
      <w:r w:rsidRPr="003B5FE4">
        <w:rPr>
          <w:rFonts w:ascii="David" w:hAnsi="David" w:cs="David" w:hint="cs"/>
          <w:sz w:val="28"/>
          <w:szCs w:val="28"/>
          <w:rtl/>
        </w:rPr>
        <w:t xml:space="preserve"> 1851/24 </w:t>
      </w:r>
      <w:proofErr w:type="spellStart"/>
      <w:r w:rsidRPr="003B5FE4">
        <w:rPr>
          <w:rFonts w:ascii="David" w:hAnsi="David" w:cs="David" w:hint="cs"/>
          <w:b/>
          <w:bCs/>
          <w:sz w:val="28"/>
          <w:szCs w:val="28"/>
          <w:rtl/>
        </w:rPr>
        <w:t>אנטיפוב</w:t>
      </w:r>
      <w:proofErr w:type="spellEnd"/>
      <w:r w:rsidRPr="003B5FE4">
        <w:rPr>
          <w:rFonts w:ascii="David" w:hAnsi="David" w:cs="David" w:hint="cs"/>
          <w:b/>
          <w:bCs/>
          <w:sz w:val="28"/>
          <w:szCs w:val="28"/>
          <w:rtl/>
        </w:rPr>
        <w:t xml:space="preserve"> נ' מדינת ישראל</w:t>
      </w:r>
      <w:r w:rsidRPr="003B5FE4">
        <w:rPr>
          <w:rFonts w:ascii="David" w:hAnsi="David" w:cs="David" w:hint="cs"/>
          <w:sz w:val="28"/>
          <w:szCs w:val="28"/>
          <w:rtl/>
        </w:rPr>
        <w:t xml:space="preserve">, פסקה 6 סיפא (5.3.2024); רע"ב 650/24 </w:t>
      </w:r>
      <w:r w:rsidRPr="003B5FE4">
        <w:rPr>
          <w:rFonts w:ascii="David" w:hAnsi="David" w:cs="David" w:hint="cs"/>
          <w:b/>
          <w:bCs/>
          <w:sz w:val="28"/>
          <w:szCs w:val="28"/>
          <w:rtl/>
        </w:rPr>
        <w:t>עסיס נ' שירות בתי הסוהר</w:t>
      </w:r>
      <w:r w:rsidRPr="003B5FE4">
        <w:rPr>
          <w:rFonts w:ascii="David" w:hAnsi="David" w:cs="David" w:hint="cs"/>
          <w:sz w:val="28"/>
          <w:szCs w:val="28"/>
          <w:rtl/>
        </w:rPr>
        <w:t xml:space="preserve">, פסקה 12 (26.1.2004)). </w:t>
      </w:r>
    </w:p>
    <w:p w14:paraId="3CA9F7CF" w14:textId="77777777" w:rsidR="003B5FE4" w:rsidRPr="003B5FE4" w:rsidRDefault="003B5FE4" w:rsidP="001A2C30">
      <w:pPr>
        <w:numPr>
          <w:ilvl w:val="0"/>
          <w:numId w:val="2"/>
        </w:numPr>
        <w:tabs>
          <w:tab w:val="left" w:pos="-58"/>
          <w:tab w:val="left" w:pos="226"/>
          <w:tab w:val="left" w:pos="368"/>
          <w:tab w:val="left" w:pos="935"/>
        </w:tabs>
        <w:ind w:left="225" w:firstLine="0"/>
        <w:jc w:val="both"/>
        <w:rPr>
          <w:rFonts w:ascii="David" w:hAnsi="David" w:cs="David"/>
          <w:sz w:val="28"/>
          <w:szCs w:val="28"/>
        </w:rPr>
      </w:pPr>
      <w:r w:rsidRPr="003B5FE4">
        <w:rPr>
          <w:rFonts w:ascii="David" w:hAnsi="David" w:cs="David" w:hint="cs"/>
          <w:sz w:val="28"/>
          <w:szCs w:val="28"/>
          <w:rtl/>
        </w:rPr>
        <w:t>אני מורה אפוא כי המערער יצא לחופשה ממעצרו ביום 10 במארס 2026 בין השעות 8:00 - 14:00. היציאה לחופשה מותנית בכך שהמערער יעמוד בתנאים הבאים, אשר יעמדו בתוקף עד לשובו של המערער מהחופשה:</w:t>
      </w:r>
    </w:p>
    <w:p w14:paraId="5F94A427" w14:textId="77777777" w:rsidR="003B5FE4" w:rsidRPr="003B5FE4" w:rsidRDefault="003B5FE4" w:rsidP="001A2C30">
      <w:pPr>
        <w:numPr>
          <w:ilvl w:val="0"/>
          <w:numId w:val="3"/>
        </w:numPr>
        <w:tabs>
          <w:tab w:val="left" w:pos="-58"/>
          <w:tab w:val="left" w:pos="226"/>
          <w:tab w:val="left" w:pos="368"/>
          <w:tab w:val="left" w:pos="935"/>
        </w:tabs>
        <w:ind w:firstLine="65"/>
        <w:jc w:val="both"/>
        <w:rPr>
          <w:rFonts w:ascii="David" w:hAnsi="David" w:cs="David"/>
          <w:sz w:val="28"/>
          <w:szCs w:val="28"/>
        </w:rPr>
      </w:pPr>
      <w:r w:rsidRPr="003B5FE4">
        <w:rPr>
          <w:rFonts w:ascii="David" w:hAnsi="David" w:cs="David" w:hint="cs"/>
          <w:sz w:val="28"/>
          <w:szCs w:val="28"/>
          <w:rtl/>
        </w:rPr>
        <w:lastRenderedPageBreak/>
        <w:t xml:space="preserve">הפקדת דרכון או לחילופין חתימה על הצהרה כי אין ברשותו של המערער דרכון ישראלי או זר. </w:t>
      </w:r>
    </w:p>
    <w:p w14:paraId="646A51D8" w14:textId="77777777" w:rsidR="003B5FE4" w:rsidRPr="003B5FE4" w:rsidRDefault="003B5FE4" w:rsidP="001A2C30">
      <w:pPr>
        <w:numPr>
          <w:ilvl w:val="0"/>
          <w:numId w:val="3"/>
        </w:numPr>
        <w:tabs>
          <w:tab w:val="left" w:pos="-58"/>
          <w:tab w:val="left" w:pos="226"/>
          <w:tab w:val="left" w:pos="368"/>
          <w:tab w:val="left" w:pos="935"/>
        </w:tabs>
        <w:ind w:firstLine="65"/>
        <w:jc w:val="both"/>
        <w:rPr>
          <w:rFonts w:ascii="David" w:hAnsi="David" w:cs="David"/>
          <w:sz w:val="28"/>
          <w:szCs w:val="28"/>
        </w:rPr>
      </w:pPr>
      <w:r w:rsidRPr="003B5FE4">
        <w:rPr>
          <w:rFonts w:ascii="David" w:hAnsi="David" w:cs="David" w:hint="cs"/>
          <w:sz w:val="28"/>
          <w:szCs w:val="28"/>
          <w:rtl/>
        </w:rPr>
        <w:t xml:space="preserve">הפקדה של רישיונות נהיגה ולחילופין חתימה על הצהרה לפיה המערער אינו מחזיק ברישיון. </w:t>
      </w:r>
    </w:p>
    <w:p w14:paraId="5DD2B7F7" w14:textId="77777777" w:rsidR="003B5FE4" w:rsidRPr="003B5FE4" w:rsidRDefault="003B5FE4" w:rsidP="001A2C30">
      <w:pPr>
        <w:numPr>
          <w:ilvl w:val="0"/>
          <w:numId w:val="3"/>
        </w:numPr>
        <w:tabs>
          <w:tab w:val="left" w:pos="-58"/>
          <w:tab w:val="left" w:pos="226"/>
          <w:tab w:val="left" w:pos="368"/>
          <w:tab w:val="left" w:pos="935"/>
        </w:tabs>
        <w:ind w:firstLine="65"/>
        <w:jc w:val="both"/>
        <w:rPr>
          <w:rFonts w:ascii="David" w:hAnsi="David" w:cs="David"/>
          <w:sz w:val="28"/>
          <w:szCs w:val="28"/>
        </w:rPr>
      </w:pPr>
      <w:r w:rsidRPr="003B5FE4">
        <w:rPr>
          <w:rFonts w:ascii="David" w:hAnsi="David" w:cs="David" w:hint="cs"/>
          <w:sz w:val="28"/>
          <w:szCs w:val="28"/>
          <w:rtl/>
        </w:rPr>
        <w:t xml:space="preserve">הוצאת צו איסור יציאה מהארץ כנגד המערער, והכללת פרטיו ברישום ביקורת גבולות. </w:t>
      </w:r>
    </w:p>
    <w:p w14:paraId="77E8592A" w14:textId="77777777" w:rsidR="003B5FE4" w:rsidRPr="003B5FE4" w:rsidRDefault="003B5FE4" w:rsidP="001A2C30">
      <w:pPr>
        <w:numPr>
          <w:ilvl w:val="0"/>
          <w:numId w:val="3"/>
        </w:numPr>
        <w:tabs>
          <w:tab w:val="left" w:pos="-58"/>
          <w:tab w:val="left" w:pos="226"/>
          <w:tab w:val="left" w:pos="368"/>
          <w:tab w:val="left" w:pos="935"/>
        </w:tabs>
        <w:ind w:firstLine="65"/>
        <w:jc w:val="both"/>
        <w:rPr>
          <w:rFonts w:ascii="David" w:hAnsi="David" w:cs="David"/>
          <w:sz w:val="28"/>
          <w:szCs w:val="28"/>
        </w:rPr>
      </w:pPr>
      <w:r w:rsidRPr="003B5FE4">
        <w:rPr>
          <w:rFonts w:ascii="David" w:hAnsi="David" w:cs="David" w:hint="cs"/>
          <w:sz w:val="28"/>
          <w:szCs w:val="28"/>
          <w:rtl/>
        </w:rPr>
        <w:t xml:space="preserve">המערער יחתום על ערבות עצמית בסך 10,000 ש"ח. </w:t>
      </w:r>
    </w:p>
    <w:p w14:paraId="27B1A9AE" w14:textId="22D75C65" w:rsidR="003B5FE4" w:rsidRPr="003B5FE4" w:rsidRDefault="003B5FE4" w:rsidP="001A2C30">
      <w:pPr>
        <w:numPr>
          <w:ilvl w:val="0"/>
          <w:numId w:val="3"/>
        </w:numPr>
        <w:tabs>
          <w:tab w:val="left" w:pos="-58"/>
          <w:tab w:val="left" w:pos="226"/>
          <w:tab w:val="left" w:pos="368"/>
          <w:tab w:val="left" w:pos="935"/>
        </w:tabs>
        <w:ind w:firstLine="65"/>
        <w:jc w:val="both"/>
        <w:rPr>
          <w:rFonts w:ascii="David" w:hAnsi="David" w:cs="David"/>
          <w:sz w:val="28"/>
          <w:szCs w:val="28"/>
        </w:rPr>
      </w:pPr>
      <w:r w:rsidRPr="003B5FE4">
        <w:rPr>
          <w:rFonts w:ascii="David" w:hAnsi="David" w:cs="David" w:hint="cs"/>
          <w:sz w:val="28"/>
          <w:szCs w:val="28"/>
          <w:rtl/>
        </w:rPr>
        <w:t xml:space="preserve">ערב מטעם המערער (ההגנה העבירה את שמם של שני ערבים אפשריים </w:t>
      </w:r>
      <w:r w:rsidR="000778D2">
        <w:rPr>
          <w:rFonts w:ascii="David" w:hAnsi="David" w:cs="David"/>
          <w:sz w:val="28"/>
          <w:szCs w:val="28"/>
          <w:rtl/>
        </w:rPr>
        <w:t>–</w:t>
      </w:r>
      <w:r w:rsidRPr="003B5FE4">
        <w:rPr>
          <w:rFonts w:ascii="David" w:hAnsi="David" w:cs="David" w:hint="cs"/>
          <w:sz w:val="28"/>
          <w:szCs w:val="28"/>
          <w:rtl/>
        </w:rPr>
        <w:t xml:space="preserve"> ב</w:t>
      </w:r>
      <w:r w:rsidR="000778D2">
        <w:rPr>
          <w:rFonts w:ascii="David" w:hAnsi="David" w:cs="David" w:hint="cs"/>
          <w:sz w:val="28"/>
          <w:szCs w:val="28"/>
          <w:rtl/>
        </w:rPr>
        <w:t>'</w:t>
      </w:r>
      <w:r w:rsidRPr="003B5FE4">
        <w:rPr>
          <w:rFonts w:ascii="David" w:hAnsi="David" w:cs="David" w:hint="cs"/>
          <w:sz w:val="28"/>
          <w:szCs w:val="28"/>
          <w:rtl/>
        </w:rPr>
        <w:t xml:space="preserve"> ל</w:t>
      </w:r>
      <w:r w:rsidR="000778D2">
        <w:rPr>
          <w:rFonts w:ascii="David" w:hAnsi="David" w:cs="David" w:hint="cs"/>
          <w:sz w:val="28"/>
          <w:szCs w:val="28"/>
          <w:rtl/>
        </w:rPr>
        <w:t>'</w:t>
      </w:r>
      <w:r w:rsidRPr="003B5FE4">
        <w:rPr>
          <w:rFonts w:ascii="David" w:hAnsi="David" w:cs="David" w:hint="cs"/>
          <w:sz w:val="28"/>
          <w:szCs w:val="28"/>
          <w:rtl/>
        </w:rPr>
        <w:t xml:space="preserve"> או ס</w:t>
      </w:r>
      <w:r w:rsidR="000778D2">
        <w:rPr>
          <w:rFonts w:ascii="David" w:hAnsi="David" w:cs="David" w:hint="cs"/>
          <w:sz w:val="28"/>
          <w:szCs w:val="28"/>
          <w:rtl/>
        </w:rPr>
        <w:t>'</w:t>
      </w:r>
      <w:r w:rsidRPr="003B5FE4">
        <w:rPr>
          <w:rFonts w:ascii="David" w:hAnsi="David" w:cs="David" w:hint="cs"/>
          <w:sz w:val="28"/>
          <w:szCs w:val="28"/>
          <w:rtl/>
        </w:rPr>
        <w:t xml:space="preserve"> ר</w:t>
      </w:r>
      <w:r w:rsidR="005D0579">
        <w:rPr>
          <w:rFonts w:ascii="David" w:hAnsi="David" w:cs="David" w:hint="cs"/>
          <w:sz w:val="28"/>
          <w:szCs w:val="28"/>
          <w:rtl/>
        </w:rPr>
        <w:t>'</w:t>
      </w:r>
      <w:r w:rsidRPr="003B5FE4">
        <w:rPr>
          <w:rFonts w:ascii="David" w:hAnsi="David" w:cs="David" w:hint="cs"/>
          <w:sz w:val="28"/>
          <w:szCs w:val="28"/>
          <w:rtl/>
        </w:rPr>
        <w:t>)</w:t>
      </w:r>
      <w:r w:rsidRPr="003B5FE4">
        <w:rPr>
          <w:rFonts w:ascii="David" w:hAnsi="David" w:cs="David"/>
          <w:sz w:val="28"/>
          <w:szCs w:val="28"/>
        </w:rPr>
        <w:t xml:space="preserve"> </w:t>
      </w:r>
      <w:r w:rsidRPr="003B5FE4">
        <w:rPr>
          <w:rFonts w:ascii="David" w:hAnsi="David" w:cs="David" w:hint="cs"/>
          <w:sz w:val="28"/>
          <w:szCs w:val="28"/>
          <w:rtl/>
        </w:rPr>
        <w:t xml:space="preserve">יחתום על ערבות צד ג' בסך 10,000 ש"ח. הערב שיחתום יהא גם המלווה והמפקח על המערער מעת צאתו ממתקן הכליאה ועד חזרתו אליו. </w:t>
      </w:r>
    </w:p>
    <w:p w14:paraId="65C730C8" w14:textId="77777777" w:rsidR="003B5FE4" w:rsidRPr="003B5FE4" w:rsidRDefault="003B5FE4" w:rsidP="001A2C30">
      <w:pPr>
        <w:numPr>
          <w:ilvl w:val="0"/>
          <w:numId w:val="2"/>
        </w:numPr>
        <w:tabs>
          <w:tab w:val="left" w:pos="-58"/>
          <w:tab w:val="left" w:pos="226"/>
          <w:tab w:val="left" w:pos="368"/>
          <w:tab w:val="left" w:pos="935"/>
        </w:tabs>
        <w:spacing w:after="200"/>
        <w:ind w:left="225" w:firstLine="0"/>
        <w:jc w:val="both"/>
        <w:rPr>
          <w:rFonts w:ascii="David" w:hAnsi="David" w:cs="David"/>
          <w:sz w:val="28"/>
          <w:szCs w:val="28"/>
        </w:rPr>
      </w:pPr>
      <w:r w:rsidRPr="003B5FE4">
        <w:rPr>
          <w:rFonts w:ascii="David" w:hAnsi="David" w:cs="David" w:hint="cs"/>
          <w:sz w:val="28"/>
          <w:szCs w:val="28"/>
          <w:rtl/>
        </w:rPr>
        <w:t xml:space="preserve">בכפוף לכך מתקבל ערעור ההגנה. </w:t>
      </w:r>
    </w:p>
    <w:p w14:paraId="25A747D1" w14:textId="77777777" w:rsidR="003B5FE4" w:rsidRPr="003B5FE4" w:rsidRDefault="003B5FE4" w:rsidP="001A2C30">
      <w:pPr>
        <w:contextualSpacing/>
        <w:jc w:val="both"/>
        <w:rPr>
          <w:rFonts w:ascii="David" w:eastAsia="Times New Roman" w:hAnsi="David" w:cs="David"/>
          <w:sz w:val="28"/>
          <w:szCs w:val="18"/>
          <w:rtl/>
        </w:rPr>
      </w:pPr>
    </w:p>
    <w:p w14:paraId="1D7AEAA1" w14:textId="7BE4934F" w:rsidR="003B5FE4" w:rsidRPr="003B5FE4" w:rsidRDefault="003B5FE4" w:rsidP="001A2C30">
      <w:pPr>
        <w:contextualSpacing/>
        <w:jc w:val="both"/>
        <w:rPr>
          <w:rFonts w:ascii="David" w:eastAsia="Times New Roman" w:hAnsi="David" w:cs="David"/>
          <w:sz w:val="28"/>
          <w:szCs w:val="28"/>
          <w:rtl/>
        </w:rPr>
      </w:pPr>
      <w:bookmarkStart w:id="2" w:name="Nitan"/>
      <w:r w:rsidRPr="003B5FE4">
        <w:rPr>
          <w:rFonts w:ascii="David" w:eastAsia="Times New Roman" w:hAnsi="David" w:cs="David"/>
          <w:sz w:val="28"/>
          <w:szCs w:val="28"/>
          <w:rtl/>
        </w:rPr>
        <w:t xml:space="preserve">ניתנה היום, </w:t>
      </w:r>
      <w:r w:rsidRPr="003B5FE4">
        <w:rPr>
          <w:rFonts w:ascii="David" w:eastAsia="Times New Roman" w:hAnsi="David" w:cs="David" w:hint="cs"/>
          <w:sz w:val="28"/>
          <w:szCs w:val="28"/>
          <w:rtl/>
        </w:rPr>
        <w:t xml:space="preserve">כ' באדר </w:t>
      </w:r>
      <w:proofErr w:type="spellStart"/>
      <w:r w:rsidR="003E3218">
        <w:rPr>
          <w:rFonts w:ascii="David" w:eastAsia="Times New Roman" w:hAnsi="David" w:cs="David" w:hint="cs"/>
          <w:sz w:val="28"/>
          <w:szCs w:val="28"/>
          <w:rtl/>
        </w:rPr>
        <w:t>ה</w:t>
      </w:r>
      <w:r w:rsidRPr="003B5FE4">
        <w:rPr>
          <w:rFonts w:ascii="David" w:eastAsia="Times New Roman" w:hAnsi="David" w:cs="David" w:hint="cs"/>
          <w:sz w:val="28"/>
          <w:szCs w:val="28"/>
          <w:rtl/>
        </w:rPr>
        <w:t>תשפ"ו</w:t>
      </w:r>
      <w:proofErr w:type="spellEnd"/>
      <w:r w:rsidRPr="003B5FE4">
        <w:rPr>
          <w:rFonts w:ascii="David" w:eastAsia="Times New Roman" w:hAnsi="David" w:cs="David"/>
          <w:sz w:val="28"/>
          <w:szCs w:val="28"/>
          <w:rtl/>
        </w:rPr>
        <w:t xml:space="preserve">, </w:t>
      </w:r>
      <w:r w:rsidRPr="003B5FE4">
        <w:rPr>
          <w:rFonts w:ascii="David" w:eastAsia="Times New Roman" w:hAnsi="David" w:cs="David" w:hint="cs"/>
          <w:sz w:val="28"/>
          <w:szCs w:val="28"/>
          <w:rtl/>
        </w:rPr>
        <w:t>9 במארס 2026</w:t>
      </w:r>
      <w:r w:rsidRPr="003B5FE4">
        <w:rPr>
          <w:rFonts w:ascii="David" w:eastAsia="Times New Roman" w:hAnsi="David" w:cs="David"/>
          <w:sz w:val="28"/>
          <w:szCs w:val="28"/>
          <w:rtl/>
        </w:rPr>
        <w:t>, בלשכה ותועבר לצדדים על ידי קצי</w:t>
      </w:r>
      <w:bookmarkEnd w:id="2"/>
      <w:r w:rsidRPr="003B5FE4">
        <w:rPr>
          <w:rFonts w:ascii="David" w:eastAsia="Times New Roman" w:hAnsi="David" w:cs="David" w:hint="cs"/>
          <w:sz w:val="28"/>
          <w:szCs w:val="28"/>
          <w:rtl/>
        </w:rPr>
        <w:t xml:space="preserve">נת בית הדין. </w:t>
      </w:r>
    </w:p>
    <w:p w14:paraId="5FC9340D" w14:textId="77777777" w:rsidR="003B5FE4" w:rsidRDefault="003B5FE4" w:rsidP="001A2C30">
      <w:pPr>
        <w:outlineLvl w:val="0"/>
        <w:rPr>
          <w:rFonts w:ascii="David" w:hAnsi="David" w:cs="David"/>
          <w:sz w:val="28"/>
          <w:szCs w:val="28"/>
          <w:rtl/>
        </w:rPr>
      </w:pPr>
    </w:p>
    <w:p w14:paraId="67CE2709" w14:textId="77777777" w:rsidR="003E3218" w:rsidRPr="00FC76BC" w:rsidRDefault="003B5FE4" w:rsidP="001A2C30">
      <w:pPr>
        <w:tabs>
          <w:tab w:val="center" w:pos="1599"/>
          <w:tab w:val="center" w:pos="4052"/>
        </w:tabs>
        <w:contextualSpacing/>
        <w:jc w:val="right"/>
        <w:rPr>
          <w:rFonts w:ascii="David" w:hAnsi="David" w:cs="David"/>
          <w:b/>
          <w:bCs/>
          <w:sz w:val="28"/>
          <w:szCs w:val="28"/>
          <w:rtl/>
        </w:rPr>
      </w:pPr>
      <w:r w:rsidRPr="00E608CB">
        <w:rPr>
          <w:rFonts w:ascii="David" w:hAnsi="David" w:cs="David"/>
          <w:sz w:val="28"/>
          <w:szCs w:val="28"/>
          <w:rtl/>
        </w:rPr>
        <w:t xml:space="preserve"> </w:t>
      </w:r>
      <w:r w:rsidR="003E3218" w:rsidRPr="00FC76BC">
        <w:rPr>
          <w:rFonts w:ascii="David" w:hAnsi="David" w:cs="David" w:hint="cs"/>
          <w:b/>
          <w:bCs/>
          <w:sz w:val="28"/>
          <w:szCs w:val="28"/>
          <w:rtl/>
        </w:rPr>
        <w:t xml:space="preserve">          ___</w:t>
      </w:r>
      <w:r w:rsidR="003E3218" w:rsidRPr="00FC76BC">
        <w:rPr>
          <w:rFonts w:ascii="David" w:hAnsi="David" w:cs="David"/>
          <w:b/>
          <w:bCs/>
          <w:sz w:val="28"/>
          <w:szCs w:val="28"/>
          <w:rtl/>
        </w:rPr>
        <w:t>__________________</w:t>
      </w:r>
    </w:p>
    <w:p w14:paraId="6ABC69F2" w14:textId="77777777" w:rsidR="003E3218" w:rsidRPr="00FC76BC" w:rsidRDefault="003E3218" w:rsidP="001A2C30">
      <w:pPr>
        <w:tabs>
          <w:tab w:val="center" w:pos="1599"/>
          <w:tab w:val="center" w:pos="4052"/>
        </w:tabs>
        <w:contextualSpacing/>
        <w:jc w:val="right"/>
        <w:rPr>
          <w:rFonts w:ascii="David" w:hAnsi="David" w:cs="David"/>
          <w:b/>
          <w:bCs/>
          <w:sz w:val="28"/>
          <w:szCs w:val="28"/>
          <w:rtl/>
        </w:rPr>
      </w:pPr>
      <w:r w:rsidRPr="00FC76BC">
        <w:rPr>
          <w:rFonts w:ascii="David" w:hAnsi="David" w:cs="David"/>
          <w:b/>
          <w:bCs/>
          <w:sz w:val="28"/>
          <w:szCs w:val="28"/>
          <w:rtl/>
        </w:rPr>
        <w:t>אל"ם</w:t>
      </w:r>
      <w:r w:rsidRPr="00FC76BC">
        <w:rPr>
          <w:rFonts w:ascii="David" w:hAnsi="David" w:cs="David" w:hint="cs"/>
          <w:b/>
          <w:bCs/>
          <w:sz w:val="28"/>
          <w:szCs w:val="28"/>
          <w:rtl/>
        </w:rPr>
        <w:t xml:space="preserve"> </w:t>
      </w:r>
      <w:r w:rsidRPr="00FC76BC">
        <w:rPr>
          <w:rFonts w:ascii="David" w:hAnsi="David" w:cs="David"/>
          <w:b/>
          <w:bCs/>
          <w:sz w:val="28"/>
          <w:szCs w:val="28"/>
          <w:rtl/>
        </w:rPr>
        <w:t xml:space="preserve"> </w:t>
      </w:r>
      <w:r w:rsidRPr="00FC76BC">
        <w:rPr>
          <w:rFonts w:ascii="David" w:hAnsi="David" w:cs="David" w:hint="cs"/>
          <w:b/>
          <w:bCs/>
          <w:sz w:val="28"/>
          <w:szCs w:val="28"/>
          <w:rtl/>
        </w:rPr>
        <w:t xml:space="preserve">   </w:t>
      </w:r>
      <w:r w:rsidRPr="00FC76BC">
        <w:rPr>
          <w:rFonts w:ascii="David" w:hAnsi="David" w:cs="David"/>
          <w:b/>
          <w:bCs/>
          <w:sz w:val="28"/>
          <w:szCs w:val="28"/>
          <w:rtl/>
        </w:rPr>
        <w:t>מאיה</w:t>
      </w:r>
      <w:r w:rsidRPr="00FC76BC">
        <w:rPr>
          <w:rFonts w:ascii="David" w:hAnsi="David" w:cs="David" w:hint="cs"/>
          <w:b/>
          <w:bCs/>
          <w:sz w:val="28"/>
          <w:szCs w:val="28"/>
          <w:rtl/>
        </w:rPr>
        <w:t xml:space="preserve">    </w:t>
      </w:r>
      <w:r w:rsidRPr="00FC76BC">
        <w:rPr>
          <w:rFonts w:ascii="David" w:hAnsi="David" w:cs="David"/>
          <w:b/>
          <w:bCs/>
          <w:sz w:val="28"/>
          <w:szCs w:val="28"/>
          <w:rtl/>
        </w:rPr>
        <w:t xml:space="preserve"> גולדשמידט</w:t>
      </w:r>
    </w:p>
    <w:p w14:paraId="59395569" w14:textId="77777777" w:rsidR="003E3218" w:rsidRPr="00FC76BC" w:rsidRDefault="003E3218" w:rsidP="001A2C30">
      <w:pPr>
        <w:tabs>
          <w:tab w:val="center" w:pos="1599"/>
          <w:tab w:val="center" w:pos="4052"/>
        </w:tabs>
        <w:contextualSpacing/>
        <w:jc w:val="right"/>
        <w:rPr>
          <w:rFonts w:ascii="David" w:hAnsi="David" w:cs="David"/>
          <w:b/>
          <w:bCs/>
          <w:sz w:val="28"/>
          <w:szCs w:val="28"/>
          <w:rtl/>
        </w:rPr>
      </w:pPr>
      <w:r w:rsidRPr="00FC76BC">
        <w:rPr>
          <w:rFonts w:ascii="David" w:hAnsi="David" w:cs="David"/>
          <w:b/>
          <w:bCs/>
          <w:sz w:val="28"/>
          <w:szCs w:val="2"/>
          <w:rtl/>
        </w:rPr>
        <w:t>5123</w:t>
      </w:r>
      <w:r w:rsidRPr="00FC76BC">
        <w:rPr>
          <w:rFonts w:ascii="David" w:hAnsi="David" w:cs="David"/>
          <w:b/>
          <w:bCs/>
          <w:sz w:val="28"/>
          <w:szCs w:val="28"/>
          <w:rtl/>
        </w:rPr>
        <w:t xml:space="preserve">שופטת  </w:t>
      </w:r>
      <w:r w:rsidRPr="00FC76BC">
        <w:rPr>
          <w:rFonts w:ascii="David" w:hAnsi="David" w:cs="David" w:hint="cs"/>
          <w:b/>
          <w:bCs/>
          <w:sz w:val="28"/>
          <w:szCs w:val="28"/>
          <w:rtl/>
        </w:rPr>
        <w:t xml:space="preserve"> </w:t>
      </w:r>
      <w:r w:rsidRPr="00FC76BC">
        <w:rPr>
          <w:rFonts w:ascii="David" w:hAnsi="David" w:cs="David"/>
          <w:b/>
          <w:bCs/>
          <w:sz w:val="28"/>
          <w:szCs w:val="28"/>
          <w:rtl/>
        </w:rPr>
        <w:t xml:space="preserve"> </w:t>
      </w:r>
      <w:r w:rsidRPr="00FC76BC">
        <w:rPr>
          <w:rFonts w:ascii="David" w:hAnsi="David" w:cs="David" w:hint="cs"/>
          <w:b/>
          <w:bCs/>
          <w:sz w:val="28"/>
          <w:szCs w:val="28"/>
          <w:rtl/>
        </w:rPr>
        <w:t xml:space="preserve"> </w:t>
      </w:r>
      <w:r w:rsidRPr="00FC76BC">
        <w:rPr>
          <w:rFonts w:ascii="David" w:hAnsi="David" w:cs="David"/>
          <w:b/>
          <w:bCs/>
          <w:sz w:val="28"/>
          <w:szCs w:val="28"/>
          <w:rtl/>
        </w:rPr>
        <w:t xml:space="preserve">בית </w:t>
      </w:r>
      <w:r w:rsidRPr="00FC76BC">
        <w:rPr>
          <w:rFonts w:ascii="David" w:hAnsi="David" w:cs="David" w:hint="cs"/>
          <w:b/>
          <w:bCs/>
          <w:sz w:val="28"/>
          <w:szCs w:val="28"/>
          <w:rtl/>
        </w:rPr>
        <w:t xml:space="preserve">  </w:t>
      </w:r>
      <w:r w:rsidRPr="00FC76BC">
        <w:rPr>
          <w:rFonts w:ascii="David" w:hAnsi="David" w:cs="David"/>
          <w:b/>
          <w:bCs/>
          <w:sz w:val="28"/>
          <w:szCs w:val="28"/>
          <w:rtl/>
        </w:rPr>
        <w:t xml:space="preserve"> </w:t>
      </w:r>
      <w:r w:rsidRPr="00FC76BC">
        <w:rPr>
          <w:rFonts w:ascii="David" w:hAnsi="David" w:cs="David" w:hint="cs"/>
          <w:b/>
          <w:bCs/>
          <w:sz w:val="28"/>
          <w:szCs w:val="28"/>
          <w:rtl/>
        </w:rPr>
        <w:t xml:space="preserve"> </w:t>
      </w:r>
      <w:r w:rsidRPr="00FC76BC">
        <w:rPr>
          <w:rFonts w:ascii="David" w:hAnsi="David" w:cs="David"/>
          <w:b/>
          <w:bCs/>
          <w:sz w:val="28"/>
          <w:szCs w:val="28"/>
          <w:rtl/>
        </w:rPr>
        <w:t xml:space="preserve">דין </w:t>
      </w:r>
      <w:r w:rsidRPr="00FC76BC">
        <w:rPr>
          <w:rFonts w:ascii="David" w:hAnsi="David" w:cs="David" w:hint="cs"/>
          <w:b/>
          <w:bCs/>
          <w:sz w:val="28"/>
          <w:szCs w:val="28"/>
          <w:rtl/>
        </w:rPr>
        <w:t xml:space="preserve">   </w:t>
      </w:r>
      <w:r w:rsidRPr="00FC76BC">
        <w:rPr>
          <w:rFonts w:ascii="David" w:hAnsi="David" w:cs="David"/>
          <w:b/>
          <w:bCs/>
          <w:sz w:val="28"/>
          <w:szCs w:val="28"/>
          <w:rtl/>
        </w:rPr>
        <w:t>הצבאי</w:t>
      </w:r>
    </w:p>
    <w:p w14:paraId="33471B03" w14:textId="240FD4FF" w:rsidR="003B5FE4" w:rsidRPr="003E3218" w:rsidRDefault="003E3218" w:rsidP="001A2C30">
      <w:pPr>
        <w:tabs>
          <w:tab w:val="center" w:pos="1599"/>
          <w:tab w:val="center" w:pos="4052"/>
        </w:tabs>
        <w:contextualSpacing/>
        <w:jc w:val="right"/>
        <w:rPr>
          <w:rFonts w:ascii="David" w:hAnsi="David" w:cs="David"/>
          <w:b/>
          <w:bCs/>
          <w:sz w:val="28"/>
          <w:szCs w:val="24"/>
          <w:rtl/>
        </w:rPr>
      </w:pPr>
      <w:r w:rsidRPr="00FC76BC">
        <w:rPr>
          <w:rFonts w:ascii="David" w:hAnsi="David" w:cs="David"/>
          <w:b/>
          <w:bCs/>
          <w:sz w:val="28"/>
          <w:szCs w:val="2"/>
          <w:rtl/>
        </w:rPr>
        <w:t>54678313</w:t>
      </w:r>
      <w:r w:rsidRPr="00FC76BC">
        <w:rPr>
          <w:rFonts w:ascii="David" w:hAnsi="David" w:cs="David"/>
          <w:b/>
          <w:bCs/>
          <w:sz w:val="28"/>
          <w:szCs w:val="28"/>
          <w:rtl/>
        </w:rPr>
        <w:t xml:space="preserve">ל     </w:t>
      </w:r>
      <w:r w:rsidRPr="00FC76BC">
        <w:rPr>
          <w:rFonts w:ascii="David" w:hAnsi="David" w:cs="David" w:hint="cs"/>
          <w:b/>
          <w:bCs/>
          <w:sz w:val="28"/>
          <w:szCs w:val="28"/>
          <w:rtl/>
        </w:rPr>
        <w:t xml:space="preserve"> </w:t>
      </w:r>
      <w:r w:rsidRPr="00FC76BC">
        <w:rPr>
          <w:rFonts w:ascii="David" w:hAnsi="David" w:cs="David"/>
          <w:b/>
          <w:bCs/>
          <w:sz w:val="28"/>
          <w:szCs w:val="28"/>
          <w:rtl/>
        </w:rPr>
        <w:t xml:space="preserve">ע   </w:t>
      </w:r>
      <w:r w:rsidRPr="00FC76BC">
        <w:rPr>
          <w:rFonts w:ascii="David" w:hAnsi="David" w:cs="David" w:hint="cs"/>
          <w:b/>
          <w:bCs/>
          <w:sz w:val="28"/>
          <w:szCs w:val="28"/>
          <w:rtl/>
        </w:rPr>
        <w:t xml:space="preserve">  </w:t>
      </w:r>
      <w:r w:rsidRPr="00FC76BC">
        <w:rPr>
          <w:rFonts w:ascii="David" w:hAnsi="David" w:cs="David"/>
          <w:b/>
          <w:bCs/>
          <w:sz w:val="28"/>
          <w:szCs w:val="28"/>
          <w:rtl/>
        </w:rPr>
        <w:t xml:space="preserve"> ר   ע  </w:t>
      </w:r>
      <w:r w:rsidRPr="00FC76BC">
        <w:rPr>
          <w:rFonts w:ascii="David" w:hAnsi="David" w:cs="David" w:hint="cs"/>
          <w:b/>
          <w:bCs/>
          <w:sz w:val="28"/>
          <w:szCs w:val="28"/>
          <w:rtl/>
        </w:rPr>
        <w:t xml:space="preserve"> </w:t>
      </w:r>
      <w:r w:rsidRPr="00FC76BC">
        <w:rPr>
          <w:rFonts w:ascii="David" w:hAnsi="David" w:cs="David"/>
          <w:b/>
          <w:bCs/>
          <w:sz w:val="28"/>
          <w:szCs w:val="28"/>
          <w:rtl/>
        </w:rPr>
        <w:t xml:space="preserve"> ו   </w:t>
      </w:r>
      <w:r w:rsidRPr="00FC76BC">
        <w:rPr>
          <w:rFonts w:ascii="David" w:hAnsi="David" w:cs="David" w:hint="cs"/>
          <w:b/>
          <w:bCs/>
          <w:sz w:val="28"/>
          <w:szCs w:val="28"/>
          <w:rtl/>
        </w:rPr>
        <w:t xml:space="preserve"> </w:t>
      </w:r>
      <w:r w:rsidRPr="00FC76BC">
        <w:rPr>
          <w:rFonts w:ascii="David" w:hAnsi="David" w:cs="David"/>
          <w:b/>
          <w:bCs/>
          <w:sz w:val="28"/>
          <w:szCs w:val="28"/>
          <w:rtl/>
        </w:rPr>
        <w:t xml:space="preserve">ר  </w:t>
      </w:r>
      <w:r w:rsidRPr="00FC76BC">
        <w:rPr>
          <w:rFonts w:ascii="David" w:hAnsi="David" w:cs="David" w:hint="cs"/>
          <w:b/>
          <w:bCs/>
          <w:sz w:val="28"/>
          <w:szCs w:val="28"/>
          <w:rtl/>
        </w:rPr>
        <w:t xml:space="preserve"> </w:t>
      </w:r>
      <w:r w:rsidRPr="00FC76BC">
        <w:rPr>
          <w:rFonts w:ascii="David" w:hAnsi="David" w:cs="David"/>
          <w:b/>
          <w:bCs/>
          <w:sz w:val="28"/>
          <w:szCs w:val="28"/>
          <w:rtl/>
        </w:rPr>
        <w:t xml:space="preserve"> י </w:t>
      </w:r>
      <w:r w:rsidRPr="00FC76BC">
        <w:rPr>
          <w:rFonts w:ascii="David" w:hAnsi="David" w:cs="David" w:hint="cs"/>
          <w:b/>
          <w:bCs/>
          <w:sz w:val="28"/>
          <w:szCs w:val="28"/>
          <w:rtl/>
        </w:rPr>
        <w:t xml:space="preserve">  </w:t>
      </w:r>
      <w:r w:rsidRPr="00FC76BC">
        <w:rPr>
          <w:rFonts w:ascii="David" w:hAnsi="David" w:cs="David"/>
          <w:b/>
          <w:bCs/>
          <w:sz w:val="28"/>
          <w:szCs w:val="28"/>
          <w:rtl/>
        </w:rPr>
        <w:t xml:space="preserve">  ם</w:t>
      </w:r>
    </w:p>
    <w:p w14:paraId="1BAC0486" w14:textId="77777777" w:rsidR="003B5FE4" w:rsidRDefault="003B5FE4" w:rsidP="001A2C30">
      <w:pPr>
        <w:outlineLvl w:val="0"/>
        <w:rPr>
          <w:rFonts w:ascii="David" w:hAnsi="David" w:cs="David"/>
          <w:sz w:val="28"/>
          <w:szCs w:val="28"/>
          <w:rtl/>
        </w:rPr>
      </w:pPr>
    </w:p>
    <w:p w14:paraId="313657A8" w14:textId="77777777" w:rsidR="003B5FE4" w:rsidRPr="00405BC8" w:rsidRDefault="003B5FE4" w:rsidP="001A2C30">
      <w:pPr>
        <w:ind w:left="-58" w:right="-567"/>
        <w:rPr>
          <w:rFonts w:ascii="David" w:hAnsi="David" w:cs="David"/>
          <w:b/>
          <w:bCs/>
          <w:sz w:val="28"/>
          <w:szCs w:val="28"/>
          <w:rtl/>
        </w:rPr>
      </w:pPr>
      <w:bookmarkStart w:id="3" w:name="_Hlk122599666"/>
      <w:bookmarkStart w:id="4"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0CCD8CBE" w14:textId="77777777" w:rsidR="003B5FE4" w:rsidRPr="00405BC8" w:rsidRDefault="003B5FE4" w:rsidP="001A2C30">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449D1E27" w14:textId="77777777" w:rsidR="003B5FE4" w:rsidRPr="00405BC8" w:rsidRDefault="003B5FE4" w:rsidP="001A2C30">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3"/>
    </w:p>
    <w:bookmarkEnd w:id="4"/>
    <w:p w14:paraId="5A9AA2CC" w14:textId="77777777" w:rsidR="003B5FE4" w:rsidRPr="00E608CB" w:rsidRDefault="003B5FE4" w:rsidP="001A2C30">
      <w:pPr>
        <w:outlineLvl w:val="0"/>
        <w:rPr>
          <w:rFonts w:ascii="David" w:hAnsi="David" w:cs="David"/>
          <w:sz w:val="28"/>
          <w:szCs w:val="28"/>
          <w:rtl/>
        </w:rPr>
      </w:pPr>
    </w:p>
    <w:p w14:paraId="796443C6" w14:textId="77777777" w:rsidR="003B5FE4" w:rsidRPr="00E608CB" w:rsidRDefault="003B5FE4" w:rsidP="001A2C30">
      <w:pPr>
        <w:outlineLvl w:val="0"/>
        <w:rPr>
          <w:rFonts w:ascii="David" w:hAnsi="David" w:cs="David"/>
          <w:sz w:val="28"/>
          <w:szCs w:val="28"/>
          <w:rtl/>
        </w:rPr>
      </w:pPr>
    </w:p>
    <w:p w14:paraId="1688F0B4" w14:textId="77777777" w:rsidR="003B5FE4" w:rsidRPr="00E608CB" w:rsidRDefault="003B5FE4" w:rsidP="001A2C30">
      <w:pPr>
        <w:outlineLvl w:val="0"/>
        <w:rPr>
          <w:rFonts w:ascii="David" w:hAnsi="David" w:cs="David"/>
          <w:sz w:val="28"/>
          <w:szCs w:val="28"/>
          <w:rtl/>
        </w:rPr>
      </w:pPr>
    </w:p>
    <w:p w14:paraId="1E86E0EA" w14:textId="77777777" w:rsidR="003B5FE4" w:rsidRDefault="003B5FE4" w:rsidP="001A2C30">
      <w:pPr>
        <w:outlineLvl w:val="0"/>
        <w:rPr>
          <w:rFonts w:ascii="David" w:hAnsi="David" w:cs="David"/>
          <w:sz w:val="28"/>
          <w:szCs w:val="28"/>
          <w:rtl/>
        </w:rPr>
      </w:pPr>
    </w:p>
    <w:p w14:paraId="376F3B56" w14:textId="77777777" w:rsidR="003B5FE4" w:rsidRPr="00E608CB" w:rsidRDefault="003B5FE4" w:rsidP="001A2C30">
      <w:pPr>
        <w:outlineLvl w:val="0"/>
        <w:rPr>
          <w:rFonts w:ascii="David" w:hAnsi="David" w:cs="David"/>
          <w:sz w:val="28"/>
          <w:szCs w:val="28"/>
          <w:rtl/>
        </w:rPr>
      </w:pPr>
    </w:p>
    <w:p w14:paraId="41019881" w14:textId="77777777" w:rsidR="005A61A2" w:rsidRDefault="005A61A2" w:rsidP="001A2C30"/>
    <w:sectPr w:rsidR="005A61A2" w:rsidSect="003B5FE4">
      <w:headerReference w:type="even" r:id="rId11"/>
      <w:headerReference w:type="default" r:id="rId12"/>
      <w:footerReference w:type="default" r:id="rId13"/>
      <w:headerReference w:type="first" r:id="rId14"/>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71D9" w14:textId="77777777" w:rsidR="00F9357C" w:rsidRDefault="00F9357C" w:rsidP="003E3218">
      <w:pPr>
        <w:spacing w:line="240" w:lineRule="auto"/>
      </w:pPr>
      <w:r>
        <w:separator/>
      </w:r>
    </w:p>
  </w:endnote>
  <w:endnote w:type="continuationSeparator" w:id="0">
    <w:p w14:paraId="1B6BD157" w14:textId="77777777" w:rsidR="00F9357C" w:rsidRDefault="00F9357C" w:rsidP="003E3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17BA" w14:textId="77777777" w:rsidR="003B5FE4" w:rsidRPr="00AD7F34" w:rsidRDefault="003B5FE4">
    <w:pPr>
      <w:pStyle w:val="Footer"/>
      <w:jc w:val="center"/>
      <w:rPr>
        <w:rFonts w:ascii="David" w:hAnsi="David" w:cs="David"/>
        <w:sz w:val="28"/>
        <w:szCs w:val="28"/>
      </w:rPr>
    </w:pPr>
    <w:r w:rsidRPr="00AD7F34">
      <w:rPr>
        <w:rFonts w:ascii="David" w:hAnsi="David" w:cs="David"/>
        <w:sz w:val="28"/>
        <w:szCs w:val="28"/>
      </w:rPr>
      <w:fldChar w:fldCharType="begin"/>
    </w:r>
    <w:r w:rsidRPr="00AD7F34">
      <w:rPr>
        <w:rFonts w:ascii="David" w:hAnsi="David" w:cs="David"/>
        <w:sz w:val="28"/>
        <w:szCs w:val="28"/>
      </w:rPr>
      <w:instrText>PAGE</w:instrText>
    </w:r>
    <w:r w:rsidRPr="00AD7F34">
      <w:rPr>
        <w:rFonts w:ascii="David" w:hAnsi="David" w:cs="David"/>
        <w:sz w:val="28"/>
        <w:szCs w:val="28"/>
      </w:rPr>
      <w:fldChar w:fldCharType="separate"/>
    </w:r>
    <w:r w:rsidRPr="00AD7F34">
      <w:rPr>
        <w:rFonts w:ascii="David" w:hAnsi="David" w:cs="David"/>
        <w:noProof/>
        <w:sz w:val="28"/>
        <w:szCs w:val="28"/>
        <w:rtl/>
      </w:rPr>
      <w:t>4</w:t>
    </w:r>
    <w:r w:rsidRPr="00AD7F34">
      <w:rPr>
        <w:rFonts w:ascii="David" w:hAnsi="David" w:cs="David"/>
        <w:noProof/>
        <w:sz w:val="28"/>
        <w:szCs w:val="28"/>
        <w:rtl/>
      </w:rPr>
      <w:t>5</w:t>
    </w:r>
    <w:r w:rsidRPr="00AD7F34">
      <w:rPr>
        <w:rFonts w:ascii="David" w:hAnsi="David" w:cs="David"/>
        <w:sz w:val="28"/>
        <w:szCs w:val="28"/>
      </w:rPr>
      <w:fldChar w:fldCharType="end"/>
    </w:r>
  </w:p>
  <w:p w14:paraId="08A1EFFF" w14:textId="77777777" w:rsidR="003B5FE4" w:rsidRDefault="003B5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3DC0" w14:textId="77777777" w:rsidR="00F9357C" w:rsidRDefault="00F9357C" w:rsidP="003E3218">
      <w:pPr>
        <w:spacing w:line="240" w:lineRule="auto"/>
      </w:pPr>
      <w:r>
        <w:separator/>
      </w:r>
    </w:p>
  </w:footnote>
  <w:footnote w:type="continuationSeparator" w:id="0">
    <w:p w14:paraId="0F444A11" w14:textId="77777777" w:rsidR="00F9357C" w:rsidRDefault="00F9357C" w:rsidP="003E32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521" w14:textId="19FF875D" w:rsidR="003B5FE4" w:rsidRDefault="003E3218">
    <w:pPr>
      <w:pStyle w:val="Header"/>
    </w:pPr>
    <w:r>
      <w:rPr>
        <w:noProof/>
        <w14:ligatures w14:val="standardContextual"/>
      </w:rPr>
      <mc:AlternateContent>
        <mc:Choice Requires="wps">
          <w:drawing>
            <wp:anchor distT="0" distB="0" distL="0" distR="0" simplePos="0" relativeHeight="251658752" behindDoc="0" locked="0" layoutInCell="1" allowOverlap="1" wp14:anchorId="7AF8C9E8" wp14:editId="76059BBD">
              <wp:simplePos x="635" y="635"/>
              <wp:positionH relativeFrom="page">
                <wp:align>center</wp:align>
              </wp:positionH>
              <wp:positionV relativeFrom="page">
                <wp:align>top</wp:align>
              </wp:positionV>
              <wp:extent cx="462280" cy="422910"/>
              <wp:effectExtent l="0" t="0" r="13970" b="15240"/>
              <wp:wrapNone/>
              <wp:docPr id="432003642" name="Text Box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42387836" w14:textId="0B68759B"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8C9E8" id="_x0000_t202" coordsize="21600,21600" o:spt="202" path="m,l,21600r21600,l21600,xe">
              <v:stroke joinstyle="miter"/>
              <v:path gradientshapeok="t" o:connecttype="rect"/>
            </v:shapetype>
            <v:shape id="Text Box 2" o:spid="_x0000_s1026" type="#_x0000_t202" alt="- בלמ&quot;ס -" style="position:absolute;left:0;text-align:left;margin-left:0;margin-top:0;width:36.4pt;height:33.3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" filled="f" stroked="f">
              <v:fill o:detectmouseclick="t"/>
              <v:textbox style="mso-fit-shape-to-text:t" inset="0,15pt,0,0">
                <w:txbxContent>
                  <w:p w14:paraId="42387836" w14:textId="0B68759B"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v:textbox>
              <w10:wrap anchorx="page" anchory="page"/>
            </v:shape>
          </w:pict>
        </mc:Fallback>
      </mc:AlternateContent>
    </w:r>
    <w:r w:rsidR="003B5FE4">
      <w:rPr>
        <w:noProof/>
      </w:rPr>
      <mc:AlternateContent>
        <mc:Choice Requires="wps">
          <w:drawing>
            <wp:anchor distT="0" distB="0" distL="0" distR="0" simplePos="0" relativeHeight="251656704" behindDoc="0" locked="0" layoutInCell="1" allowOverlap="1" wp14:anchorId="749ED648" wp14:editId="0C8F82F8">
              <wp:simplePos x="0" y="0"/>
              <wp:positionH relativeFrom="page">
                <wp:align>center</wp:align>
              </wp:positionH>
              <wp:positionV relativeFrom="page">
                <wp:align>top</wp:align>
              </wp:positionV>
              <wp:extent cx="443865" cy="4438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3D49C554" w14:textId="77777777" w:rsidR="003B5FE4" w:rsidRPr="00A54410" w:rsidRDefault="003B5FE4" w:rsidP="00A54410">
                          <w:pPr>
                            <w:rPr>
                              <w:rFonts w:cs="Calibri"/>
                              <w:noProof/>
                              <w:color w:val="000000"/>
                              <w:sz w:val="20"/>
                              <w:szCs w:val="20"/>
                            </w:rPr>
                          </w:pPr>
                          <w:r w:rsidRPr="00A54410">
                            <w:rPr>
                              <w:rFonts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9ED648" id="Text Box 3" o:spid="_x0000_s1027" type="#_x0000_t202" style="position:absolute;left:0;text-align:left;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" filled="f" stroked="f">
              <v:textbox style="mso-fit-shape-to-text:t" inset="0,15pt,0,0">
                <w:txbxContent>
                  <w:p w14:paraId="3D49C554" w14:textId="77777777" w:rsidR="003B5FE4" w:rsidRPr="00A54410" w:rsidRDefault="003B5FE4"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A0D6" w14:textId="0B470EA9" w:rsidR="003B5FE4" w:rsidRDefault="003E3218" w:rsidP="00260C26">
    <w:pPr>
      <w:pStyle w:val="Header"/>
      <w:jc w:val="center"/>
      <w:rPr>
        <w:rFonts w:ascii="David" w:hAnsi="David" w:cs="David"/>
        <w:sz w:val="28"/>
        <w:szCs w:val="28"/>
        <w:rtl/>
      </w:rPr>
    </w:pPr>
    <w:r>
      <w:rPr>
        <w:rFonts w:ascii="David" w:hAnsi="David" w:cs="David" w:hint="cs"/>
        <w:noProof/>
        <w:sz w:val="28"/>
        <w:szCs w:val="28"/>
        <w:rtl/>
        <w:lang w:val="he-IL"/>
        <w14:ligatures w14:val="standardContextual"/>
      </w:rPr>
      <mc:AlternateContent>
        <mc:Choice Requires="wps">
          <w:drawing>
            <wp:anchor distT="0" distB="0" distL="0" distR="0" simplePos="0" relativeHeight="251659776" behindDoc="0" locked="0" layoutInCell="1" allowOverlap="1" wp14:anchorId="400A20B1" wp14:editId="6D37D4B6">
              <wp:simplePos x="904875" y="447675"/>
              <wp:positionH relativeFrom="page">
                <wp:align>center</wp:align>
              </wp:positionH>
              <wp:positionV relativeFrom="page">
                <wp:align>top</wp:align>
              </wp:positionV>
              <wp:extent cx="462280" cy="422910"/>
              <wp:effectExtent l="0" t="0" r="13970" b="15240"/>
              <wp:wrapNone/>
              <wp:docPr id="1348797253"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727DF362" w14:textId="64EEFE4B"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A20B1" id="_x0000_t202" coordsize="21600,21600" o:spt="202" path="m,l,21600r21600,l21600,xe">
              <v:stroke joinstyle="miter"/>
              <v:path gradientshapeok="t" o:connecttype="rect"/>
            </v:shapetype>
            <v:shape id="_x0000_s1028" type="#_x0000_t202" alt="- בלמ&quot;ס -" style="position:absolute;left:0;text-align:left;margin-left:0;margin-top:0;width:36.4pt;height:33.3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" filled="f" stroked="f">
              <v:textbox style="mso-fit-shape-to-text:t" inset="0,15pt,0,0">
                <w:txbxContent>
                  <w:p w14:paraId="727DF362" w14:textId="64EEFE4B"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v:textbox>
              <w10:wrap anchorx="page" anchory="page"/>
            </v:shape>
          </w:pict>
        </mc:Fallback>
      </mc:AlternateContent>
    </w:r>
    <w:r w:rsidR="003B5FE4">
      <w:rPr>
        <w:rFonts w:ascii="David" w:hAnsi="David" w:cs="David" w:hint="cs"/>
        <w:sz w:val="28"/>
        <w:szCs w:val="28"/>
        <w:rtl/>
      </w:rPr>
      <w:t xml:space="preserve">                                                                 </w:t>
    </w:r>
  </w:p>
  <w:p w14:paraId="20F52330" w14:textId="393FFDCF" w:rsidR="003B5FE4" w:rsidRDefault="003B5FE4" w:rsidP="00924749">
    <w:pPr>
      <w:pStyle w:val="Header"/>
      <w:tabs>
        <w:tab w:val="clear" w:pos="4153"/>
        <w:tab w:val="center" w:pos="3911"/>
      </w:tabs>
      <w:jc w:val="center"/>
      <w:rPr>
        <w:rFonts w:ascii="David" w:hAnsi="David" w:cs="David"/>
        <w:sz w:val="28"/>
        <w:szCs w:val="28"/>
        <w:rtl/>
      </w:rPr>
    </w:pPr>
    <w:r>
      <w:rPr>
        <w:rFonts w:ascii="David" w:hAnsi="David" w:cs="David" w:hint="cs"/>
        <w:sz w:val="28"/>
        <w:szCs w:val="28"/>
        <w:rtl/>
      </w:rPr>
      <w:t xml:space="preserve">                                                                </w:t>
    </w:r>
    <w:r>
      <w:rPr>
        <w:rFonts w:ascii="David" w:hAnsi="David" w:cs="David" w:hint="cs"/>
        <w:sz w:val="28"/>
        <w:szCs w:val="28"/>
        <w:rtl/>
      </w:rPr>
      <w:t xml:space="preserve">ב ל מ " ס    </w:t>
    </w:r>
    <w:r w:rsidR="003E3218">
      <w:rPr>
        <w:rFonts w:ascii="David" w:hAnsi="David" w:cs="David" w:hint="cs"/>
        <w:sz w:val="28"/>
        <w:szCs w:val="28"/>
        <w:rtl/>
      </w:rPr>
      <w:t xml:space="preserve">              </w:t>
    </w:r>
    <w:r>
      <w:rPr>
        <w:rFonts w:ascii="David" w:hAnsi="David" w:cs="David" w:hint="cs"/>
        <w:sz w:val="28"/>
        <w:szCs w:val="28"/>
        <w:rtl/>
      </w:rPr>
      <w:t xml:space="preserve">                 </w:t>
    </w:r>
    <w:proofErr w:type="spellStart"/>
    <w:r w:rsidR="003E3218">
      <w:rPr>
        <w:rFonts w:ascii="David" w:hAnsi="David" w:cs="David" w:hint="cs"/>
        <w:sz w:val="28"/>
        <w:szCs w:val="28"/>
        <w:rtl/>
      </w:rPr>
      <w:t>עמ</w:t>
    </w:r>
    <w:r w:rsidR="009579FE">
      <w:rPr>
        <w:rFonts w:ascii="David" w:hAnsi="David" w:cs="David" w:hint="cs"/>
        <w:sz w:val="28"/>
        <w:szCs w:val="28"/>
        <w:rtl/>
      </w:rPr>
      <w:t>"ת</w:t>
    </w:r>
    <w:proofErr w:type="spellEnd"/>
    <w:r w:rsidR="003E3218">
      <w:rPr>
        <w:rFonts w:ascii="David" w:hAnsi="David" w:cs="David" w:hint="cs"/>
        <w:sz w:val="28"/>
        <w:szCs w:val="28"/>
        <w:rtl/>
      </w:rPr>
      <w:t xml:space="preserve"> 17129-03-26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8B6F" w14:textId="386744B9" w:rsidR="003B5FE4" w:rsidRDefault="003E3218">
    <w:pPr>
      <w:pStyle w:val="Header"/>
    </w:pPr>
    <w:r>
      <w:rPr>
        <w:noProof/>
        <w14:ligatures w14:val="standardContextual"/>
      </w:rPr>
      <mc:AlternateContent>
        <mc:Choice Requires="wps">
          <w:drawing>
            <wp:anchor distT="0" distB="0" distL="0" distR="0" simplePos="0" relativeHeight="251657728" behindDoc="0" locked="0" layoutInCell="1" allowOverlap="1" wp14:anchorId="6CC44998" wp14:editId="746E51B0">
              <wp:simplePos x="635" y="635"/>
              <wp:positionH relativeFrom="page">
                <wp:align>center</wp:align>
              </wp:positionH>
              <wp:positionV relativeFrom="page">
                <wp:align>top</wp:align>
              </wp:positionV>
              <wp:extent cx="462280" cy="422910"/>
              <wp:effectExtent l="0" t="0" r="13970" b="15240"/>
              <wp:wrapNone/>
              <wp:docPr id="1276363479" name="Text Box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096A0DDF" w14:textId="44A2CEDF"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44998" id="_x0000_t202" coordsize="21600,21600" o:spt="202" path="m,l,21600r21600,l21600,xe">
              <v:stroke joinstyle="miter"/>
              <v:path gradientshapeok="t" o:connecttype="rect"/>
            </v:shapetype>
            <v:shape id="Text Box 1" o:spid="_x0000_s1029" type="#_x0000_t202" alt="- בלמ&quot;ס -" style="position:absolute;left:0;text-align:left;margin-left:0;margin-top:0;width:36.4pt;height:33.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" filled="f" stroked="f">
              <v:fill o:detectmouseclick="t"/>
              <v:textbox style="mso-fit-shape-to-text:t" inset="0,15pt,0,0">
                <w:txbxContent>
                  <w:p w14:paraId="096A0DDF" w14:textId="44A2CEDF"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v:textbox>
              <w10:wrap anchorx="page" anchory="page"/>
            </v:shape>
          </w:pict>
        </mc:Fallback>
      </mc:AlternateContent>
    </w:r>
    <w:r w:rsidR="003B5FE4">
      <w:rPr>
        <w:noProof/>
      </w:rPr>
      <mc:AlternateContent>
        <mc:Choice Requires="wps">
          <w:drawing>
            <wp:anchor distT="0" distB="0" distL="0" distR="0" simplePos="0" relativeHeight="251655680" behindDoc="0" locked="0" layoutInCell="1" allowOverlap="1" wp14:anchorId="05A6AC20" wp14:editId="6625F8B3">
              <wp:simplePos x="0" y="0"/>
              <wp:positionH relativeFrom="page">
                <wp:align>center</wp:align>
              </wp:positionH>
              <wp:positionV relativeFrom="page">
                <wp:align>top</wp:align>
              </wp:positionV>
              <wp:extent cx="443865" cy="4438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67245A16" w14:textId="77777777" w:rsidR="003B5FE4" w:rsidRPr="00A54410" w:rsidRDefault="003B5FE4" w:rsidP="00A54410">
                          <w:pPr>
                            <w:rPr>
                              <w:rFonts w:cs="Calibri"/>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6AC20" id="_x0000_s1030" type="#_x0000_t202" style="position:absolute;left:0;text-align:left;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" filled="f" stroked="f">
              <v:textbox style="mso-fit-shape-to-text:t" inset="0,15pt,0,0">
                <w:txbxContent>
                  <w:p w14:paraId="67245A16" w14:textId="77777777" w:rsidR="003B5FE4" w:rsidRPr="00A54410" w:rsidRDefault="003B5FE4" w:rsidP="00A54410">
                    <w:pPr>
                      <w:rPr>
                        <w:rFonts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009E"/>
    <w:multiLevelType w:val="hybridMultilevel"/>
    <w:tmpl w:val="1B248C6C"/>
    <w:lvl w:ilvl="0" w:tplc="8F262D5E">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A79D1"/>
    <w:multiLevelType w:val="hybridMultilevel"/>
    <w:tmpl w:val="F38AAB60"/>
    <w:lvl w:ilvl="0" w:tplc="845C318A">
      <w:start w:val="1"/>
      <w:numFmt w:val="hebrew1"/>
      <w:lvlText w:val="%1."/>
      <w:lvlJc w:val="left"/>
      <w:pPr>
        <w:ind w:left="585" w:hanging="360"/>
      </w:pPr>
      <w:rPr>
        <w:rFonts w:hint="default"/>
      </w:rPr>
    </w:lvl>
    <w:lvl w:ilvl="1" w:tplc="20000019" w:tentative="1">
      <w:start w:val="1"/>
      <w:numFmt w:val="lowerLetter"/>
      <w:lvlText w:val="%2."/>
      <w:lvlJc w:val="left"/>
      <w:pPr>
        <w:ind w:left="1305" w:hanging="360"/>
      </w:pPr>
    </w:lvl>
    <w:lvl w:ilvl="2" w:tplc="2000001B" w:tentative="1">
      <w:start w:val="1"/>
      <w:numFmt w:val="lowerRoman"/>
      <w:lvlText w:val="%3."/>
      <w:lvlJc w:val="right"/>
      <w:pPr>
        <w:ind w:left="2025" w:hanging="180"/>
      </w:pPr>
    </w:lvl>
    <w:lvl w:ilvl="3" w:tplc="2000000F" w:tentative="1">
      <w:start w:val="1"/>
      <w:numFmt w:val="decimal"/>
      <w:lvlText w:val="%4."/>
      <w:lvlJc w:val="left"/>
      <w:pPr>
        <w:ind w:left="2745" w:hanging="360"/>
      </w:pPr>
    </w:lvl>
    <w:lvl w:ilvl="4" w:tplc="20000019" w:tentative="1">
      <w:start w:val="1"/>
      <w:numFmt w:val="lowerLetter"/>
      <w:lvlText w:val="%5."/>
      <w:lvlJc w:val="left"/>
      <w:pPr>
        <w:ind w:left="3465" w:hanging="360"/>
      </w:pPr>
    </w:lvl>
    <w:lvl w:ilvl="5" w:tplc="2000001B" w:tentative="1">
      <w:start w:val="1"/>
      <w:numFmt w:val="lowerRoman"/>
      <w:lvlText w:val="%6."/>
      <w:lvlJc w:val="right"/>
      <w:pPr>
        <w:ind w:left="4185" w:hanging="180"/>
      </w:pPr>
    </w:lvl>
    <w:lvl w:ilvl="6" w:tplc="2000000F" w:tentative="1">
      <w:start w:val="1"/>
      <w:numFmt w:val="decimal"/>
      <w:lvlText w:val="%7."/>
      <w:lvlJc w:val="left"/>
      <w:pPr>
        <w:ind w:left="4905" w:hanging="360"/>
      </w:pPr>
    </w:lvl>
    <w:lvl w:ilvl="7" w:tplc="20000019" w:tentative="1">
      <w:start w:val="1"/>
      <w:numFmt w:val="lowerLetter"/>
      <w:lvlText w:val="%8."/>
      <w:lvlJc w:val="left"/>
      <w:pPr>
        <w:ind w:left="5625" w:hanging="360"/>
      </w:pPr>
    </w:lvl>
    <w:lvl w:ilvl="8" w:tplc="2000001B" w:tentative="1">
      <w:start w:val="1"/>
      <w:numFmt w:val="lowerRoman"/>
      <w:lvlText w:val="%9."/>
      <w:lvlJc w:val="right"/>
      <w:pPr>
        <w:ind w:left="6345" w:hanging="180"/>
      </w:pPr>
    </w:lvl>
  </w:abstractNum>
  <w:abstractNum w:abstractNumId="2"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063934">
    <w:abstractNumId w:val="2"/>
  </w:num>
  <w:num w:numId="2" w16cid:durableId="262231472">
    <w:abstractNumId w:val="0"/>
  </w:num>
  <w:num w:numId="3" w16cid:durableId="135800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E4"/>
    <w:rsid w:val="00057B97"/>
    <w:rsid w:val="000778D2"/>
    <w:rsid w:val="001A2C30"/>
    <w:rsid w:val="003B5FE4"/>
    <w:rsid w:val="003D6AA9"/>
    <w:rsid w:val="003E3218"/>
    <w:rsid w:val="004A3C75"/>
    <w:rsid w:val="005A61A2"/>
    <w:rsid w:val="005D0579"/>
    <w:rsid w:val="00707CF3"/>
    <w:rsid w:val="00745821"/>
    <w:rsid w:val="00902388"/>
    <w:rsid w:val="009579FE"/>
    <w:rsid w:val="00990A99"/>
    <w:rsid w:val="00A2749F"/>
    <w:rsid w:val="00B42D39"/>
    <w:rsid w:val="00B71C66"/>
    <w:rsid w:val="00C512F1"/>
    <w:rsid w:val="00C649E1"/>
    <w:rsid w:val="00C85266"/>
    <w:rsid w:val="00CE206B"/>
    <w:rsid w:val="00D57E3B"/>
    <w:rsid w:val="00E630B4"/>
    <w:rsid w:val="00F935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7954D"/>
  <w15:chartTrackingRefBased/>
  <w15:docId w15:val="{014D4449-5B7B-40AB-8EF1-EF0142B6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FE4"/>
    <w:pPr>
      <w:bidi/>
      <w:spacing w:after="0" w:line="360" w:lineRule="auto"/>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3B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F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F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F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F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5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FE4"/>
    <w:rPr>
      <w:rFonts w:eastAsiaTheme="majorEastAsia" w:cstheme="majorBidi"/>
      <w:color w:val="272727" w:themeColor="text1" w:themeTint="D8"/>
    </w:rPr>
  </w:style>
  <w:style w:type="paragraph" w:styleId="Title">
    <w:name w:val="Title"/>
    <w:basedOn w:val="Normal"/>
    <w:next w:val="Normal"/>
    <w:link w:val="TitleChar"/>
    <w:uiPriority w:val="10"/>
    <w:qFormat/>
    <w:rsid w:val="003B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FE4"/>
    <w:pPr>
      <w:spacing w:before="160"/>
      <w:jc w:val="center"/>
    </w:pPr>
    <w:rPr>
      <w:i/>
      <w:iCs/>
      <w:color w:val="404040" w:themeColor="text1" w:themeTint="BF"/>
    </w:rPr>
  </w:style>
  <w:style w:type="character" w:customStyle="1" w:styleId="QuoteChar">
    <w:name w:val="Quote Char"/>
    <w:basedOn w:val="DefaultParagraphFont"/>
    <w:link w:val="Quote"/>
    <w:uiPriority w:val="29"/>
    <w:rsid w:val="003B5FE4"/>
    <w:rPr>
      <w:i/>
      <w:iCs/>
      <w:color w:val="404040" w:themeColor="text1" w:themeTint="BF"/>
    </w:rPr>
  </w:style>
  <w:style w:type="paragraph" w:styleId="ListParagraph">
    <w:name w:val="List Paragraph"/>
    <w:basedOn w:val="Normal"/>
    <w:link w:val="ListParagraphChar"/>
    <w:qFormat/>
    <w:rsid w:val="003B5FE4"/>
    <w:pPr>
      <w:ind w:left="720"/>
      <w:contextualSpacing/>
    </w:pPr>
  </w:style>
  <w:style w:type="character" w:styleId="IntenseEmphasis">
    <w:name w:val="Intense Emphasis"/>
    <w:basedOn w:val="DefaultParagraphFont"/>
    <w:uiPriority w:val="21"/>
    <w:qFormat/>
    <w:rsid w:val="003B5FE4"/>
    <w:rPr>
      <w:i/>
      <w:iCs/>
      <w:color w:val="0F4761" w:themeColor="accent1" w:themeShade="BF"/>
    </w:rPr>
  </w:style>
  <w:style w:type="paragraph" w:styleId="IntenseQuote">
    <w:name w:val="Intense Quote"/>
    <w:basedOn w:val="Normal"/>
    <w:next w:val="Normal"/>
    <w:link w:val="IntenseQuoteChar"/>
    <w:uiPriority w:val="30"/>
    <w:qFormat/>
    <w:rsid w:val="003B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FE4"/>
    <w:rPr>
      <w:i/>
      <w:iCs/>
      <w:color w:val="0F4761" w:themeColor="accent1" w:themeShade="BF"/>
    </w:rPr>
  </w:style>
  <w:style w:type="character" w:styleId="IntenseReference">
    <w:name w:val="Intense Reference"/>
    <w:basedOn w:val="DefaultParagraphFont"/>
    <w:uiPriority w:val="32"/>
    <w:qFormat/>
    <w:rsid w:val="003B5FE4"/>
    <w:rPr>
      <w:b/>
      <w:bCs/>
      <w:smallCaps/>
      <w:color w:val="0F4761" w:themeColor="accent1" w:themeShade="BF"/>
      <w:spacing w:val="5"/>
    </w:rPr>
  </w:style>
  <w:style w:type="paragraph" w:styleId="Header">
    <w:name w:val="header"/>
    <w:basedOn w:val="Normal"/>
    <w:link w:val="HeaderChar"/>
    <w:unhideWhenUsed/>
    <w:rsid w:val="003B5FE4"/>
    <w:pPr>
      <w:tabs>
        <w:tab w:val="center" w:pos="4153"/>
        <w:tab w:val="right" w:pos="8306"/>
      </w:tabs>
      <w:spacing w:line="240" w:lineRule="auto"/>
    </w:pPr>
  </w:style>
  <w:style w:type="character" w:customStyle="1" w:styleId="HeaderChar">
    <w:name w:val="Header Char"/>
    <w:basedOn w:val="DefaultParagraphFont"/>
    <w:link w:val="Header"/>
    <w:rsid w:val="003B5FE4"/>
    <w:rPr>
      <w:rFonts w:ascii="Calibri" w:eastAsia="Calibri" w:hAnsi="Calibri" w:cs="Arial"/>
      <w:kern w:val="0"/>
      <w:sz w:val="22"/>
      <w:szCs w:val="22"/>
      <w14:ligatures w14:val="none"/>
    </w:rPr>
  </w:style>
  <w:style w:type="paragraph" w:styleId="Footer">
    <w:name w:val="footer"/>
    <w:basedOn w:val="Normal"/>
    <w:link w:val="FooterChar"/>
    <w:uiPriority w:val="99"/>
    <w:unhideWhenUsed/>
    <w:rsid w:val="003B5FE4"/>
    <w:pPr>
      <w:tabs>
        <w:tab w:val="center" w:pos="4153"/>
        <w:tab w:val="right" w:pos="8306"/>
      </w:tabs>
      <w:spacing w:line="240" w:lineRule="auto"/>
    </w:pPr>
  </w:style>
  <w:style w:type="character" w:customStyle="1" w:styleId="FooterChar">
    <w:name w:val="Footer Char"/>
    <w:basedOn w:val="DefaultParagraphFont"/>
    <w:link w:val="Footer"/>
    <w:uiPriority w:val="99"/>
    <w:rsid w:val="003B5FE4"/>
    <w:rPr>
      <w:rFonts w:ascii="Calibri" w:eastAsia="Calibri" w:hAnsi="Calibri" w:cs="Arial"/>
      <w:kern w:val="0"/>
      <w:sz w:val="22"/>
      <w:szCs w:val="22"/>
      <w14:ligatures w14:val="none"/>
    </w:rPr>
  </w:style>
  <w:style w:type="character" w:customStyle="1" w:styleId="ListParagraphChar">
    <w:name w:val="List Paragraph Char"/>
    <w:link w:val="ListParagraph"/>
    <w:locked/>
    <w:rsid w:val="003B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evo.co.il/case/5765481" TargetMode="External"/><Relationship Id="rId4" Type="http://schemas.openxmlformats.org/officeDocument/2006/relationships/webSettings" Target="webSettings.xml"/><Relationship Id="rId9" Type="http://schemas.openxmlformats.org/officeDocument/2006/relationships/hyperlink" Target="http://www.nevo.co.il/case/603709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1159</Words>
  <Characters>5295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נאיה שלום</dc:creator>
  <cp:keywords/>
  <dc:description/>
  <cp:lastModifiedBy>נאיה שלום</cp:lastModifiedBy>
  <cp:revision>16</cp:revision>
  <cp:lastPrinted>2026-03-16T09:14:00Z</cp:lastPrinted>
  <dcterms:created xsi:type="dcterms:W3CDTF">2026-03-16T08:31:00Z</dcterms:created>
  <dcterms:modified xsi:type="dcterms:W3CDTF">2026-03-16T11:42:00Z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4c13c2d7,19bfda3a,50650345</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2026-03-16T08:49:32Z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da5652aa-7080-4bab-a6f4-e4cd12d9a374</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