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E987" w14:textId="202D77B9" w:rsidR="00F822E9" w:rsidRPr="009D1C03" w:rsidRDefault="00F822E9" w:rsidP="009916FB">
      <w:pPr>
        <w:rPr>
          <w:rFonts w:ascii="David" w:hAnsi="David"/>
          <w:b/>
          <w:bCs/>
        </w:rPr>
      </w:pPr>
      <w:r>
        <w:rPr>
          <w:rFonts w:ascii="David" w:hAnsi="David" w:hint="cs"/>
          <w:b/>
          <w:bCs/>
          <w:rtl/>
        </w:rPr>
        <w:t xml:space="preserve"> </w:t>
      </w:r>
    </w:p>
    <w:p w14:paraId="098CA255" w14:textId="77777777" w:rsidR="00F822E9" w:rsidRPr="00FD2DDA" w:rsidRDefault="00F822E9" w:rsidP="00F822E9">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33C5750" w14:textId="77777777" w:rsidR="00F822E9" w:rsidRPr="00FD2DDA" w:rsidRDefault="00F822E9" w:rsidP="00F822E9">
      <w:pPr>
        <w:spacing w:before="120" w:line="480" w:lineRule="auto"/>
        <w:rPr>
          <w:rFonts w:ascii="David" w:hAnsi="David"/>
          <w:rtl/>
        </w:rPr>
      </w:pPr>
      <w:r w:rsidRPr="00FD2DDA">
        <w:rPr>
          <w:rFonts w:ascii="David" w:hAnsi="David" w:hint="cs"/>
          <w:rtl/>
        </w:rPr>
        <w:t>בפני:</w:t>
      </w:r>
    </w:p>
    <w:p w14:paraId="6CEEA05B" w14:textId="31BFF024" w:rsidR="00F822E9" w:rsidRDefault="00CE386E" w:rsidP="009B4CAC">
      <w:pPr>
        <w:spacing w:line="240" w:lineRule="auto"/>
        <w:ind w:left="2352"/>
        <w:jc w:val="left"/>
        <w:rPr>
          <w:rtl/>
        </w:rPr>
      </w:pPr>
      <w:r>
        <w:rPr>
          <w:rFonts w:hint="cs"/>
          <w:b/>
          <w:bCs/>
          <w:rtl/>
        </w:rPr>
        <w:t>אלופה אורלי מרקמן</w:t>
      </w:r>
      <w:r>
        <w:rPr>
          <w:rFonts w:hint="cs"/>
          <w:rtl/>
        </w:rPr>
        <w:t xml:space="preserve">     </w:t>
      </w:r>
      <w:r w:rsidR="00F822E9">
        <w:rPr>
          <w:rFonts w:hint="cs"/>
          <w:rtl/>
        </w:rPr>
        <w:t xml:space="preserve">-   </w:t>
      </w:r>
      <w:r w:rsidR="00835623">
        <w:rPr>
          <w:rFonts w:hint="cs"/>
          <w:rtl/>
        </w:rPr>
        <w:t xml:space="preserve">  </w:t>
      </w:r>
      <w:r>
        <w:rPr>
          <w:rFonts w:hint="cs"/>
          <w:rtl/>
        </w:rPr>
        <w:t>הנשיאה</w:t>
      </w:r>
    </w:p>
    <w:p w14:paraId="377F9906" w14:textId="351E5BD7" w:rsidR="00CE386E" w:rsidRDefault="00CE386E" w:rsidP="009B4CAC">
      <w:pPr>
        <w:spacing w:line="240" w:lineRule="auto"/>
        <w:ind w:left="2352"/>
        <w:jc w:val="center"/>
        <w:rPr>
          <w:rtl/>
        </w:rPr>
      </w:pPr>
    </w:p>
    <w:p w14:paraId="68B606B8" w14:textId="3855EABD" w:rsidR="00CE386E" w:rsidRDefault="00CE386E" w:rsidP="009B4CAC">
      <w:pPr>
        <w:spacing w:line="240" w:lineRule="auto"/>
        <w:ind w:left="2352"/>
        <w:jc w:val="left"/>
        <w:rPr>
          <w:rtl/>
        </w:rPr>
      </w:pPr>
      <w:r w:rsidRPr="009B4CAC">
        <w:rPr>
          <w:rFonts w:hint="cs"/>
          <w:b/>
          <w:bCs/>
          <w:rtl/>
        </w:rPr>
        <w:t>תא"ל נועה זומר</w:t>
      </w:r>
      <w:r>
        <w:rPr>
          <w:rFonts w:hint="cs"/>
          <w:rtl/>
        </w:rPr>
        <w:t xml:space="preserve"> </w:t>
      </w:r>
      <w:r w:rsidR="00835623">
        <w:rPr>
          <w:rFonts w:hint="cs"/>
          <w:rtl/>
        </w:rPr>
        <w:t xml:space="preserve"> </w:t>
      </w:r>
      <w:r>
        <w:rPr>
          <w:rFonts w:hint="cs"/>
          <w:rtl/>
        </w:rPr>
        <w:t xml:space="preserve"> -  המשנה לנשיאה</w:t>
      </w:r>
    </w:p>
    <w:p w14:paraId="09380F50" w14:textId="46B01FDE" w:rsidR="009B4CAC" w:rsidRDefault="009B4CAC" w:rsidP="009B4CAC">
      <w:pPr>
        <w:spacing w:line="240" w:lineRule="auto"/>
        <w:ind w:left="2352"/>
        <w:jc w:val="left"/>
        <w:rPr>
          <w:rtl/>
        </w:rPr>
      </w:pPr>
    </w:p>
    <w:p w14:paraId="6DC35D24" w14:textId="378D5D25" w:rsidR="009B4CAC" w:rsidRPr="00BB5867" w:rsidRDefault="009B4CAC" w:rsidP="009B4CAC">
      <w:pPr>
        <w:spacing w:line="240" w:lineRule="auto"/>
        <w:ind w:left="2352"/>
        <w:jc w:val="left"/>
        <w:rPr>
          <w:rtl/>
        </w:rPr>
      </w:pPr>
      <w:r w:rsidRPr="00835623">
        <w:rPr>
          <w:rFonts w:hint="cs"/>
          <w:b/>
          <w:bCs/>
          <w:rtl/>
        </w:rPr>
        <w:t>אל"ם מאיה גולדשמי</w:t>
      </w:r>
      <w:r w:rsidR="00835623" w:rsidRPr="00835623">
        <w:rPr>
          <w:rFonts w:hint="cs"/>
          <w:b/>
          <w:bCs/>
          <w:rtl/>
        </w:rPr>
        <w:t>דט</w:t>
      </w:r>
      <w:r w:rsidR="00835623">
        <w:rPr>
          <w:rFonts w:hint="cs"/>
          <w:rtl/>
        </w:rPr>
        <w:t xml:space="preserve">   -  שופטת</w:t>
      </w:r>
    </w:p>
    <w:p w14:paraId="38161B6C" w14:textId="77777777" w:rsidR="00B057DD" w:rsidRDefault="00B057DD" w:rsidP="00F822E9">
      <w:pPr>
        <w:rPr>
          <w:rFonts w:ascii="David" w:hAnsi="David"/>
          <w:rtl/>
        </w:rPr>
      </w:pPr>
    </w:p>
    <w:p w14:paraId="198AAC7C" w14:textId="599EB1C1" w:rsidR="00F822E9" w:rsidRPr="00FD2DDA" w:rsidRDefault="00F822E9" w:rsidP="00F822E9">
      <w:pPr>
        <w:rPr>
          <w:rFonts w:ascii="David" w:hAnsi="David"/>
          <w:rtl/>
        </w:rPr>
      </w:pPr>
      <w:r w:rsidRPr="00FD2DDA">
        <w:rPr>
          <w:rFonts w:ascii="David" w:hAnsi="David" w:hint="cs"/>
          <w:rtl/>
        </w:rPr>
        <w:t>בעניין:</w:t>
      </w:r>
    </w:p>
    <w:p w14:paraId="7807DA66" w14:textId="298F25BA" w:rsidR="00F822E9" w:rsidRPr="00FD2DDA" w:rsidRDefault="00B057DD" w:rsidP="00F822E9">
      <w:pPr>
        <w:bidi w:val="0"/>
        <w:jc w:val="center"/>
        <w:rPr>
          <w:rFonts w:ascii="David" w:hAnsi="David"/>
          <w:rtl/>
        </w:rPr>
      </w:pPr>
      <w:r>
        <w:rPr>
          <w:rFonts w:ascii="David" w:hAnsi="David" w:hint="cs"/>
          <w:b/>
          <w:bCs/>
          <w:rtl/>
        </w:rPr>
        <w:t>ב/</w:t>
      </w:r>
      <w:r w:rsidR="00866AAB">
        <w:rPr>
          <w:rFonts w:ascii="David" w:hAnsi="David" w:hint="cs"/>
          <w:b/>
          <w:bCs/>
          <w:rtl/>
        </w:rPr>
        <w:t>*******</w:t>
      </w:r>
      <w:r>
        <w:rPr>
          <w:rFonts w:ascii="David" w:hAnsi="David" w:hint="cs"/>
          <w:b/>
          <w:bCs/>
          <w:rtl/>
        </w:rPr>
        <w:t xml:space="preserve"> רב"ט</w:t>
      </w:r>
      <w:r w:rsidR="009916FB">
        <w:rPr>
          <w:rFonts w:ascii="David" w:hAnsi="David" w:hint="cs"/>
          <w:b/>
          <w:bCs/>
          <w:rtl/>
        </w:rPr>
        <w:t xml:space="preserve"> </w:t>
      </w:r>
      <w:r w:rsidR="00866AAB">
        <w:rPr>
          <w:rFonts w:ascii="David" w:hAnsi="David" w:hint="cs"/>
          <w:b/>
          <w:bCs/>
          <w:rtl/>
        </w:rPr>
        <w:t>ע' ר'</w:t>
      </w:r>
      <w:r w:rsidR="009916FB">
        <w:rPr>
          <w:rFonts w:ascii="David" w:hAnsi="David" w:hint="cs"/>
          <w:b/>
          <w:bCs/>
          <w:rtl/>
        </w:rPr>
        <w:t xml:space="preserve">  </w:t>
      </w:r>
      <w:r w:rsidR="00F822E9" w:rsidRPr="00FD2DDA">
        <w:rPr>
          <w:rFonts w:ascii="David" w:hAnsi="David" w:hint="cs"/>
          <w:b/>
          <w:bCs/>
          <w:rtl/>
        </w:rPr>
        <w:t>–</w:t>
      </w:r>
      <w:r w:rsidR="00F822E9" w:rsidRPr="00FD2DDA">
        <w:rPr>
          <w:rFonts w:ascii="David" w:hAnsi="David" w:hint="cs"/>
          <w:rtl/>
        </w:rPr>
        <w:t xml:space="preserve"> </w:t>
      </w:r>
      <w:r>
        <w:rPr>
          <w:rFonts w:ascii="David" w:hAnsi="David" w:hint="cs"/>
          <w:rtl/>
        </w:rPr>
        <w:t xml:space="preserve"> </w:t>
      </w:r>
      <w:r w:rsidR="009916FB">
        <w:rPr>
          <w:rFonts w:ascii="David" w:hAnsi="David" w:hint="cs"/>
          <w:rtl/>
        </w:rPr>
        <w:t>ה</w:t>
      </w:r>
      <w:r>
        <w:rPr>
          <w:rFonts w:ascii="David" w:hAnsi="David" w:hint="cs"/>
          <w:rtl/>
        </w:rPr>
        <w:t>מערער</w:t>
      </w:r>
      <w:r w:rsidR="00F822E9" w:rsidRPr="00FD2DDA">
        <w:rPr>
          <w:rFonts w:ascii="David" w:hAnsi="David" w:hint="cs"/>
          <w:rtl/>
        </w:rPr>
        <w:t xml:space="preserve"> (ע"י ב"כ,</w:t>
      </w:r>
      <w:r w:rsidR="009916FB">
        <w:rPr>
          <w:rFonts w:ascii="David" w:hAnsi="David" w:hint="cs"/>
          <w:rtl/>
        </w:rPr>
        <w:t xml:space="preserve">  רס"ן (מיל')</w:t>
      </w:r>
      <w:r w:rsidR="00F822E9" w:rsidRPr="00FD2DDA">
        <w:rPr>
          <w:rFonts w:ascii="David" w:hAnsi="David" w:hint="cs"/>
          <w:rtl/>
        </w:rPr>
        <w:t xml:space="preserve"> </w:t>
      </w:r>
      <w:r>
        <w:rPr>
          <w:rFonts w:ascii="David" w:hAnsi="David" w:hint="cs"/>
          <w:rtl/>
        </w:rPr>
        <w:t xml:space="preserve">ליאור </w:t>
      </w:r>
      <w:proofErr w:type="spellStart"/>
      <w:r>
        <w:rPr>
          <w:rFonts w:ascii="David" w:hAnsi="David" w:hint="cs"/>
          <w:rtl/>
        </w:rPr>
        <w:t>שטל</w:t>
      </w:r>
      <w:r w:rsidR="002D69C5">
        <w:rPr>
          <w:rFonts w:ascii="David" w:hAnsi="David" w:hint="cs"/>
          <w:rtl/>
        </w:rPr>
        <w:t>צ</w:t>
      </w:r>
      <w:r>
        <w:rPr>
          <w:rFonts w:ascii="David" w:hAnsi="David" w:hint="cs"/>
          <w:rtl/>
        </w:rPr>
        <w:t>ר</w:t>
      </w:r>
      <w:proofErr w:type="spellEnd"/>
      <w:r w:rsidR="00F822E9" w:rsidRPr="00FD2DDA">
        <w:rPr>
          <w:rFonts w:ascii="David" w:hAnsi="David" w:hint="cs"/>
          <w:rtl/>
        </w:rPr>
        <w:t>)</w:t>
      </w:r>
    </w:p>
    <w:p w14:paraId="564F904F" w14:textId="68F3BDDE" w:rsidR="00F822E9" w:rsidRPr="00FD2DDA" w:rsidRDefault="00F822E9" w:rsidP="00F822E9">
      <w:pPr>
        <w:spacing w:after="360"/>
        <w:jc w:val="center"/>
        <w:rPr>
          <w:rFonts w:ascii="David" w:hAnsi="David"/>
          <w:b/>
          <w:bCs/>
          <w:rtl/>
        </w:rPr>
      </w:pPr>
      <w:r w:rsidRPr="00FD2DDA">
        <w:rPr>
          <w:rFonts w:ascii="David" w:hAnsi="David" w:hint="cs"/>
          <w:b/>
          <w:bCs/>
          <w:rtl/>
        </w:rPr>
        <w:t xml:space="preserve">נ ג ד </w:t>
      </w:r>
    </w:p>
    <w:p w14:paraId="455FFD2B" w14:textId="2CEF3F15" w:rsidR="00F822E9" w:rsidRPr="00FD2DDA" w:rsidRDefault="00B057DD" w:rsidP="00F822E9">
      <w:pPr>
        <w:spacing w:after="120"/>
        <w:jc w:val="center"/>
        <w:rPr>
          <w:rFonts w:ascii="David" w:hAnsi="David"/>
          <w:rtl/>
        </w:rPr>
      </w:pPr>
      <w:r>
        <w:rPr>
          <w:rFonts w:hint="cs"/>
          <w:b/>
          <w:bCs/>
          <w:sz w:val="32"/>
          <w:rtl/>
        </w:rPr>
        <w:t>התובע הצבאי הראשי</w:t>
      </w:r>
      <w:r w:rsidR="00F822E9" w:rsidRPr="00FD2DDA">
        <w:rPr>
          <w:rFonts w:ascii="David" w:hAnsi="David" w:hint="cs"/>
          <w:b/>
          <w:bCs/>
          <w:rtl/>
        </w:rPr>
        <w:t xml:space="preserve"> –</w:t>
      </w:r>
      <w:r w:rsidR="00F822E9" w:rsidRPr="00FD2DDA">
        <w:rPr>
          <w:rFonts w:ascii="David" w:hAnsi="David" w:hint="cs"/>
          <w:rtl/>
        </w:rPr>
        <w:t xml:space="preserve"> המשיב (ע"י ב"כ,</w:t>
      </w:r>
      <w:r w:rsidR="002D69C5">
        <w:rPr>
          <w:rFonts w:ascii="David" w:hAnsi="David" w:hint="cs"/>
          <w:rtl/>
        </w:rPr>
        <w:t xml:space="preserve"> רס"ן </w:t>
      </w:r>
      <w:proofErr w:type="spellStart"/>
      <w:r>
        <w:rPr>
          <w:rFonts w:ascii="David" w:hAnsi="David" w:hint="cs"/>
          <w:rtl/>
        </w:rPr>
        <w:t>אליסף</w:t>
      </w:r>
      <w:proofErr w:type="spellEnd"/>
      <w:r>
        <w:rPr>
          <w:rFonts w:ascii="David" w:hAnsi="David" w:hint="cs"/>
          <w:rtl/>
        </w:rPr>
        <w:t xml:space="preserve"> מלמד</w:t>
      </w:r>
      <w:r w:rsidR="00F822E9" w:rsidRPr="00FD2DDA">
        <w:rPr>
          <w:rFonts w:ascii="David" w:hAnsi="David" w:hint="cs"/>
          <w:rtl/>
        </w:rPr>
        <w:t>)</w:t>
      </w:r>
    </w:p>
    <w:p w14:paraId="0E8025A1" w14:textId="27DCD71B" w:rsidR="00F822E9" w:rsidRPr="00B057DD" w:rsidRDefault="00387436" w:rsidP="00B057DD">
      <w:pPr>
        <w:spacing w:after="360"/>
        <w:jc w:val="center"/>
        <w:rPr>
          <w:rFonts w:ascii="David" w:hAnsi="David"/>
          <w:b/>
          <w:bCs/>
          <w:rtl/>
        </w:rPr>
      </w:pPr>
      <w:r>
        <w:rPr>
          <w:rFonts w:ascii="David" w:hAnsi="David"/>
          <w:b/>
          <w:bCs/>
          <w:rtl/>
        </w:rPr>
        <w:br/>
      </w:r>
      <w:r w:rsidR="00B057DD">
        <w:rPr>
          <w:rFonts w:ascii="David" w:hAnsi="David" w:hint="cs"/>
          <w:b/>
          <w:bCs/>
          <w:rtl/>
        </w:rPr>
        <w:t>וגם</w:t>
      </w:r>
      <w:r w:rsidR="00B057DD" w:rsidRPr="00FD2DDA">
        <w:rPr>
          <w:rFonts w:ascii="David" w:hAnsi="David" w:hint="cs"/>
          <w:b/>
          <w:bCs/>
          <w:rtl/>
        </w:rPr>
        <w:t xml:space="preserve"> </w:t>
      </w:r>
    </w:p>
    <w:p w14:paraId="786F87C8" w14:textId="55B3A321" w:rsidR="00B057DD" w:rsidRPr="00FD2DDA" w:rsidRDefault="00B057DD" w:rsidP="00B057DD">
      <w:pPr>
        <w:bidi w:val="0"/>
        <w:jc w:val="center"/>
        <w:rPr>
          <w:rFonts w:ascii="David" w:hAnsi="David"/>
          <w:rtl/>
        </w:rPr>
      </w:pPr>
      <w:r>
        <w:rPr>
          <w:rFonts w:ascii="David" w:hAnsi="David" w:hint="cs"/>
          <w:b/>
          <w:bCs/>
          <w:rtl/>
        </w:rPr>
        <w:t>התובע הצבאי הראשי</w:t>
      </w:r>
      <w:r w:rsidR="002D69C5">
        <w:rPr>
          <w:rFonts w:ascii="David" w:hAnsi="David" w:hint="cs"/>
          <w:b/>
          <w:bCs/>
          <w:rtl/>
        </w:rPr>
        <w:t xml:space="preserve"> </w:t>
      </w:r>
      <w:r w:rsidRPr="00FD2DDA">
        <w:rPr>
          <w:rFonts w:ascii="David" w:hAnsi="David" w:hint="cs"/>
          <w:b/>
          <w:bCs/>
          <w:rtl/>
        </w:rPr>
        <w:t>–</w:t>
      </w:r>
      <w:r w:rsidRPr="00FD2DDA">
        <w:rPr>
          <w:rFonts w:ascii="David" w:hAnsi="David" w:hint="cs"/>
          <w:rtl/>
        </w:rPr>
        <w:t xml:space="preserve"> </w:t>
      </w:r>
      <w:r>
        <w:rPr>
          <w:rFonts w:ascii="David" w:hAnsi="David" w:hint="cs"/>
          <w:rtl/>
        </w:rPr>
        <w:t xml:space="preserve"> </w:t>
      </w:r>
      <w:r w:rsidR="009916FB">
        <w:rPr>
          <w:rFonts w:ascii="David" w:hAnsi="David" w:hint="cs"/>
          <w:rtl/>
        </w:rPr>
        <w:t>ה</w:t>
      </w:r>
      <w:r>
        <w:rPr>
          <w:rFonts w:ascii="David" w:hAnsi="David" w:hint="cs"/>
          <w:rtl/>
        </w:rPr>
        <w:t>מערער</w:t>
      </w:r>
      <w:r w:rsidRPr="00FD2DDA">
        <w:rPr>
          <w:rFonts w:ascii="David" w:hAnsi="David" w:hint="cs"/>
          <w:rtl/>
        </w:rPr>
        <w:t xml:space="preserve"> (ע"י ב"כ</w:t>
      </w:r>
      <w:r>
        <w:rPr>
          <w:rFonts w:ascii="David" w:hAnsi="David" w:hint="cs"/>
          <w:rtl/>
        </w:rPr>
        <w:t>,</w:t>
      </w:r>
      <w:r w:rsidR="009916FB">
        <w:rPr>
          <w:rFonts w:ascii="David" w:hAnsi="David" w:hint="cs"/>
          <w:rtl/>
        </w:rPr>
        <w:t xml:space="preserve"> </w:t>
      </w:r>
      <w:r>
        <w:rPr>
          <w:rFonts w:ascii="David" w:hAnsi="David" w:hint="cs"/>
          <w:rtl/>
        </w:rPr>
        <w:t xml:space="preserve">רס"ן </w:t>
      </w:r>
      <w:proofErr w:type="spellStart"/>
      <w:r>
        <w:rPr>
          <w:rFonts w:ascii="David" w:hAnsi="David" w:hint="cs"/>
          <w:rtl/>
        </w:rPr>
        <w:t>אליסף</w:t>
      </w:r>
      <w:proofErr w:type="spellEnd"/>
      <w:r>
        <w:rPr>
          <w:rFonts w:ascii="David" w:hAnsi="David" w:hint="cs"/>
          <w:rtl/>
        </w:rPr>
        <w:t xml:space="preserve"> מלמד</w:t>
      </w:r>
      <w:r w:rsidRPr="00FD2DDA">
        <w:rPr>
          <w:rFonts w:ascii="David" w:hAnsi="David" w:hint="cs"/>
          <w:rtl/>
        </w:rPr>
        <w:t>)</w:t>
      </w:r>
    </w:p>
    <w:p w14:paraId="467EF31A" w14:textId="5A462BE4" w:rsidR="00B057DD" w:rsidRPr="00387436" w:rsidRDefault="00387436" w:rsidP="00387436">
      <w:pPr>
        <w:spacing w:after="360"/>
        <w:jc w:val="center"/>
        <w:rPr>
          <w:rFonts w:ascii="David" w:hAnsi="David"/>
          <w:b/>
          <w:bCs/>
          <w:rtl/>
        </w:rPr>
      </w:pPr>
      <w:r>
        <w:rPr>
          <w:rFonts w:ascii="David" w:hAnsi="David"/>
          <w:b/>
          <w:bCs/>
          <w:rtl/>
        </w:rPr>
        <w:br/>
      </w:r>
      <w:r w:rsidR="00B057DD" w:rsidRPr="00FD2DDA">
        <w:rPr>
          <w:rFonts w:ascii="David" w:hAnsi="David" w:hint="cs"/>
          <w:b/>
          <w:bCs/>
          <w:rtl/>
        </w:rPr>
        <w:t xml:space="preserve">נ ג ד </w:t>
      </w:r>
      <w:r>
        <w:rPr>
          <w:rFonts w:ascii="David" w:hAnsi="David"/>
          <w:b/>
          <w:bCs/>
          <w:rtl/>
        </w:rPr>
        <w:br/>
      </w:r>
      <w:r>
        <w:rPr>
          <w:rFonts w:ascii="David" w:hAnsi="David"/>
          <w:b/>
          <w:bCs/>
          <w:rtl/>
        </w:rPr>
        <w:br/>
      </w:r>
      <w:r w:rsidR="00B057DD">
        <w:rPr>
          <w:rFonts w:ascii="David" w:hAnsi="David" w:hint="cs"/>
          <w:b/>
          <w:bCs/>
          <w:rtl/>
        </w:rPr>
        <w:t>ב/</w:t>
      </w:r>
      <w:r w:rsidR="00866AAB">
        <w:rPr>
          <w:rFonts w:ascii="David" w:hAnsi="David" w:hint="cs"/>
          <w:b/>
          <w:bCs/>
          <w:rtl/>
        </w:rPr>
        <w:t>*******</w:t>
      </w:r>
      <w:r w:rsidR="00B057DD">
        <w:rPr>
          <w:rFonts w:ascii="David" w:hAnsi="David" w:hint="cs"/>
          <w:b/>
          <w:bCs/>
          <w:rtl/>
        </w:rPr>
        <w:t xml:space="preserve"> רב"ט </w:t>
      </w:r>
      <w:r w:rsidR="00866AAB">
        <w:rPr>
          <w:rFonts w:ascii="David" w:hAnsi="David" w:hint="cs"/>
          <w:b/>
          <w:bCs/>
          <w:rtl/>
        </w:rPr>
        <w:t>ע' ר'</w:t>
      </w:r>
      <w:r w:rsidR="00B057DD" w:rsidRPr="00FD2DDA">
        <w:rPr>
          <w:rFonts w:ascii="David" w:hAnsi="David" w:hint="cs"/>
          <w:b/>
          <w:bCs/>
          <w:rtl/>
        </w:rPr>
        <w:t xml:space="preserve"> –</w:t>
      </w:r>
      <w:r w:rsidR="00B057DD" w:rsidRPr="00FD2DDA">
        <w:rPr>
          <w:rFonts w:ascii="David" w:hAnsi="David" w:hint="cs"/>
          <w:rtl/>
        </w:rPr>
        <w:t xml:space="preserve"> המשיב (ע"י ב"כ,</w:t>
      </w:r>
      <w:r w:rsidR="002D69C5">
        <w:rPr>
          <w:rFonts w:ascii="David" w:hAnsi="David" w:hint="cs"/>
          <w:rtl/>
        </w:rPr>
        <w:t xml:space="preserve"> רס"ן </w:t>
      </w:r>
      <w:r w:rsidR="009916FB">
        <w:rPr>
          <w:rFonts w:ascii="David" w:hAnsi="David" w:hint="cs"/>
          <w:rtl/>
        </w:rPr>
        <w:t>(</w:t>
      </w:r>
      <w:r w:rsidR="002D69C5">
        <w:rPr>
          <w:rFonts w:ascii="David" w:hAnsi="David" w:hint="cs"/>
          <w:rtl/>
        </w:rPr>
        <w:t>מיל'</w:t>
      </w:r>
      <w:r w:rsidR="009916FB">
        <w:rPr>
          <w:rFonts w:ascii="David" w:hAnsi="David" w:hint="cs"/>
          <w:rtl/>
        </w:rPr>
        <w:t>)</w:t>
      </w:r>
      <w:r w:rsidR="002D69C5">
        <w:rPr>
          <w:rFonts w:ascii="David" w:hAnsi="David" w:hint="cs"/>
          <w:rtl/>
        </w:rPr>
        <w:t xml:space="preserve"> </w:t>
      </w:r>
      <w:r w:rsidR="00B057DD">
        <w:rPr>
          <w:rFonts w:ascii="David" w:hAnsi="David" w:hint="cs"/>
          <w:rtl/>
        </w:rPr>
        <w:t xml:space="preserve">ליאור </w:t>
      </w:r>
      <w:proofErr w:type="spellStart"/>
      <w:r w:rsidR="00B057DD">
        <w:rPr>
          <w:rFonts w:ascii="David" w:hAnsi="David" w:hint="cs"/>
          <w:rtl/>
        </w:rPr>
        <w:t>שטל</w:t>
      </w:r>
      <w:r w:rsidR="002D69C5">
        <w:rPr>
          <w:rFonts w:ascii="David" w:hAnsi="David" w:hint="cs"/>
          <w:rtl/>
        </w:rPr>
        <w:t>צ</w:t>
      </w:r>
      <w:r w:rsidR="00B057DD">
        <w:rPr>
          <w:rFonts w:ascii="David" w:hAnsi="David" w:hint="cs"/>
          <w:rtl/>
        </w:rPr>
        <w:t>ר</w:t>
      </w:r>
      <w:proofErr w:type="spellEnd"/>
      <w:r w:rsidR="00B057DD" w:rsidRPr="00FD2DDA">
        <w:rPr>
          <w:rFonts w:ascii="David" w:hAnsi="David" w:hint="cs"/>
          <w:rtl/>
        </w:rPr>
        <w:t>)</w:t>
      </w:r>
    </w:p>
    <w:p w14:paraId="710F7104" w14:textId="77777777" w:rsidR="00B057DD" w:rsidRPr="00FD2DDA" w:rsidRDefault="00B057DD" w:rsidP="00F822E9">
      <w:pPr>
        <w:spacing w:after="360"/>
        <w:rPr>
          <w:rFonts w:ascii="David" w:hAnsi="David"/>
          <w:b/>
          <w:bCs/>
          <w:u w:val="single"/>
          <w:rtl/>
        </w:rPr>
      </w:pPr>
    </w:p>
    <w:p w14:paraId="598519CD" w14:textId="03D9519D" w:rsidR="00F822E9" w:rsidRPr="00387436" w:rsidRDefault="00F822E9" w:rsidP="00387436">
      <w:pPr>
        <w:spacing w:after="360"/>
        <w:rPr>
          <w:rFonts w:ascii="David" w:hAnsi="David"/>
          <w:rtl/>
        </w:rPr>
      </w:pPr>
      <w:r w:rsidRPr="00FD2DDA">
        <w:rPr>
          <w:rFonts w:ascii="David" w:hAnsi="David" w:hint="cs"/>
          <w:rtl/>
        </w:rPr>
        <w:t>ערעור</w:t>
      </w:r>
      <w:r w:rsidR="00832C05">
        <w:rPr>
          <w:rFonts w:ascii="David" w:hAnsi="David" w:hint="cs"/>
          <w:rtl/>
        </w:rPr>
        <w:t>ים</w:t>
      </w:r>
      <w:r w:rsidRPr="00FD2DDA">
        <w:rPr>
          <w:rFonts w:ascii="David" w:hAnsi="David" w:hint="cs"/>
          <w:rtl/>
        </w:rPr>
        <w:t xml:space="preserve"> על </w:t>
      </w:r>
      <w:r w:rsidR="002D69C5">
        <w:rPr>
          <w:rFonts w:ascii="David" w:hAnsi="David" w:hint="cs"/>
          <w:rtl/>
        </w:rPr>
        <w:t>פסק דין</w:t>
      </w:r>
      <w:r w:rsidRPr="00FD2DDA">
        <w:rPr>
          <w:rFonts w:ascii="David" w:hAnsi="David" w:hint="cs"/>
          <w:rtl/>
        </w:rPr>
        <w:t xml:space="preserve"> של בית הדין הצבאי המחוזי במחוז שיפוטי</w:t>
      </w:r>
      <w:r w:rsidR="009916FB">
        <w:rPr>
          <w:rFonts w:ascii="David" w:hAnsi="David" w:hint="cs"/>
          <w:rtl/>
        </w:rPr>
        <w:t xml:space="preserve"> זרוע היבשה </w:t>
      </w:r>
      <w:r w:rsidRPr="00FD2DDA">
        <w:rPr>
          <w:rFonts w:ascii="David" w:hAnsi="David" w:hint="cs"/>
          <w:rtl/>
        </w:rPr>
        <w:t>שניתן בתיק</w:t>
      </w:r>
      <w:r w:rsidR="002D69C5">
        <w:rPr>
          <w:rFonts w:ascii="David" w:hAnsi="David" w:hint="cs"/>
          <w:rtl/>
        </w:rPr>
        <w:t xml:space="preserve"> </w:t>
      </w:r>
      <w:proofErr w:type="spellStart"/>
      <w:r w:rsidR="00B16C2D">
        <w:rPr>
          <w:rFonts w:ascii="David" w:hAnsi="David" w:hint="cs"/>
          <w:rtl/>
        </w:rPr>
        <w:t>ז"י</w:t>
      </w:r>
      <w:proofErr w:type="spellEnd"/>
      <w:r w:rsidR="002D69C5">
        <w:rPr>
          <w:rFonts w:ascii="David" w:hAnsi="David" w:hint="cs"/>
          <w:rtl/>
        </w:rPr>
        <w:t xml:space="preserve"> </w:t>
      </w:r>
      <w:r w:rsidRPr="00FE7B6F">
        <w:rPr>
          <w:rFonts w:ascii="David" w:hAnsi="David" w:hint="cs"/>
          <w:rtl/>
        </w:rPr>
        <w:t>(מחוזי)</w:t>
      </w:r>
      <w:r w:rsidR="0058692A">
        <w:rPr>
          <w:rFonts w:ascii="David" w:hAnsi="David" w:hint="cs"/>
          <w:rtl/>
        </w:rPr>
        <w:t xml:space="preserve"> 378/10 </w:t>
      </w:r>
      <w:r w:rsidRPr="00FE7B6F">
        <w:rPr>
          <w:rFonts w:ascii="David" w:hAnsi="David" w:hint="cs"/>
          <w:rtl/>
        </w:rPr>
        <w:t>(</w:t>
      </w:r>
      <w:r w:rsidR="0058692A">
        <w:rPr>
          <w:rFonts w:ascii="David" w:hAnsi="David" w:hint="cs"/>
          <w:rtl/>
        </w:rPr>
        <w:t>אל"ם ארז פורת</w:t>
      </w:r>
      <w:r w:rsidR="00962759">
        <w:rPr>
          <w:rFonts w:ascii="David" w:hAnsi="David" w:hint="cs"/>
          <w:rtl/>
        </w:rPr>
        <w:t xml:space="preserve"> </w:t>
      </w:r>
      <w:r w:rsidR="00962759">
        <w:rPr>
          <w:rFonts w:ascii="David" w:hAnsi="David"/>
          <w:rtl/>
        </w:rPr>
        <w:t>–</w:t>
      </w:r>
      <w:r w:rsidR="00962759">
        <w:rPr>
          <w:rFonts w:ascii="David" w:hAnsi="David" w:hint="cs"/>
          <w:rtl/>
        </w:rPr>
        <w:t xml:space="preserve"> אב"ד</w:t>
      </w:r>
      <w:r w:rsidR="00B16C2D">
        <w:rPr>
          <w:rFonts w:ascii="David" w:hAnsi="David" w:hint="cs"/>
          <w:rtl/>
        </w:rPr>
        <w:t>;</w:t>
      </w:r>
      <w:r w:rsidR="0058692A">
        <w:rPr>
          <w:rFonts w:ascii="David" w:hAnsi="David" w:hint="cs"/>
          <w:rtl/>
        </w:rPr>
        <w:t xml:space="preserve"> רס"ן יוסף קורן</w:t>
      </w:r>
      <w:r w:rsidR="00962759">
        <w:rPr>
          <w:rFonts w:ascii="David" w:hAnsi="David" w:hint="cs"/>
          <w:rtl/>
        </w:rPr>
        <w:t xml:space="preserve"> - שופט</w:t>
      </w:r>
      <w:r w:rsidR="00B16C2D">
        <w:rPr>
          <w:rFonts w:ascii="David" w:hAnsi="David" w:hint="cs"/>
          <w:rtl/>
        </w:rPr>
        <w:t>;</w:t>
      </w:r>
      <w:r w:rsidR="0058692A">
        <w:rPr>
          <w:rFonts w:ascii="David" w:hAnsi="David" w:hint="cs"/>
          <w:rtl/>
        </w:rPr>
        <w:t xml:space="preserve"> סרן רומן </w:t>
      </w:r>
      <w:proofErr w:type="spellStart"/>
      <w:r w:rsidR="0058692A">
        <w:rPr>
          <w:rFonts w:ascii="David" w:hAnsi="David" w:hint="cs"/>
          <w:rtl/>
        </w:rPr>
        <w:t>סונדי</w:t>
      </w:r>
      <w:r w:rsidR="00387436">
        <w:rPr>
          <w:rFonts w:ascii="David" w:hAnsi="David" w:hint="cs"/>
          <w:rtl/>
        </w:rPr>
        <w:t>ק</w:t>
      </w:r>
      <w:proofErr w:type="spellEnd"/>
      <w:r w:rsidR="00962759">
        <w:rPr>
          <w:rFonts w:ascii="David" w:hAnsi="David" w:hint="cs"/>
          <w:rtl/>
        </w:rPr>
        <w:t xml:space="preserve"> - שופט</w:t>
      </w:r>
      <w:r w:rsidRPr="00FE7B6F">
        <w:rPr>
          <w:rFonts w:ascii="David" w:hAnsi="David" w:hint="cs"/>
          <w:rtl/>
        </w:rPr>
        <w:t xml:space="preserve">) ביום </w:t>
      </w:r>
      <w:r w:rsidR="009916FB">
        <w:rPr>
          <w:rFonts w:ascii="David" w:hAnsi="David" w:hint="cs"/>
          <w:rtl/>
        </w:rPr>
        <w:t xml:space="preserve"> </w:t>
      </w:r>
      <w:r w:rsidR="00962759">
        <w:rPr>
          <w:rFonts w:ascii="David" w:hAnsi="David" w:hint="cs"/>
          <w:rtl/>
        </w:rPr>
        <w:t>1</w:t>
      </w:r>
      <w:r w:rsidR="009916FB">
        <w:rPr>
          <w:rFonts w:ascii="David" w:hAnsi="David" w:hint="cs"/>
          <w:rtl/>
        </w:rPr>
        <w:t>.</w:t>
      </w:r>
      <w:r w:rsidR="00962759">
        <w:rPr>
          <w:rFonts w:ascii="David" w:hAnsi="David" w:hint="cs"/>
          <w:rtl/>
        </w:rPr>
        <w:t>11</w:t>
      </w:r>
      <w:r w:rsidR="009916FB">
        <w:rPr>
          <w:rFonts w:ascii="David" w:hAnsi="David" w:hint="cs"/>
          <w:rtl/>
        </w:rPr>
        <w:t>.20</w:t>
      </w:r>
      <w:r w:rsidR="00962759">
        <w:rPr>
          <w:rFonts w:ascii="David" w:hAnsi="David" w:hint="cs"/>
          <w:rtl/>
        </w:rPr>
        <w:t>10</w:t>
      </w:r>
      <w:r w:rsidR="00B16C2D">
        <w:rPr>
          <w:rFonts w:ascii="David" w:hAnsi="David" w:hint="cs"/>
          <w:rtl/>
        </w:rPr>
        <w:t>.</w:t>
      </w:r>
      <w:r w:rsidRPr="00FE7B6F">
        <w:rPr>
          <w:rFonts w:ascii="David" w:hAnsi="David" w:hint="cs"/>
          <w:rtl/>
        </w:rPr>
        <w:t xml:space="preserve"> </w:t>
      </w:r>
      <w:r>
        <w:rPr>
          <w:rFonts w:ascii="David" w:hAnsi="David" w:hint="cs"/>
          <w:rtl/>
        </w:rPr>
        <w:t>ה</w:t>
      </w:r>
      <w:r w:rsidRPr="00FE7B6F">
        <w:rPr>
          <w:rFonts w:ascii="David" w:hAnsi="David" w:hint="cs"/>
          <w:rtl/>
        </w:rPr>
        <w:t>ערעור</w:t>
      </w:r>
      <w:r w:rsidR="00832C05">
        <w:rPr>
          <w:rFonts w:ascii="David" w:hAnsi="David" w:hint="cs"/>
          <w:rtl/>
        </w:rPr>
        <w:t>ים</w:t>
      </w:r>
      <w:r w:rsidRPr="00FE7B6F">
        <w:rPr>
          <w:rFonts w:ascii="David" w:hAnsi="David" w:hint="cs"/>
          <w:rtl/>
        </w:rPr>
        <w:t xml:space="preserve"> התקבל</w:t>
      </w:r>
      <w:r w:rsidR="00832C05">
        <w:rPr>
          <w:rFonts w:ascii="David" w:hAnsi="David" w:hint="cs"/>
          <w:rtl/>
        </w:rPr>
        <w:t>ו</w:t>
      </w:r>
      <w:r w:rsidRPr="00FE7B6F">
        <w:rPr>
          <w:rFonts w:ascii="David" w:hAnsi="David" w:hint="cs"/>
          <w:rtl/>
        </w:rPr>
        <w:t>.</w:t>
      </w:r>
    </w:p>
    <w:p w14:paraId="45DBFC38" w14:textId="0FCA289F" w:rsidR="00716B12" w:rsidRDefault="00716B12" w:rsidP="00716B12">
      <w:pPr>
        <w:spacing w:line="480" w:lineRule="auto"/>
        <w:jc w:val="center"/>
        <w:rPr>
          <w:b/>
          <w:bCs/>
          <w:u w:val="single"/>
          <w:rtl/>
        </w:rPr>
      </w:pPr>
      <w:r>
        <w:rPr>
          <w:rFonts w:hint="cs"/>
          <w:b/>
          <w:bCs/>
          <w:u w:val="single"/>
          <w:rtl/>
        </w:rPr>
        <w:t>פ ס ק - ד י ן</w:t>
      </w:r>
    </w:p>
    <w:p w14:paraId="2367BDF9" w14:textId="1BBBEAF9" w:rsidR="002334EF" w:rsidRDefault="002334EF" w:rsidP="002334EF">
      <w:pPr>
        <w:numPr>
          <w:ilvl w:val="0"/>
          <w:numId w:val="1"/>
        </w:numPr>
        <w:tabs>
          <w:tab w:val="left" w:pos="226"/>
        </w:tabs>
        <w:ind w:left="0" w:firstLine="0"/>
      </w:pPr>
      <w:r>
        <w:rPr>
          <w:rFonts w:hint="cs"/>
          <w:rtl/>
        </w:rPr>
        <w:t xml:space="preserve">המערער, רב"ט </w:t>
      </w:r>
      <w:r w:rsidR="00866AAB">
        <w:rPr>
          <w:rFonts w:hint="cs"/>
          <w:rtl/>
        </w:rPr>
        <w:t>ע' ר'</w:t>
      </w:r>
      <w:r>
        <w:rPr>
          <w:rFonts w:hint="cs"/>
          <w:rtl/>
        </w:rPr>
        <w:t>, הורשע בבית הדין המחוזי, לאחר שמיעת ראיות, בעבירה שעניינה החזקת סם מסוכן שלא לצריכה עצמית, לפי סעיף 7(א)</w:t>
      </w:r>
      <w:r w:rsidR="00E719CE">
        <w:rPr>
          <w:rFonts w:hint="cs"/>
          <w:rtl/>
        </w:rPr>
        <w:t xml:space="preserve"> ו-</w:t>
      </w:r>
      <w:r w:rsidR="00CB6020">
        <w:rPr>
          <w:rFonts w:hint="cs"/>
          <w:rtl/>
        </w:rPr>
        <w:t>(</w:t>
      </w:r>
      <w:r>
        <w:rPr>
          <w:rFonts w:hint="cs"/>
          <w:rtl/>
        </w:rPr>
        <w:t>ג) ריש</w:t>
      </w:r>
      <w:r w:rsidR="00E719CE">
        <w:rPr>
          <w:rFonts w:hint="cs"/>
          <w:rtl/>
        </w:rPr>
        <w:t>ה</w:t>
      </w:r>
      <w:r>
        <w:rPr>
          <w:rFonts w:hint="cs"/>
          <w:rtl/>
        </w:rPr>
        <w:t xml:space="preserve"> לפקודת הסמים המסוכנים [נוסח חדש], התשל"ג-1973 ובעבירה שעניינה סירוב להיבדק לשם גילוי שימוש בסמים מסוכנים, לפי סעי</w:t>
      </w:r>
      <w:r w:rsidR="00E719CE">
        <w:rPr>
          <w:rFonts w:hint="cs"/>
          <w:rtl/>
        </w:rPr>
        <w:t>פים</w:t>
      </w:r>
      <w:r>
        <w:rPr>
          <w:rFonts w:hint="cs"/>
          <w:rtl/>
        </w:rPr>
        <w:t xml:space="preserve"> 127א ו-250א לחוק השיפוט הצבאי, </w:t>
      </w:r>
      <w:r>
        <w:rPr>
          <w:rFonts w:hint="cs"/>
          <w:rtl/>
        </w:rPr>
        <w:lastRenderedPageBreak/>
        <w:t>התשט"ו-1955. על המערער הוטלו 44 ימי מאסר בפועל, החופפים את ימי מעצרו</w:t>
      </w:r>
      <w:r w:rsidR="00CB6020">
        <w:rPr>
          <w:rFonts w:hint="cs"/>
          <w:rtl/>
        </w:rPr>
        <w:t>;</w:t>
      </w:r>
      <w:r>
        <w:rPr>
          <w:rFonts w:hint="cs"/>
          <w:rtl/>
        </w:rPr>
        <w:t xml:space="preserve"> </w:t>
      </w:r>
      <w:r w:rsidR="002263A9">
        <w:rPr>
          <w:rFonts w:hint="cs"/>
          <w:rtl/>
        </w:rPr>
        <w:t>ארבעה חודש</w:t>
      </w:r>
      <w:r w:rsidR="00CB6020">
        <w:rPr>
          <w:rFonts w:hint="cs"/>
          <w:rtl/>
        </w:rPr>
        <w:t>י</w:t>
      </w:r>
      <w:r w:rsidR="002263A9">
        <w:rPr>
          <w:rFonts w:hint="cs"/>
          <w:rtl/>
        </w:rPr>
        <w:t xml:space="preserve"> מאסר על</w:t>
      </w:r>
      <w:r w:rsidR="00CB6020">
        <w:rPr>
          <w:rFonts w:hint="cs"/>
          <w:rtl/>
        </w:rPr>
        <w:t>-</w:t>
      </w:r>
      <w:r w:rsidR="002263A9">
        <w:rPr>
          <w:rFonts w:hint="cs"/>
          <w:rtl/>
        </w:rPr>
        <w:t>תנאי למשך שלוש שנים, לבל יעבור כל עבירה לפי סעיף 7 לפקודת הסמים המסוכנים; חודש מאסר על</w:t>
      </w:r>
      <w:r w:rsidR="00CB6020">
        <w:rPr>
          <w:rFonts w:hint="cs"/>
          <w:rtl/>
        </w:rPr>
        <w:t>-</w:t>
      </w:r>
      <w:r w:rsidR="002263A9">
        <w:rPr>
          <w:rFonts w:hint="cs"/>
          <w:rtl/>
        </w:rPr>
        <w:t>תנאי למשך שנתיים לבל יעבור כל עבירה שעניינה סירוב להיבדק לשם גילוי שימוש בסמים מסוכנים</w:t>
      </w:r>
      <w:r>
        <w:rPr>
          <w:rFonts w:hint="cs"/>
          <w:rtl/>
        </w:rPr>
        <w:t xml:space="preserve"> והורדה לדרגת טוראי. הן התביעה והן ההגנה לא השלימו עם פסק הדין. ערעור ההגנה </w:t>
      </w:r>
      <w:r w:rsidR="00E719CE">
        <w:rPr>
          <w:rFonts w:hint="cs"/>
          <w:rtl/>
        </w:rPr>
        <w:t>ה</w:t>
      </w:r>
      <w:r>
        <w:rPr>
          <w:rFonts w:hint="cs"/>
          <w:rtl/>
        </w:rPr>
        <w:t xml:space="preserve">ופנה כנגד הרשעתו של המערער, ואילו ערעור התביעה </w:t>
      </w:r>
      <w:r w:rsidR="00E719CE">
        <w:rPr>
          <w:rFonts w:hint="cs"/>
          <w:rtl/>
        </w:rPr>
        <w:t>ה</w:t>
      </w:r>
      <w:r>
        <w:rPr>
          <w:rFonts w:hint="cs"/>
          <w:rtl/>
        </w:rPr>
        <w:t xml:space="preserve">ופנה כנגד הכרעת הדין וכנגד קולת העונש. </w:t>
      </w:r>
    </w:p>
    <w:p w14:paraId="5DEFB3D3" w14:textId="77777777" w:rsidR="002263A9" w:rsidRDefault="005D290F" w:rsidP="005D290F">
      <w:pPr>
        <w:numPr>
          <w:ilvl w:val="0"/>
          <w:numId w:val="1"/>
        </w:numPr>
        <w:tabs>
          <w:tab w:val="left" w:pos="226"/>
        </w:tabs>
        <w:ind w:left="0" w:firstLine="0"/>
      </w:pPr>
      <w:r>
        <w:rPr>
          <w:rtl/>
        </w:rPr>
        <w:t xml:space="preserve">ביום </w:t>
      </w:r>
      <w:r>
        <w:rPr>
          <w:rFonts w:hint="cs"/>
          <w:rtl/>
        </w:rPr>
        <w:t>13 בספטמבר 2022, בעקבות הליך גישור</w:t>
      </w:r>
      <w:r>
        <w:rPr>
          <w:rtl/>
        </w:rPr>
        <w:t>, הודיעונו הצדדים כי באו לידי הסכמ</w:t>
      </w:r>
      <w:r w:rsidR="002263A9">
        <w:rPr>
          <w:rFonts w:hint="cs"/>
          <w:rtl/>
        </w:rPr>
        <w:t>ות</w:t>
      </w:r>
      <w:r w:rsidR="001F380A">
        <w:rPr>
          <w:rFonts w:hint="cs"/>
          <w:rtl/>
        </w:rPr>
        <w:t xml:space="preserve"> ביחס לגורלם של הערעורים,</w:t>
      </w:r>
      <w:r w:rsidR="002263A9">
        <w:rPr>
          <w:rFonts w:hint="cs"/>
          <w:rtl/>
        </w:rPr>
        <w:t xml:space="preserve"> וביקשו כי פסק הדין יינתן על בסיס מסמך ההבנות שהונח בפני השופט המגשר ו</w:t>
      </w:r>
      <w:r w:rsidR="004979C8">
        <w:rPr>
          <w:rFonts w:hint="cs"/>
          <w:rtl/>
        </w:rPr>
        <w:t xml:space="preserve">על בסיס </w:t>
      </w:r>
      <w:r w:rsidR="002263A9">
        <w:rPr>
          <w:rFonts w:hint="cs"/>
          <w:rtl/>
        </w:rPr>
        <w:t>ההחלטה בהליך הגישור מיום 8 בספטמבר 2022.</w:t>
      </w:r>
      <w:r>
        <w:rPr>
          <w:rFonts w:hint="cs"/>
          <w:rtl/>
        </w:rPr>
        <w:t xml:space="preserve"> </w:t>
      </w:r>
    </w:p>
    <w:p w14:paraId="4FD29299" w14:textId="77777777" w:rsidR="002263A9" w:rsidRDefault="00E719CE" w:rsidP="00E719CE">
      <w:pPr>
        <w:numPr>
          <w:ilvl w:val="0"/>
          <w:numId w:val="1"/>
        </w:numPr>
        <w:tabs>
          <w:tab w:val="left" w:pos="226"/>
        </w:tabs>
        <w:ind w:left="0" w:firstLine="0"/>
      </w:pPr>
      <w:r>
        <w:rPr>
          <w:rFonts w:hint="cs"/>
          <w:rtl/>
        </w:rPr>
        <w:t xml:space="preserve">כעולה </w:t>
      </w:r>
      <w:r w:rsidRPr="00E719CE">
        <w:rPr>
          <w:rFonts w:hint="cs"/>
          <w:rtl/>
        </w:rPr>
        <w:t xml:space="preserve">ממסמך ההבנות ומההחלטה בהליך הגישור </w:t>
      </w:r>
      <w:r>
        <w:rPr>
          <w:rFonts w:hint="cs"/>
          <w:rtl/>
        </w:rPr>
        <w:t xml:space="preserve">שהוצגו לעיוננו, </w:t>
      </w:r>
      <w:r w:rsidR="000130AD">
        <w:rPr>
          <w:rFonts w:hint="cs"/>
          <w:rtl/>
        </w:rPr>
        <w:t xml:space="preserve">הצדדים </w:t>
      </w:r>
      <w:r>
        <w:rPr>
          <w:rFonts w:hint="cs"/>
          <w:rtl/>
        </w:rPr>
        <w:t xml:space="preserve">הגיעו </w:t>
      </w:r>
      <w:r w:rsidR="001F380A">
        <w:rPr>
          <w:rFonts w:hint="cs"/>
          <w:rtl/>
        </w:rPr>
        <w:t>להסכמ</w:t>
      </w:r>
      <w:r w:rsidR="005B4C2D">
        <w:rPr>
          <w:rFonts w:hint="cs"/>
          <w:rtl/>
        </w:rPr>
        <w:t>ות</w:t>
      </w:r>
      <w:r w:rsidR="001F380A">
        <w:rPr>
          <w:rFonts w:hint="cs"/>
          <w:rtl/>
        </w:rPr>
        <w:t>, שלפיה</w:t>
      </w:r>
      <w:r w:rsidR="005B4C2D">
        <w:rPr>
          <w:rFonts w:hint="cs"/>
          <w:rtl/>
        </w:rPr>
        <w:t>ן</w:t>
      </w:r>
      <w:r w:rsidR="005D290F">
        <w:rPr>
          <w:rFonts w:hint="cs"/>
          <w:rtl/>
        </w:rPr>
        <w:t xml:space="preserve"> חלף הרשעתו </w:t>
      </w:r>
      <w:r>
        <w:rPr>
          <w:rFonts w:hint="cs"/>
          <w:rtl/>
        </w:rPr>
        <w:t xml:space="preserve">כפי שנקבע </w:t>
      </w:r>
      <w:r w:rsidR="005D290F">
        <w:rPr>
          <w:rFonts w:hint="cs"/>
          <w:rtl/>
        </w:rPr>
        <w:t>בפסק דינו של בית הדין המחוזי, יורשע המערער בעביר</w:t>
      </w:r>
      <w:r w:rsidR="00CB6020">
        <w:rPr>
          <w:rFonts w:hint="cs"/>
          <w:rtl/>
        </w:rPr>
        <w:t>ה</w:t>
      </w:r>
      <w:r w:rsidR="005D290F">
        <w:rPr>
          <w:rFonts w:hint="cs"/>
          <w:rtl/>
        </w:rPr>
        <w:t xml:space="preserve"> של החזקת סם לצריכה עצמית, לפי סעיף 7(א)</w:t>
      </w:r>
      <w:r>
        <w:rPr>
          <w:rFonts w:hint="cs"/>
          <w:rtl/>
        </w:rPr>
        <w:t xml:space="preserve"> ו-</w:t>
      </w:r>
      <w:r w:rsidR="005D290F">
        <w:rPr>
          <w:rFonts w:hint="cs"/>
          <w:rtl/>
        </w:rPr>
        <w:t xml:space="preserve">(ג) </w:t>
      </w:r>
      <w:r w:rsidR="005D290F" w:rsidRPr="006E4EAE">
        <w:rPr>
          <w:rFonts w:hint="cs"/>
          <w:b/>
          <w:bCs/>
          <w:rtl/>
        </w:rPr>
        <w:t>סיפה</w:t>
      </w:r>
      <w:r w:rsidR="005D290F">
        <w:rPr>
          <w:rFonts w:hint="cs"/>
          <w:rtl/>
        </w:rPr>
        <w:t xml:space="preserve"> לפקודת הסמים המסוכנים וכן בעבירה שעניינה סירוב להיבדק לשם גילוי שימוש בסמים מסוכנים, לפי סעי</w:t>
      </w:r>
      <w:r>
        <w:rPr>
          <w:rFonts w:hint="cs"/>
          <w:rtl/>
        </w:rPr>
        <w:t>פים</w:t>
      </w:r>
      <w:r w:rsidR="005D290F">
        <w:rPr>
          <w:rFonts w:hint="cs"/>
          <w:rtl/>
        </w:rPr>
        <w:t xml:space="preserve"> 127א ו-250א לחוק השיפוט הצבאי. עוד עתרו הצדדים </w:t>
      </w:r>
      <w:r w:rsidR="002263A9">
        <w:rPr>
          <w:rFonts w:hint="cs"/>
          <w:rtl/>
        </w:rPr>
        <w:t xml:space="preserve">במשותף, </w:t>
      </w:r>
      <w:r w:rsidR="005D290F">
        <w:rPr>
          <w:rFonts w:hint="cs"/>
          <w:rtl/>
        </w:rPr>
        <w:t>כי עונש המאסר בפועל בן 44 ימים</w:t>
      </w:r>
      <w:r w:rsidR="00D1146F">
        <w:rPr>
          <w:rFonts w:hint="cs"/>
          <w:rtl/>
        </w:rPr>
        <w:t>, אשר, כאמור, הושת בח</w:t>
      </w:r>
      <w:r w:rsidR="003E5784">
        <w:rPr>
          <w:rFonts w:hint="cs"/>
          <w:rtl/>
        </w:rPr>
        <w:t>ו</w:t>
      </w:r>
      <w:r w:rsidR="00D1146F">
        <w:rPr>
          <w:rFonts w:hint="cs"/>
          <w:rtl/>
        </w:rPr>
        <w:t xml:space="preserve">פף </w:t>
      </w:r>
      <w:r w:rsidR="003E5784">
        <w:rPr>
          <w:rFonts w:hint="cs"/>
          <w:rtl/>
        </w:rPr>
        <w:t>ל</w:t>
      </w:r>
      <w:r w:rsidR="00D1146F">
        <w:rPr>
          <w:rFonts w:hint="cs"/>
          <w:rtl/>
        </w:rPr>
        <w:t>ימי המעצר</w:t>
      </w:r>
      <w:r w:rsidR="002263A9">
        <w:rPr>
          <w:rFonts w:hint="cs"/>
          <w:rtl/>
        </w:rPr>
        <w:t xml:space="preserve"> </w:t>
      </w:r>
      <w:r w:rsidR="003E5784">
        <w:rPr>
          <w:rtl/>
        </w:rPr>
        <w:t>–</w:t>
      </w:r>
      <w:r w:rsidR="005D290F">
        <w:rPr>
          <w:rFonts w:hint="cs"/>
          <w:rtl/>
        </w:rPr>
        <w:t xml:space="preserve"> </w:t>
      </w:r>
      <w:r w:rsidR="005D290F" w:rsidRPr="006E4EAE">
        <w:rPr>
          <w:rFonts w:hint="cs"/>
          <w:b/>
          <w:bCs/>
          <w:rtl/>
        </w:rPr>
        <w:t>יבוטל</w:t>
      </w:r>
      <w:r w:rsidR="003E5784" w:rsidRPr="003E5784">
        <w:rPr>
          <w:rFonts w:hint="cs"/>
          <w:rtl/>
        </w:rPr>
        <w:t xml:space="preserve">. הוסכם, כי </w:t>
      </w:r>
      <w:r w:rsidR="005D290F">
        <w:rPr>
          <w:rFonts w:hint="cs"/>
          <w:rtl/>
        </w:rPr>
        <w:t>יתר רכיבי הענישה, כמפורט לעיל, יוותרו על כנם</w:t>
      </w:r>
      <w:r w:rsidR="005D290F">
        <w:rPr>
          <w:rtl/>
        </w:rPr>
        <w:t xml:space="preserve">. </w:t>
      </w:r>
    </w:p>
    <w:p w14:paraId="5C4ED577" w14:textId="77777777" w:rsidR="006E4EAE" w:rsidRDefault="006C48B0" w:rsidP="002263A9">
      <w:pPr>
        <w:numPr>
          <w:ilvl w:val="0"/>
          <w:numId w:val="1"/>
        </w:numPr>
        <w:tabs>
          <w:tab w:val="left" w:pos="226"/>
        </w:tabs>
        <w:ind w:left="0" w:firstLine="0"/>
      </w:pPr>
      <w:r>
        <w:rPr>
          <w:rFonts w:hint="cs"/>
          <w:rtl/>
        </w:rPr>
        <w:t>בשים לב להסכמת הצדדים</w:t>
      </w:r>
      <w:r w:rsidR="00492274">
        <w:rPr>
          <w:rFonts w:hint="cs"/>
          <w:rtl/>
        </w:rPr>
        <w:t>,</w:t>
      </w:r>
      <w:r>
        <w:rPr>
          <w:rFonts w:hint="cs"/>
          <w:rtl/>
        </w:rPr>
        <w:t xml:space="preserve"> שלפיה החלטת השופט המגשר תהייה בסיס לפסק הדין </w:t>
      </w:r>
      <w:r w:rsidR="00492274">
        <w:rPr>
          <w:rFonts w:hint="cs"/>
          <w:rtl/>
        </w:rPr>
        <w:t>בערעורים</w:t>
      </w:r>
      <w:r>
        <w:rPr>
          <w:rFonts w:hint="cs"/>
          <w:rtl/>
        </w:rPr>
        <w:t xml:space="preserve">, ניתן לציין כי </w:t>
      </w:r>
      <w:r w:rsidR="001F380A">
        <w:rPr>
          <w:rFonts w:hint="cs"/>
          <w:rtl/>
        </w:rPr>
        <w:t>ב</w:t>
      </w:r>
      <w:r w:rsidR="002263A9">
        <w:rPr>
          <w:rFonts w:hint="cs"/>
          <w:rtl/>
        </w:rPr>
        <w:t>החלטת</w:t>
      </w:r>
      <w:r w:rsidR="00E719CE">
        <w:rPr>
          <w:rFonts w:hint="cs"/>
          <w:rtl/>
        </w:rPr>
        <w:t xml:space="preserve">ו של </w:t>
      </w:r>
      <w:r w:rsidR="002263A9">
        <w:rPr>
          <w:rFonts w:hint="cs"/>
          <w:rtl/>
        </w:rPr>
        <w:t xml:space="preserve">השופט המגשר, </w:t>
      </w:r>
      <w:r w:rsidR="00AE40A2">
        <w:rPr>
          <w:rFonts w:hint="cs"/>
          <w:rtl/>
        </w:rPr>
        <w:t xml:space="preserve">בואר </w:t>
      </w:r>
      <w:r w:rsidR="002263A9">
        <w:rPr>
          <w:rFonts w:hint="cs"/>
          <w:rtl/>
        </w:rPr>
        <w:t xml:space="preserve">כי "כחלק מההסכמות הכוללות בין הצדדים, התחייב המערער שלא להעלות בעתיד כל טענה ביחס </w:t>
      </w:r>
      <w:r w:rsidR="006E4EAE">
        <w:rPr>
          <w:rFonts w:hint="cs"/>
          <w:rtl/>
        </w:rPr>
        <w:t xml:space="preserve">למעצרו או למאסרו במסגרת תיק זה, שכן בקשת הצדדים לבטל את רכיב המאסר בפועל לא טומנת בחובה אמירה כלשהי באשר להצדקת הטלתו על ידי בית הדין המחוזי, או באשר להצדקת החזקתו של המערער במעצר במסגרת תיק זה". </w:t>
      </w:r>
    </w:p>
    <w:p w14:paraId="576026EC" w14:textId="77777777" w:rsidR="005D290F" w:rsidRPr="00EA5CBF" w:rsidRDefault="001F380A" w:rsidP="002263A9">
      <w:pPr>
        <w:numPr>
          <w:ilvl w:val="0"/>
          <w:numId w:val="1"/>
        </w:numPr>
        <w:tabs>
          <w:tab w:val="left" w:pos="226"/>
        </w:tabs>
        <w:ind w:left="0" w:firstLine="0"/>
        <w:rPr>
          <w:rtl/>
        </w:rPr>
      </w:pPr>
      <w:r>
        <w:rPr>
          <w:rFonts w:hint="cs"/>
          <w:rtl/>
        </w:rPr>
        <w:t>עוד הודגש</w:t>
      </w:r>
      <w:r w:rsidR="009C02CC">
        <w:rPr>
          <w:rFonts w:hint="cs"/>
          <w:rtl/>
        </w:rPr>
        <w:t xml:space="preserve"> בהחלטה</w:t>
      </w:r>
      <w:r w:rsidR="006E4EAE">
        <w:rPr>
          <w:rFonts w:hint="cs"/>
          <w:rtl/>
        </w:rPr>
        <w:t>, כי עתירת הצדדים מתבססת על ההבנה, כי בהתאם לסעיפים 18 ו-19 לחוק המידע הפלילי ותקנת השבים, התשע"ט-2019, ומשהוסכם כי עונש המאסר בפועל יבוטל</w:t>
      </w:r>
      <w:r>
        <w:rPr>
          <w:rFonts w:hint="cs"/>
          <w:rtl/>
        </w:rPr>
        <w:t xml:space="preserve">, </w:t>
      </w:r>
      <w:r w:rsidR="006E4EAE">
        <w:rPr>
          <w:rFonts w:hint="cs"/>
          <w:rtl/>
        </w:rPr>
        <w:t xml:space="preserve">תקופת ההתיישנות והמחיקה של </w:t>
      </w:r>
      <w:r w:rsidR="003E5784">
        <w:rPr>
          <w:rFonts w:hint="cs"/>
          <w:rtl/>
        </w:rPr>
        <w:t>ה</w:t>
      </w:r>
      <w:r w:rsidR="006E4EAE">
        <w:rPr>
          <w:rFonts w:hint="cs"/>
          <w:rtl/>
        </w:rPr>
        <w:t>עביר</w:t>
      </w:r>
      <w:r w:rsidR="003E5784">
        <w:rPr>
          <w:rFonts w:hint="cs"/>
          <w:rtl/>
        </w:rPr>
        <w:t xml:space="preserve">ה </w:t>
      </w:r>
      <w:r w:rsidR="006C48B0">
        <w:rPr>
          <w:rFonts w:hint="cs"/>
          <w:rtl/>
        </w:rPr>
        <w:t>ש</w:t>
      </w:r>
      <w:r w:rsidR="003E5784">
        <w:rPr>
          <w:rFonts w:hint="cs"/>
          <w:rtl/>
        </w:rPr>
        <w:t xml:space="preserve">בה צפוי המערער להיות מורשע בהתאם להסכמות הצדדים (עבירה מסוג עוון), היא בת </w:t>
      </w:r>
      <w:r w:rsidR="006E4EAE">
        <w:rPr>
          <w:rFonts w:hint="cs"/>
          <w:rtl/>
        </w:rPr>
        <w:t xml:space="preserve">עשר שנים </w:t>
      </w:r>
      <w:r w:rsidR="003E5784">
        <w:rPr>
          <w:rFonts w:hint="cs"/>
          <w:rtl/>
        </w:rPr>
        <w:t xml:space="preserve">ומניינה </w:t>
      </w:r>
      <w:r w:rsidR="006E4EAE">
        <w:rPr>
          <w:rFonts w:hint="cs"/>
          <w:rtl/>
        </w:rPr>
        <w:t>מיום מתן פסק הדין המחוזי</w:t>
      </w:r>
      <w:r w:rsidR="003E5784">
        <w:rPr>
          <w:rFonts w:hint="cs"/>
          <w:rtl/>
        </w:rPr>
        <w:t xml:space="preserve">. </w:t>
      </w:r>
      <w:r w:rsidR="007A7CC1">
        <w:rPr>
          <w:rFonts w:hint="cs"/>
          <w:rtl/>
        </w:rPr>
        <w:t xml:space="preserve">תקופה </w:t>
      </w:r>
      <w:r w:rsidR="003E5784">
        <w:rPr>
          <w:rFonts w:hint="cs"/>
          <w:rtl/>
        </w:rPr>
        <w:t xml:space="preserve">זו </w:t>
      </w:r>
      <w:r w:rsidR="006E4EAE">
        <w:rPr>
          <w:rFonts w:hint="cs"/>
          <w:rtl/>
        </w:rPr>
        <w:t>חל</w:t>
      </w:r>
      <w:r w:rsidR="007A7CC1">
        <w:rPr>
          <w:rFonts w:hint="cs"/>
          <w:rtl/>
        </w:rPr>
        <w:t>פה</w:t>
      </w:r>
      <w:r w:rsidR="006E4EAE">
        <w:rPr>
          <w:rFonts w:hint="cs"/>
          <w:rtl/>
        </w:rPr>
        <w:t xml:space="preserve"> זה מכבר.</w:t>
      </w:r>
    </w:p>
    <w:p w14:paraId="1EC20CC5" w14:textId="77777777" w:rsidR="002334EF" w:rsidRDefault="002334EF" w:rsidP="002334EF">
      <w:pPr>
        <w:numPr>
          <w:ilvl w:val="0"/>
          <w:numId w:val="1"/>
        </w:numPr>
        <w:tabs>
          <w:tab w:val="left" w:pos="226"/>
        </w:tabs>
        <w:ind w:left="0" w:firstLine="0"/>
      </w:pPr>
      <w:r>
        <w:rPr>
          <w:rFonts w:hint="cs"/>
          <w:rtl/>
        </w:rPr>
        <w:t>לאחר ששקלנו את נסיבות ה</w:t>
      </w:r>
      <w:r w:rsidR="00E4338D">
        <w:rPr>
          <w:rFonts w:hint="cs"/>
          <w:rtl/>
        </w:rPr>
        <w:t>מקרה</w:t>
      </w:r>
      <w:r w:rsidR="006C48B0">
        <w:rPr>
          <w:rFonts w:hint="cs"/>
          <w:rtl/>
        </w:rPr>
        <w:t xml:space="preserve"> ובראשן את פרק הזמן שחלף מאז ניתן פסק הדין בערכאה קמא </w:t>
      </w:r>
      <w:r w:rsidR="006C48B0">
        <w:rPr>
          <w:rtl/>
        </w:rPr>
        <w:t>–</w:t>
      </w:r>
      <w:r w:rsidR="006C48B0">
        <w:rPr>
          <w:rFonts w:hint="cs"/>
          <w:rtl/>
        </w:rPr>
        <w:t xml:space="preserve"> שאף יש בו, לפי הנמסר, כדי להשליך על התוצאה הרישומית של הסדר הטיעון בערעור - </w:t>
      </w:r>
      <w:r>
        <w:rPr>
          <w:rFonts w:hint="cs"/>
          <w:rtl/>
        </w:rPr>
        <w:t xml:space="preserve">מצאנו </w:t>
      </w:r>
      <w:r w:rsidR="006C48B0">
        <w:rPr>
          <w:rFonts w:hint="cs"/>
          <w:rtl/>
        </w:rPr>
        <w:t xml:space="preserve">לאשר הסדר זה, מה עוד שהושג בעקבות הליך של גישור. </w:t>
      </w:r>
    </w:p>
    <w:p w14:paraId="15709DA9" w14:textId="77777777" w:rsidR="002334EF" w:rsidRDefault="002334EF" w:rsidP="00CB6020">
      <w:pPr>
        <w:numPr>
          <w:ilvl w:val="0"/>
          <w:numId w:val="1"/>
        </w:numPr>
        <w:tabs>
          <w:tab w:val="left" w:pos="226"/>
        </w:tabs>
        <w:ind w:left="0" w:firstLine="0"/>
      </w:pPr>
      <w:r>
        <w:rPr>
          <w:rFonts w:hint="cs"/>
          <w:rtl/>
        </w:rPr>
        <w:lastRenderedPageBreak/>
        <w:t xml:space="preserve">המערער מורשע, </w:t>
      </w:r>
      <w:r w:rsidR="00CB6020">
        <w:rPr>
          <w:rFonts w:hint="cs"/>
          <w:rtl/>
        </w:rPr>
        <w:t>אפוא</w:t>
      </w:r>
      <w:r>
        <w:rPr>
          <w:rFonts w:hint="cs"/>
          <w:rtl/>
        </w:rPr>
        <w:t xml:space="preserve">, </w:t>
      </w:r>
      <w:r w:rsidR="00CB6020">
        <w:rPr>
          <w:rFonts w:hint="cs"/>
          <w:rtl/>
        </w:rPr>
        <w:t>בעבירה של החזקת סם לצריכה עצמית, לפי סעיף 7(א)</w:t>
      </w:r>
      <w:r w:rsidR="00E4338D">
        <w:rPr>
          <w:rFonts w:hint="cs"/>
          <w:rtl/>
        </w:rPr>
        <w:t xml:space="preserve"> ו-</w:t>
      </w:r>
      <w:r w:rsidR="00CB6020">
        <w:rPr>
          <w:rFonts w:hint="cs"/>
          <w:rtl/>
        </w:rPr>
        <w:t xml:space="preserve">(ג) </w:t>
      </w:r>
      <w:r w:rsidR="00CB6020" w:rsidRPr="00CB6020">
        <w:rPr>
          <w:rFonts w:hint="cs"/>
          <w:rtl/>
        </w:rPr>
        <w:t>סיפה</w:t>
      </w:r>
      <w:r w:rsidR="00CB6020">
        <w:rPr>
          <w:rFonts w:hint="cs"/>
          <w:rtl/>
        </w:rPr>
        <w:t xml:space="preserve"> לפקודת הסמים המסוכנים</w:t>
      </w:r>
      <w:r w:rsidR="00E4338D">
        <w:rPr>
          <w:rFonts w:hint="cs"/>
          <w:rtl/>
        </w:rPr>
        <w:t>,</w:t>
      </w:r>
      <w:r w:rsidR="00CB6020">
        <w:rPr>
          <w:rFonts w:hint="cs"/>
          <w:rtl/>
        </w:rPr>
        <w:t xml:space="preserve"> וכן בעבירה שעניינה סירוב להיבדק לשם גילוי שימוש בסמים מסוכנים, לפי סעי</w:t>
      </w:r>
      <w:r w:rsidR="00E4338D">
        <w:rPr>
          <w:rFonts w:hint="cs"/>
          <w:rtl/>
        </w:rPr>
        <w:t>פים</w:t>
      </w:r>
      <w:r w:rsidR="00CB6020">
        <w:rPr>
          <w:rFonts w:hint="cs"/>
          <w:rtl/>
        </w:rPr>
        <w:t xml:space="preserve"> 127א ו-250א לחוק השיפוט הצבאי.</w:t>
      </w:r>
      <w:r>
        <w:rPr>
          <w:rFonts w:hint="cs"/>
          <w:rtl/>
        </w:rPr>
        <w:t xml:space="preserve"> </w:t>
      </w:r>
      <w:r w:rsidR="00CB6020">
        <w:rPr>
          <w:rFonts w:hint="cs"/>
          <w:rtl/>
        </w:rPr>
        <w:t xml:space="preserve">עונש המאסר בפועל בן 44 ימים, שהוטל על המערער </w:t>
      </w:r>
      <w:r w:rsidR="00CB6020" w:rsidRPr="00CB6020">
        <w:rPr>
          <w:rFonts w:hint="cs"/>
          <w:rtl/>
        </w:rPr>
        <w:t>יבוטל</w:t>
      </w:r>
      <w:r w:rsidR="00CB6020">
        <w:rPr>
          <w:rFonts w:hint="cs"/>
          <w:rtl/>
        </w:rPr>
        <w:t xml:space="preserve">. </w:t>
      </w:r>
      <w:r>
        <w:rPr>
          <w:rFonts w:hint="cs"/>
          <w:rtl/>
        </w:rPr>
        <w:t>יתר רכיבי גזר הדין ייוותרו על כנם.</w:t>
      </w:r>
    </w:p>
    <w:p w14:paraId="1C5D29CC" w14:textId="77777777" w:rsidR="002334EF" w:rsidRDefault="002334EF" w:rsidP="002334EF">
      <w:pPr>
        <w:tabs>
          <w:tab w:val="left" w:pos="226"/>
        </w:tabs>
        <w:rPr>
          <w:rtl/>
        </w:rPr>
      </w:pPr>
    </w:p>
    <w:p w14:paraId="3D1942F0" w14:textId="77777777" w:rsidR="002334EF" w:rsidRDefault="002334EF" w:rsidP="002334EF">
      <w:pPr>
        <w:tabs>
          <w:tab w:val="left" w:pos="226"/>
        </w:tabs>
        <w:rPr>
          <w:rtl/>
        </w:rPr>
      </w:pPr>
    </w:p>
    <w:p w14:paraId="0D29C423" w14:textId="77777777" w:rsidR="002334EF" w:rsidRDefault="002334EF" w:rsidP="002334EF">
      <w:pPr>
        <w:tabs>
          <w:tab w:val="left" w:pos="226"/>
        </w:tabs>
        <w:rPr>
          <w:rtl/>
        </w:rPr>
      </w:pPr>
      <w:r>
        <w:rPr>
          <w:rFonts w:hint="cs"/>
          <w:rtl/>
        </w:rPr>
        <w:t xml:space="preserve">ניתן היום, </w:t>
      </w:r>
      <w:r w:rsidR="007C629F">
        <w:rPr>
          <w:rFonts w:hint="cs"/>
          <w:rtl/>
        </w:rPr>
        <w:t>ג' בתשרי</w:t>
      </w:r>
      <w:r w:rsidR="009C02CC">
        <w:rPr>
          <w:rFonts w:hint="cs"/>
          <w:rtl/>
        </w:rPr>
        <w:t xml:space="preserve"> </w:t>
      </w:r>
      <w:proofErr w:type="spellStart"/>
      <w:r w:rsidR="001F380A">
        <w:rPr>
          <w:rFonts w:hint="cs"/>
          <w:rtl/>
        </w:rPr>
        <w:t>התשפ"ב</w:t>
      </w:r>
      <w:proofErr w:type="spellEnd"/>
      <w:r>
        <w:rPr>
          <w:rFonts w:hint="cs"/>
          <w:rtl/>
        </w:rPr>
        <w:t xml:space="preserve">, </w:t>
      </w:r>
      <w:r w:rsidR="007C629F">
        <w:rPr>
          <w:rFonts w:hint="cs"/>
          <w:rtl/>
        </w:rPr>
        <w:t>28 בספטמבר</w:t>
      </w:r>
      <w:r>
        <w:rPr>
          <w:rFonts w:hint="cs"/>
          <w:rtl/>
        </w:rPr>
        <w:t xml:space="preserve"> </w:t>
      </w:r>
      <w:r w:rsidR="001F380A">
        <w:rPr>
          <w:rFonts w:hint="cs"/>
          <w:rtl/>
        </w:rPr>
        <w:t>2022</w:t>
      </w:r>
      <w:r>
        <w:rPr>
          <w:rFonts w:hint="cs"/>
          <w:rtl/>
        </w:rPr>
        <w:t xml:space="preserve">, </w:t>
      </w:r>
      <w:r w:rsidR="008F3A6D">
        <w:rPr>
          <w:rFonts w:hint="cs"/>
          <w:rtl/>
        </w:rPr>
        <w:t>בלשכה, ויועבר ל</w:t>
      </w:r>
      <w:r>
        <w:rPr>
          <w:rFonts w:hint="cs"/>
          <w:rtl/>
        </w:rPr>
        <w:t>צדדים</w:t>
      </w:r>
      <w:r w:rsidR="008F3A6D">
        <w:rPr>
          <w:rFonts w:hint="cs"/>
          <w:rtl/>
        </w:rPr>
        <w:t xml:space="preserve"> ולמערער</w:t>
      </w:r>
      <w:r>
        <w:rPr>
          <w:rFonts w:hint="cs"/>
          <w:rtl/>
        </w:rPr>
        <w:t xml:space="preserve">. </w:t>
      </w:r>
    </w:p>
    <w:p w14:paraId="1656291E" w14:textId="77777777" w:rsidR="002334EF" w:rsidRDefault="002334EF" w:rsidP="002334EF">
      <w:pPr>
        <w:tabs>
          <w:tab w:val="left" w:pos="226"/>
        </w:tabs>
        <w:rPr>
          <w:rtl/>
        </w:rPr>
      </w:pPr>
    </w:p>
    <w:p w14:paraId="0274126F" w14:textId="77777777" w:rsidR="002334EF" w:rsidRDefault="002334EF" w:rsidP="002334EF">
      <w:pPr>
        <w:tabs>
          <w:tab w:val="left" w:pos="226"/>
        </w:tabs>
      </w:pPr>
    </w:p>
    <w:p w14:paraId="39F3D815" w14:textId="77777777" w:rsidR="002334EF" w:rsidRPr="004B333D" w:rsidRDefault="002334EF" w:rsidP="002334EF">
      <w:pPr>
        <w:rPr>
          <w:rtl/>
        </w:rPr>
      </w:pPr>
    </w:p>
    <w:p w14:paraId="5AB57A77" w14:textId="77777777" w:rsidR="002334EF" w:rsidRPr="004B333D" w:rsidRDefault="002334EF" w:rsidP="002334EF">
      <w:pPr>
        <w:tabs>
          <w:tab w:val="center" w:pos="1599"/>
          <w:tab w:val="center" w:pos="4150"/>
          <w:tab w:val="center" w:pos="6702"/>
        </w:tabs>
        <w:spacing w:line="240" w:lineRule="auto"/>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7F281A18" w14:textId="77777777" w:rsidR="002334EF" w:rsidRDefault="002334EF" w:rsidP="002334EF">
      <w:pPr>
        <w:tabs>
          <w:tab w:val="center" w:pos="1599"/>
          <w:tab w:val="center" w:pos="4150"/>
          <w:tab w:val="center" w:pos="6702"/>
        </w:tabs>
        <w:rPr>
          <w:b/>
          <w:bCs/>
          <w:rtl/>
        </w:rPr>
      </w:pPr>
      <w:r w:rsidRPr="004B333D">
        <w:rPr>
          <w:rFonts w:hint="cs"/>
          <w:b/>
          <w:bCs/>
          <w:rtl/>
        </w:rPr>
        <w:tab/>
      </w:r>
      <w:r w:rsidR="001F380A">
        <w:rPr>
          <w:rFonts w:hint="cs"/>
          <w:b/>
          <w:bCs/>
          <w:rtl/>
        </w:rPr>
        <w:t>הנשיאה</w:t>
      </w:r>
      <w:r w:rsidRPr="004B333D">
        <w:rPr>
          <w:rFonts w:hint="cs"/>
          <w:b/>
          <w:bCs/>
          <w:rtl/>
        </w:rPr>
        <w:tab/>
      </w:r>
      <w:r w:rsidR="001F380A">
        <w:rPr>
          <w:rFonts w:hint="cs"/>
          <w:b/>
          <w:bCs/>
          <w:rtl/>
        </w:rPr>
        <w:t>המשנה לנשיאה</w:t>
      </w:r>
      <w:r w:rsidRPr="004B333D">
        <w:rPr>
          <w:rFonts w:hint="cs"/>
          <w:b/>
          <w:bCs/>
          <w:rtl/>
        </w:rPr>
        <w:tab/>
      </w:r>
      <w:r w:rsidRPr="004B333D">
        <w:rPr>
          <w:b/>
          <w:bCs/>
          <w:rtl/>
        </w:rPr>
        <w:t>שופט</w:t>
      </w:r>
      <w:r w:rsidR="001F380A">
        <w:rPr>
          <w:rFonts w:hint="cs"/>
          <w:b/>
          <w:bCs/>
          <w:rtl/>
        </w:rPr>
        <w:t>ת</w:t>
      </w:r>
    </w:p>
    <w:p w14:paraId="407DF604" w14:textId="77777777" w:rsidR="002334EF" w:rsidRDefault="002334EF" w:rsidP="002334EF">
      <w:pPr>
        <w:rPr>
          <w:rtl/>
        </w:rPr>
      </w:pPr>
    </w:p>
    <w:p w14:paraId="3B53D57D" w14:textId="77777777" w:rsidR="002334EF" w:rsidRDefault="002334EF" w:rsidP="002334EF">
      <w:pPr>
        <w:outlineLvl w:val="0"/>
        <w:rPr>
          <w:b/>
          <w:bCs/>
          <w:rtl/>
        </w:rPr>
      </w:pPr>
    </w:p>
    <w:p w14:paraId="7B4F08B4" w14:textId="77777777" w:rsidR="0058692A" w:rsidRDefault="0058692A" w:rsidP="0058692A">
      <w:pPr>
        <w:ind w:left="-908" w:firstLine="1275"/>
        <w:rPr>
          <w:rFonts w:ascii="David" w:hAnsi="David"/>
          <w:b/>
          <w:bCs/>
          <w:rtl/>
        </w:rPr>
      </w:pPr>
    </w:p>
    <w:p w14:paraId="220DD1A3" w14:textId="77777777" w:rsidR="0058692A" w:rsidRPr="00B53ED3" w:rsidRDefault="0058692A" w:rsidP="0058692A">
      <w:pPr>
        <w:ind w:left="-908" w:firstLine="1275"/>
        <w:rPr>
          <w:rFonts w:ascii="David" w:hAnsi="David"/>
          <w:b/>
          <w:bCs/>
          <w:rtl/>
        </w:rPr>
      </w:pPr>
      <w:r w:rsidRPr="00B53ED3">
        <w:rPr>
          <w:rFonts w:ascii="David" w:hAnsi="David" w:hint="cs"/>
          <w:b/>
          <w:bCs/>
          <w:rtl/>
        </w:rPr>
        <w:t xml:space="preserve">חתימת המגיה: __________________   </w:t>
      </w:r>
      <w:r>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למקור</w:t>
      </w:r>
    </w:p>
    <w:p w14:paraId="07301197" w14:textId="77777777" w:rsidR="0058692A" w:rsidRPr="00B53ED3" w:rsidRDefault="0058692A" w:rsidP="0058692A">
      <w:pPr>
        <w:ind w:left="-908" w:firstLine="1275"/>
        <w:rPr>
          <w:rFonts w:ascii="David" w:hAnsi="David"/>
          <w:b/>
          <w:bCs/>
          <w:rtl/>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p>
    <w:p w14:paraId="5A1F8A3F" w14:textId="77777777" w:rsidR="0058692A" w:rsidRPr="009D1C03" w:rsidRDefault="0058692A" w:rsidP="0058692A">
      <w:pPr>
        <w:ind w:left="-908" w:firstLine="1275"/>
        <w:rPr>
          <w:rFonts w:ascii="David" w:hAnsi="David"/>
          <w:b/>
          <w:bCs/>
        </w:rPr>
      </w:pPr>
      <w:r w:rsidRPr="00B53ED3">
        <w:rPr>
          <w:rFonts w:ascii="David" w:hAnsi="David" w:hint="cs"/>
          <w:b/>
          <w:bCs/>
          <w:rtl/>
        </w:rPr>
        <w:t xml:space="preserve">תאריך: _______________________     </w:t>
      </w:r>
      <w:r>
        <w:rPr>
          <w:rFonts w:ascii="David" w:hAnsi="David" w:hint="cs"/>
          <w:b/>
          <w:bCs/>
          <w:rtl/>
        </w:rPr>
        <w:t xml:space="preserve">   </w:t>
      </w:r>
      <w:r w:rsidRPr="00B53ED3">
        <w:rPr>
          <w:rFonts w:ascii="David" w:hAnsi="David" w:hint="cs"/>
          <w:b/>
          <w:bCs/>
          <w:rtl/>
        </w:rPr>
        <w:t xml:space="preserve"> 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Pr="00B53ED3">
        <w:rPr>
          <w:rFonts w:ascii="David" w:hAnsi="David" w:hint="cs"/>
          <w:b/>
          <w:bCs/>
          <w:rtl/>
        </w:rPr>
        <w:t xml:space="preserve">  הדין</w:t>
      </w:r>
    </w:p>
    <w:p w14:paraId="1A31F4AE" w14:textId="0CC9BC81" w:rsidR="003132D7" w:rsidRPr="00716B12" w:rsidRDefault="0058692A" w:rsidP="0058692A">
      <w:pPr>
        <w:pStyle w:val="a9"/>
        <w:ind w:left="-58" w:firstLine="1275"/>
        <w:rPr>
          <w:rtl/>
        </w:rPr>
      </w:pPr>
      <w:r>
        <w:rPr>
          <w:rFonts w:hint="cs"/>
          <w:rtl/>
        </w:rPr>
        <w:t xml:space="preserve">                                      </w:t>
      </w:r>
    </w:p>
    <w:sectPr w:rsidR="003132D7" w:rsidRPr="00716B12" w:rsidSect="009F012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318F" w14:textId="77777777" w:rsidR="00AF4A54" w:rsidRDefault="00AF4A54" w:rsidP="00716B12">
      <w:pPr>
        <w:spacing w:line="240" w:lineRule="auto"/>
      </w:pPr>
      <w:r>
        <w:separator/>
      </w:r>
    </w:p>
  </w:endnote>
  <w:endnote w:type="continuationSeparator" w:id="0">
    <w:p w14:paraId="74B9645D" w14:textId="77777777" w:rsidR="00AF4A54" w:rsidRDefault="00AF4A54" w:rsidP="00716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8964315"/>
      <w:docPartObj>
        <w:docPartGallery w:val="Page Numbers (Bottom of Page)"/>
        <w:docPartUnique/>
      </w:docPartObj>
    </w:sdtPr>
    <w:sdtEndPr/>
    <w:sdtContent>
      <w:p w14:paraId="47F05937" w14:textId="77777777" w:rsidR="009D3130" w:rsidRPr="009D3130" w:rsidRDefault="009D3130">
        <w:pPr>
          <w:pStyle w:val="a5"/>
          <w:jc w:val="center"/>
        </w:pPr>
        <w:r w:rsidRPr="009D3130">
          <w:fldChar w:fldCharType="begin"/>
        </w:r>
        <w:r w:rsidRPr="009D3130">
          <w:instrText xml:space="preserve"> PAGE   \* MERGEFORMAT </w:instrText>
        </w:r>
        <w:r w:rsidRPr="009D3130">
          <w:fldChar w:fldCharType="separate"/>
        </w:r>
        <w:r w:rsidRPr="009D3130">
          <w:rPr>
            <w:noProof/>
            <w:rtl/>
            <w:lang w:val="he-IL"/>
          </w:rPr>
          <w:t>1</w:t>
        </w:r>
        <w:r w:rsidRPr="009D3130">
          <w:rPr>
            <w:noProof/>
            <w:lang w:val="he-IL"/>
          </w:rPr>
          <w:fldChar w:fldCharType="end"/>
        </w:r>
      </w:p>
    </w:sdtContent>
  </w:sdt>
  <w:p w14:paraId="6A9B5F68" w14:textId="77777777" w:rsidR="009D3130" w:rsidRPr="009D3130" w:rsidRDefault="009D3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4388" w14:textId="77777777" w:rsidR="00AF4A54" w:rsidRDefault="00AF4A54" w:rsidP="00716B12">
      <w:pPr>
        <w:spacing w:line="240" w:lineRule="auto"/>
      </w:pPr>
      <w:r>
        <w:separator/>
      </w:r>
    </w:p>
  </w:footnote>
  <w:footnote w:type="continuationSeparator" w:id="0">
    <w:p w14:paraId="48CB080C" w14:textId="77777777" w:rsidR="00AF4A54" w:rsidRDefault="00AF4A54" w:rsidP="00716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860A" w14:textId="024C2156" w:rsidR="00716B12" w:rsidRPr="00716B12" w:rsidRDefault="00716B12" w:rsidP="001E4D35">
    <w:pPr>
      <w:pStyle w:val="a3"/>
      <w:jc w:val="center"/>
    </w:pPr>
    <w:r w:rsidRPr="00716B12">
      <w:rPr>
        <w:rFonts w:hint="cs"/>
        <w:rtl/>
      </w:rPr>
      <w:t xml:space="preserve">                                              </w:t>
    </w:r>
    <w:r w:rsidR="00CB6020">
      <w:rPr>
        <w:rFonts w:hint="cs"/>
        <w:rtl/>
      </w:rPr>
      <w:t xml:space="preserve">     </w:t>
    </w:r>
    <w:r w:rsidRPr="00716B12">
      <w:rPr>
        <w:rFonts w:hint="cs"/>
        <w:rtl/>
      </w:rPr>
      <w:t xml:space="preserve">  </w:t>
    </w:r>
    <w:r w:rsidR="00CB6020">
      <w:rPr>
        <w:rFonts w:hint="cs"/>
        <w:rtl/>
      </w:rPr>
      <w:t xml:space="preserve">     </w:t>
    </w:r>
    <w:r w:rsidR="0079515D">
      <w:rPr>
        <w:rFonts w:hint="cs"/>
        <w:rtl/>
      </w:rPr>
      <w:t xml:space="preserve"> </w:t>
    </w:r>
    <w:r w:rsidR="00995D05">
      <w:rPr>
        <w:rFonts w:hint="cs"/>
        <w:rtl/>
      </w:rPr>
      <w:t xml:space="preserve"> ב ל</w:t>
    </w:r>
    <w:r>
      <w:rPr>
        <w:rFonts w:hint="cs"/>
        <w:rtl/>
      </w:rPr>
      <w:t xml:space="preserve"> </w:t>
    </w:r>
    <w:r w:rsidR="0079515D">
      <w:rPr>
        <w:rFonts w:hint="cs"/>
        <w:rtl/>
      </w:rPr>
      <w:t xml:space="preserve">מ " ס </w:t>
    </w:r>
    <w:r>
      <w:rPr>
        <w:rFonts w:hint="cs"/>
        <w:rtl/>
      </w:rPr>
      <w:t xml:space="preserve">              </w:t>
    </w:r>
    <w:r w:rsidRPr="00716B12">
      <w:rPr>
        <w:rFonts w:hint="cs"/>
        <w:rtl/>
      </w:rPr>
      <w:t xml:space="preserve">           </w:t>
    </w:r>
    <w:r>
      <w:rPr>
        <w:rFonts w:hint="cs"/>
        <w:rtl/>
      </w:rPr>
      <w:t xml:space="preserve">         </w:t>
    </w:r>
    <w:r w:rsidRPr="00716B12">
      <w:rPr>
        <w:rFonts w:hint="cs"/>
        <w:rtl/>
      </w:rPr>
      <w:t>ע/</w:t>
    </w:r>
    <w:r w:rsidR="00CB6020">
      <w:rPr>
        <w:rFonts w:hint="cs"/>
        <w:rtl/>
      </w:rPr>
      <w:t>133,134</w:t>
    </w:r>
    <w:r w:rsidRPr="00716B12">
      <w:rPr>
        <w:rFonts w:hint="cs"/>
        <w:rtl/>
      </w:rPr>
      <w:t>/</w:t>
    </w:r>
    <w:r w:rsidR="00CB6020">
      <w:rPr>
        <w:rFonts w:hint="cs"/>
        <w:rtl/>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E71"/>
    <w:multiLevelType w:val="hybridMultilevel"/>
    <w:tmpl w:val="588A39A4"/>
    <w:lvl w:ilvl="0" w:tplc="5E58F3A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21A86"/>
    <w:multiLevelType w:val="hybridMultilevel"/>
    <w:tmpl w:val="EB58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321DA"/>
    <w:multiLevelType w:val="hybridMultilevel"/>
    <w:tmpl w:val="D69801DC"/>
    <w:lvl w:ilvl="0" w:tplc="6262C3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2"/>
    <w:rsid w:val="000130AD"/>
    <w:rsid w:val="00190FC4"/>
    <w:rsid w:val="001E4D35"/>
    <w:rsid w:val="001F380A"/>
    <w:rsid w:val="001F5A3B"/>
    <w:rsid w:val="00222298"/>
    <w:rsid w:val="002263A9"/>
    <w:rsid w:val="002334EF"/>
    <w:rsid w:val="0025374E"/>
    <w:rsid w:val="002C7B53"/>
    <w:rsid w:val="002D69C5"/>
    <w:rsid w:val="002F3904"/>
    <w:rsid w:val="003132D7"/>
    <w:rsid w:val="0034636B"/>
    <w:rsid w:val="0036430B"/>
    <w:rsid w:val="00387436"/>
    <w:rsid w:val="003E5784"/>
    <w:rsid w:val="00404223"/>
    <w:rsid w:val="00492274"/>
    <w:rsid w:val="004979C8"/>
    <w:rsid w:val="004C2D51"/>
    <w:rsid w:val="00526A55"/>
    <w:rsid w:val="0058692A"/>
    <w:rsid w:val="005B4C2D"/>
    <w:rsid w:val="005D290F"/>
    <w:rsid w:val="006C48B0"/>
    <w:rsid w:val="006E4EAE"/>
    <w:rsid w:val="00716B12"/>
    <w:rsid w:val="0079515D"/>
    <w:rsid w:val="007A7CC1"/>
    <w:rsid w:val="007C629F"/>
    <w:rsid w:val="00810BF1"/>
    <w:rsid w:val="00832C05"/>
    <w:rsid w:val="00835623"/>
    <w:rsid w:val="00866AAB"/>
    <w:rsid w:val="008F3A6D"/>
    <w:rsid w:val="00911177"/>
    <w:rsid w:val="00962759"/>
    <w:rsid w:val="009905E8"/>
    <w:rsid w:val="009916FB"/>
    <w:rsid w:val="00991A56"/>
    <w:rsid w:val="00995D05"/>
    <w:rsid w:val="009B4CAC"/>
    <w:rsid w:val="009C02CC"/>
    <w:rsid w:val="009D3130"/>
    <w:rsid w:val="009F0127"/>
    <w:rsid w:val="00A00CFC"/>
    <w:rsid w:val="00AE40A2"/>
    <w:rsid w:val="00AF4A54"/>
    <w:rsid w:val="00B057DD"/>
    <w:rsid w:val="00B16C2D"/>
    <w:rsid w:val="00B941E4"/>
    <w:rsid w:val="00BC6C50"/>
    <w:rsid w:val="00BD5A6A"/>
    <w:rsid w:val="00C16075"/>
    <w:rsid w:val="00CA793F"/>
    <w:rsid w:val="00CB6020"/>
    <w:rsid w:val="00CE386E"/>
    <w:rsid w:val="00D1146F"/>
    <w:rsid w:val="00D4191E"/>
    <w:rsid w:val="00D92BC6"/>
    <w:rsid w:val="00E4338D"/>
    <w:rsid w:val="00E719CE"/>
    <w:rsid w:val="00ED6016"/>
    <w:rsid w:val="00F15917"/>
    <w:rsid w:val="00F60103"/>
    <w:rsid w:val="00F65697"/>
    <w:rsid w:val="00F82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0D2B"/>
  <w15:chartTrackingRefBased/>
  <w15:docId w15:val="{26D7D234-F440-43B8-A9F9-7272743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12"/>
    <w:pPr>
      <w:bidi/>
      <w:spacing w:after="0" w:line="360" w:lineRule="auto"/>
      <w:jc w:val="both"/>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B12"/>
    <w:pPr>
      <w:tabs>
        <w:tab w:val="center" w:pos="4153"/>
        <w:tab w:val="right" w:pos="8306"/>
      </w:tabs>
      <w:spacing w:line="240" w:lineRule="auto"/>
    </w:pPr>
  </w:style>
  <w:style w:type="character" w:customStyle="1" w:styleId="a4">
    <w:name w:val="כותרת עליונה תו"/>
    <w:basedOn w:val="a0"/>
    <w:link w:val="a3"/>
    <w:uiPriority w:val="99"/>
    <w:rsid w:val="00716B12"/>
  </w:style>
  <w:style w:type="paragraph" w:styleId="a5">
    <w:name w:val="footer"/>
    <w:basedOn w:val="a"/>
    <w:link w:val="a6"/>
    <w:uiPriority w:val="99"/>
    <w:unhideWhenUsed/>
    <w:rsid w:val="00716B12"/>
    <w:pPr>
      <w:tabs>
        <w:tab w:val="center" w:pos="4153"/>
        <w:tab w:val="right" w:pos="8306"/>
      </w:tabs>
      <w:spacing w:line="240" w:lineRule="auto"/>
    </w:pPr>
  </w:style>
  <w:style w:type="character" w:customStyle="1" w:styleId="a6">
    <w:name w:val="כותרת תחתונה תו"/>
    <w:basedOn w:val="a0"/>
    <w:link w:val="a5"/>
    <w:uiPriority w:val="99"/>
    <w:rsid w:val="00716B12"/>
  </w:style>
  <w:style w:type="paragraph" w:styleId="a7">
    <w:name w:val="Balloon Text"/>
    <w:basedOn w:val="a"/>
    <w:link w:val="a8"/>
    <w:uiPriority w:val="99"/>
    <w:semiHidden/>
    <w:unhideWhenUsed/>
    <w:rsid w:val="0034636B"/>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34636B"/>
    <w:rPr>
      <w:rFonts w:ascii="Tahoma" w:eastAsia="Times New Roman" w:hAnsi="Tahoma" w:cs="Tahoma"/>
      <w:sz w:val="18"/>
      <w:szCs w:val="18"/>
    </w:rPr>
  </w:style>
  <w:style w:type="paragraph" w:styleId="a9">
    <w:name w:val="List Paragraph"/>
    <w:basedOn w:val="a"/>
    <w:uiPriority w:val="34"/>
    <w:qFormat/>
    <w:rsid w:val="00810BF1"/>
    <w:pPr>
      <w:ind w:left="720"/>
      <w:contextualSpacing/>
    </w:pPr>
  </w:style>
  <w:style w:type="character" w:styleId="aa">
    <w:name w:val="annotation reference"/>
    <w:basedOn w:val="a0"/>
    <w:uiPriority w:val="99"/>
    <w:semiHidden/>
    <w:unhideWhenUsed/>
    <w:rsid w:val="00BC6C50"/>
    <w:rPr>
      <w:sz w:val="16"/>
      <w:szCs w:val="16"/>
    </w:rPr>
  </w:style>
  <w:style w:type="paragraph" w:styleId="ab">
    <w:name w:val="annotation text"/>
    <w:basedOn w:val="a"/>
    <w:link w:val="ac"/>
    <w:uiPriority w:val="99"/>
    <w:semiHidden/>
    <w:unhideWhenUsed/>
    <w:rsid w:val="00BC6C50"/>
    <w:pPr>
      <w:spacing w:line="240" w:lineRule="auto"/>
    </w:pPr>
    <w:rPr>
      <w:sz w:val="20"/>
      <w:szCs w:val="20"/>
    </w:rPr>
  </w:style>
  <w:style w:type="character" w:customStyle="1" w:styleId="ac">
    <w:name w:val="טקסט הערה תו"/>
    <w:basedOn w:val="a0"/>
    <w:link w:val="ab"/>
    <w:uiPriority w:val="99"/>
    <w:semiHidden/>
    <w:rsid w:val="00BC6C50"/>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BC6C50"/>
    <w:rPr>
      <w:b/>
      <w:bCs/>
    </w:rPr>
  </w:style>
  <w:style w:type="character" w:customStyle="1" w:styleId="ae">
    <w:name w:val="נושא הערה תו"/>
    <w:basedOn w:val="ac"/>
    <w:link w:val="ad"/>
    <w:uiPriority w:val="99"/>
    <w:semiHidden/>
    <w:rsid w:val="00BC6C50"/>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s8454991</dc:creator>
  <cp:keywords/>
  <dc:description/>
  <cp:lastModifiedBy>מאי משש - יבד"ץ 205/בית הדין לערעורים/משקי"ת משפט/</cp:lastModifiedBy>
  <cp:revision>3</cp:revision>
  <cp:lastPrinted>2022-12-15T12:05:00Z</cp:lastPrinted>
  <dcterms:created xsi:type="dcterms:W3CDTF">2024-03-10T08:26:00Z</dcterms:created>
  <dcterms:modified xsi:type="dcterms:W3CDTF">2024-03-10T09:09:00Z</dcterms:modified>
</cp:coreProperties>
</file>