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C1A7" w14:textId="68C563F2" w:rsidR="009F380A" w:rsidRPr="009F380A" w:rsidRDefault="009F380A" w:rsidP="009F380A">
      <w:pPr>
        <w:tabs>
          <w:tab w:val="right" w:pos="6518"/>
        </w:tabs>
        <w:spacing w:line="480" w:lineRule="auto"/>
        <w:ind w:left="2407" w:right="1985"/>
        <w:rPr>
          <w:rtl/>
        </w:rPr>
      </w:pPr>
      <w:bookmarkStart w:id="0" w:name="_Hlk149821736"/>
      <w:bookmarkStart w:id="1" w:name="_Hlk149824479"/>
      <w:r w:rsidRPr="00164FD0">
        <w:rPr>
          <w:noProof/>
        </w:rPr>
        <w:drawing>
          <wp:inline distT="0" distB="0" distL="0" distR="0" wp14:anchorId="181E3306" wp14:editId="59983B8E">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0319047" wp14:editId="4878B78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A84906B" w14:textId="32526E7F" w:rsidR="00874C60" w:rsidRPr="00FD2DDA" w:rsidRDefault="00874C60" w:rsidP="009F380A">
      <w:pPr>
        <w:bidi w:val="0"/>
        <w:spacing w:line="480" w:lineRule="auto"/>
        <w:jc w:val="center"/>
        <w:rPr>
          <w:rFonts w:ascii="David" w:hAnsi="David"/>
          <w:b/>
          <w:bCs/>
          <w:sz w:val="28"/>
          <w:u w:val="single"/>
        </w:rPr>
      </w:pPr>
      <w:r w:rsidRPr="00FD2DDA">
        <w:rPr>
          <w:rFonts w:ascii="David" w:hAnsi="David" w:hint="cs"/>
          <w:b/>
          <w:bCs/>
          <w:sz w:val="28"/>
          <w:u w:val="single"/>
          <w:rtl/>
        </w:rPr>
        <w:t>בבית הדין הצבאי לערעורים</w:t>
      </w:r>
    </w:p>
    <w:p w14:paraId="1AA519FD" w14:textId="77777777" w:rsidR="00874C60" w:rsidRPr="00FD2DDA" w:rsidRDefault="00874C60" w:rsidP="00874C60">
      <w:pPr>
        <w:spacing w:before="120" w:line="480" w:lineRule="auto"/>
        <w:rPr>
          <w:rFonts w:ascii="David" w:hAnsi="David"/>
          <w:sz w:val="28"/>
          <w:rtl/>
        </w:rPr>
      </w:pPr>
      <w:r w:rsidRPr="00FD2DDA">
        <w:rPr>
          <w:rFonts w:ascii="David" w:hAnsi="David" w:hint="cs"/>
          <w:sz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874C60" w:rsidRPr="00B73264" w14:paraId="0356A8EF" w14:textId="77777777" w:rsidTr="00E50788">
        <w:trPr>
          <w:trHeight w:val="608"/>
        </w:trPr>
        <w:tc>
          <w:tcPr>
            <w:tcW w:w="2925" w:type="dxa"/>
          </w:tcPr>
          <w:p w14:paraId="5DA4DBBD" w14:textId="651B7C3F" w:rsidR="00874C60" w:rsidRPr="00B73264" w:rsidRDefault="00874C60" w:rsidP="00E50788">
            <w:pPr>
              <w:tabs>
                <w:tab w:val="right" w:pos="1897"/>
              </w:tabs>
              <w:rPr>
                <w:b/>
                <w:bCs/>
                <w:sz w:val="28"/>
                <w:rtl/>
              </w:rPr>
            </w:pPr>
            <w:r>
              <w:rPr>
                <w:rFonts w:hint="cs"/>
                <w:b/>
                <w:bCs/>
                <w:sz w:val="28"/>
                <w:rtl/>
              </w:rPr>
              <w:t xml:space="preserve">תא"ל    </w:t>
            </w:r>
            <w:r w:rsidR="00F41C19">
              <w:rPr>
                <w:rFonts w:hint="cs"/>
                <w:b/>
                <w:bCs/>
                <w:sz w:val="28"/>
                <w:rtl/>
              </w:rPr>
              <w:t xml:space="preserve">        </w:t>
            </w:r>
            <w:r>
              <w:rPr>
                <w:rFonts w:hint="cs"/>
                <w:b/>
                <w:bCs/>
                <w:sz w:val="28"/>
                <w:rtl/>
              </w:rPr>
              <w:t>נועה             זומר</w:t>
            </w:r>
          </w:p>
        </w:tc>
        <w:tc>
          <w:tcPr>
            <w:tcW w:w="675" w:type="dxa"/>
          </w:tcPr>
          <w:p w14:paraId="188ED80D" w14:textId="77777777" w:rsidR="00874C60" w:rsidRPr="00B73264" w:rsidRDefault="00874C60" w:rsidP="00E50788">
            <w:pPr>
              <w:jc w:val="center"/>
              <w:rPr>
                <w:b/>
                <w:bCs/>
                <w:sz w:val="28"/>
                <w:rtl/>
              </w:rPr>
            </w:pPr>
            <w:r w:rsidRPr="00B73264">
              <w:rPr>
                <w:rFonts w:hint="cs"/>
                <w:b/>
                <w:bCs/>
                <w:sz w:val="28"/>
                <w:rtl/>
              </w:rPr>
              <w:t>-</w:t>
            </w:r>
          </w:p>
        </w:tc>
        <w:tc>
          <w:tcPr>
            <w:tcW w:w="2200" w:type="dxa"/>
          </w:tcPr>
          <w:p w14:paraId="3B03295D" w14:textId="77777777" w:rsidR="00874C60" w:rsidRPr="00B73264" w:rsidRDefault="00874C60" w:rsidP="00E50788">
            <w:pPr>
              <w:tabs>
                <w:tab w:val="right" w:pos="1789"/>
              </w:tabs>
              <w:rPr>
                <w:sz w:val="28"/>
                <w:rtl/>
              </w:rPr>
            </w:pPr>
            <w:r>
              <w:rPr>
                <w:rFonts w:hint="cs"/>
                <w:sz w:val="28"/>
                <w:rtl/>
              </w:rPr>
              <w:t>המשנה לנשיאה</w:t>
            </w:r>
            <w:r w:rsidRPr="00B73264">
              <w:rPr>
                <w:sz w:val="28"/>
                <w:rtl/>
              </w:rPr>
              <w:tab/>
            </w:r>
          </w:p>
        </w:tc>
      </w:tr>
      <w:tr w:rsidR="00874C60" w:rsidRPr="00B73264" w14:paraId="07488A74" w14:textId="77777777" w:rsidTr="00E50788">
        <w:trPr>
          <w:trHeight w:val="1263"/>
        </w:trPr>
        <w:tc>
          <w:tcPr>
            <w:tcW w:w="2925" w:type="dxa"/>
          </w:tcPr>
          <w:p w14:paraId="204858D0" w14:textId="1E83C037" w:rsidR="00874C60" w:rsidRPr="00B73264" w:rsidRDefault="00874C60" w:rsidP="00E50788">
            <w:pPr>
              <w:spacing w:line="480" w:lineRule="auto"/>
              <w:rPr>
                <w:b/>
                <w:bCs/>
                <w:sz w:val="28"/>
                <w:rtl/>
              </w:rPr>
            </w:pPr>
            <w:r w:rsidRPr="00B73264">
              <w:rPr>
                <w:rFonts w:hint="cs"/>
                <w:b/>
                <w:bCs/>
                <w:sz w:val="28"/>
                <w:rtl/>
              </w:rPr>
              <w:t>אל"ם</w:t>
            </w:r>
            <w:r>
              <w:rPr>
                <w:rFonts w:hint="cs"/>
                <w:b/>
                <w:bCs/>
                <w:sz w:val="28"/>
                <w:rtl/>
              </w:rPr>
              <w:t xml:space="preserve">   מאיה  גולדשמידט</w:t>
            </w:r>
            <w:r w:rsidRPr="00B73264">
              <w:rPr>
                <w:rFonts w:hint="cs"/>
                <w:b/>
                <w:bCs/>
                <w:sz w:val="28"/>
                <w:rtl/>
              </w:rPr>
              <w:t xml:space="preserve"> אל"ם</w:t>
            </w:r>
            <w:r>
              <w:rPr>
                <w:rFonts w:hint="cs"/>
                <w:b/>
                <w:bCs/>
                <w:sz w:val="28"/>
                <w:rtl/>
              </w:rPr>
              <w:t xml:space="preserve">    </w:t>
            </w:r>
            <w:r w:rsidR="00F41C19">
              <w:rPr>
                <w:rFonts w:hint="cs"/>
                <w:b/>
                <w:bCs/>
                <w:sz w:val="28"/>
                <w:rtl/>
              </w:rPr>
              <w:t xml:space="preserve">  </w:t>
            </w:r>
            <w:r>
              <w:rPr>
                <w:rFonts w:hint="cs"/>
                <w:b/>
                <w:bCs/>
                <w:sz w:val="28"/>
                <w:rtl/>
              </w:rPr>
              <w:t>רמי      בן      עמי</w:t>
            </w:r>
          </w:p>
        </w:tc>
        <w:tc>
          <w:tcPr>
            <w:tcW w:w="675" w:type="dxa"/>
          </w:tcPr>
          <w:p w14:paraId="1283D551" w14:textId="77777777" w:rsidR="00874C60" w:rsidRPr="00B73264" w:rsidRDefault="00874C60" w:rsidP="00E50788">
            <w:pPr>
              <w:spacing w:line="480" w:lineRule="auto"/>
              <w:jc w:val="center"/>
              <w:rPr>
                <w:b/>
                <w:bCs/>
                <w:sz w:val="28"/>
                <w:rtl/>
              </w:rPr>
            </w:pPr>
            <w:r w:rsidRPr="00B73264">
              <w:rPr>
                <w:rFonts w:hint="cs"/>
                <w:b/>
                <w:bCs/>
                <w:sz w:val="28"/>
                <w:rtl/>
              </w:rPr>
              <w:t>-</w:t>
            </w:r>
          </w:p>
          <w:p w14:paraId="669B4F47" w14:textId="77777777" w:rsidR="00874C60" w:rsidRPr="00B73264" w:rsidRDefault="00874C60" w:rsidP="00E50788">
            <w:pPr>
              <w:spacing w:line="480" w:lineRule="auto"/>
              <w:rPr>
                <w:b/>
                <w:bCs/>
                <w:sz w:val="28"/>
                <w:rtl/>
              </w:rPr>
            </w:pPr>
            <w:r w:rsidRPr="00B73264">
              <w:rPr>
                <w:rFonts w:hint="cs"/>
                <w:sz w:val="28"/>
                <w:rtl/>
              </w:rPr>
              <w:t xml:space="preserve">  </w:t>
            </w:r>
            <w:r w:rsidRPr="00B73264">
              <w:rPr>
                <w:rFonts w:hint="cs"/>
                <w:b/>
                <w:bCs/>
                <w:sz w:val="28"/>
                <w:rtl/>
              </w:rPr>
              <w:t xml:space="preserve">-      </w:t>
            </w:r>
          </w:p>
        </w:tc>
        <w:tc>
          <w:tcPr>
            <w:tcW w:w="2200" w:type="dxa"/>
          </w:tcPr>
          <w:p w14:paraId="6F3D423D" w14:textId="558F4D64" w:rsidR="00874C60" w:rsidRPr="00B73264" w:rsidRDefault="00874C60" w:rsidP="00E50788">
            <w:pPr>
              <w:spacing w:line="480" w:lineRule="auto"/>
              <w:rPr>
                <w:sz w:val="28"/>
                <w:rtl/>
              </w:rPr>
            </w:pPr>
            <w:r>
              <w:rPr>
                <w:rFonts w:hint="cs"/>
                <w:sz w:val="28"/>
                <w:rtl/>
              </w:rPr>
              <w:t xml:space="preserve">              שופטת</w:t>
            </w:r>
          </w:p>
          <w:p w14:paraId="1C230A22" w14:textId="384BC3BC" w:rsidR="00874C60" w:rsidRPr="00B73264" w:rsidRDefault="00874C60" w:rsidP="00E50788">
            <w:pPr>
              <w:spacing w:line="480" w:lineRule="auto"/>
              <w:rPr>
                <w:sz w:val="28"/>
                <w:rtl/>
              </w:rPr>
            </w:pPr>
            <w:r>
              <w:rPr>
                <w:rFonts w:hint="cs"/>
                <w:sz w:val="28"/>
                <w:rtl/>
              </w:rPr>
              <w:t xml:space="preserve">                </w:t>
            </w:r>
            <w:r w:rsidRPr="00B73264">
              <w:rPr>
                <w:rFonts w:hint="cs"/>
                <w:sz w:val="28"/>
                <w:rtl/>
              </w:rPr>
              <w:t>שופט</w:t>
            </w:r>
          </w:p>
        </w:tc>
      </w:tr>
    </w:tbl>
    <w:p w14:paraId="1F27A3BC" w14:textId="77777777" w:rsidR="00874C60" w:rsidRDefault="00874C60" w:rsidP="00874C60">
      <w:pPr>
        <w:rPr>
          <w:rFonts w:ascii="David" w:hAnsi="David"/>
          <w:sz w:val="28"/>
          <w:rtl/>
        </w:rPr>
      </w:pPr>
    </w:p>
    <w:p w14:paraId="633F9CD2" w14:textId="77777777" w:rsidR="00874C60" w:rsidRDefault="00874C60" w:rsidP="00874C60">
      <w:pPr>
        <w:rPr>
          <w:rFonts w:ascii="David" w:hAnsi="David"/>
          <w:sz w:val="28"/>
          <w:rtl/>
        </w:rPr>
      </w:pPr>
    </w:p>
    <w:p w14:paraId="57E1EDB9" w14:textId="77777777" w:rsidR="00874C60" w:rsidRDefault="00874C60" w:rsidP="00874C60">
      <w:pPr>
        <w:rPr>
          <w:rFonts w:ascii="David" w:hAnsi="David"/>
          <w:sz w:val="28"/>
          <w:rtl/>
        </w:rPr>
      </w:pPr>
    </w:p>
    <w:p w14:paraId="227DA60B" w14:textId="77777777" w:rsidR="00874C60" w:rsidRDefault="00874C60" w:rsidP="00874C60">
      <w:pPr>
        <w:rPr>
          <w:rFonts w:ascii="David" w:hAnsi="David"/>
          <w:sz w:val="28"/>
          <w:rtl/>
        </w:rPr>
      </w:pPr>
    </w:p>
    <w:p w14:paraId="4760E959" w14:textId="77777777" w:rsidR="00874C60" w:rsidRDefault="00874C60" w:rsidP="00874C60">
      <w:pPr>
        <w:rPr>
          <w:rFonts w:ascii="David" w:hAnsi="David"/>
          <w:sz w:val="28"/>
          <w:rtl/>
        </w:rPr>
      </w:pPr>
    </w:p>
    <w:p w14:paraId="74FF3BDA" w14:textId="4957C658" w:rsidR="00874C60" w:rsidRPr="00FD2DDA" w:rsidRDefault="00874C60" w:rsidP="00874C60">
      <w:pPr>
        <w:rPr>
          <w:rFonts w:ascii="David" w:hAnsi="David" w:hint="cs"/>
          <w:sz w:val="28"/>
          <w:rtl/>
        </w:rPr>
      </w:pPr>
      <w:r w:rsidRPr="00FD2DDA">
        <w:rPr>
          <w:rFonts w:ascii="David" w:hAnsi="David" w:hint="cs"/>
          <w:sz w:val="28"/>
          <w:rtl/>
        </w:rPr>
        <w:t>בעניין:</w:t>
      </w:r>
    </w:p>
    <w:p w14:paraId="7EA8063D" w14:textId="365B0529" w:rsidR="00874C60" w:rsidRPr="00FD2DDA" w:rsidRDefault="00874C60" w:rsidP="008748E8">
      <w:pPr>
        <w:jc w:val="center"/>
        <w:rPr>
          <w:rFonts w:ascii="David" w:hAnsi="David"/>
          <w:sz w:val="28"/>
        </w:rPr>
      </w:pPr>
      <w:r w:rsidRPr="00874C60">
        <w:rPr>
          <w:rFonts w:eastAsia="Times New Roman" w:hint="cs"/>
          <w:b/>
          <w:bCs/>
          <w:sz w:val="32"/>
          <w:rtl/>
        </w:rPr>
        <w:t>ב/</w:t>
      </w:r>
      <w:r w:rsidR="008748E8">
        <w:rPr>
          <w:rFonts w:eastAsia="Times New Roman" w:hint="cs"/>
          <w:b/>
          <w:bCs/>
          <w:sz w:val="32"/>
        </w:rPr>
        <w:t>XXXXXXX</w:t>
      </w:r>
      <w:r>
        <w:rPr>
          <w:rFonts w:ascii="David" w:hAnsi="David" w:hint="cs"/>
          <w:b/>
          <w:bCs/>
          <w:sz w:val="28"/>
          <w:rtl/>
        </w:rPr>
        <w:t xml:space="preserve"> טור' סולומון </w:t>
      </w:r>
      <w:proofErr w:type="spellStart"/>
      <w:r>
        <w:rPr>
          <w:rFonts w:ascii="David" w:hAnsi="David" w:hint="cs"/>
          <w:b/>
          <w:bCs/>
          <w:sz w:val="28"/>
          <w:rtl/>
        </w:rPr>
        <w:t>טספאי</w:t>
      </w:r>
      <w:proofErr w:type="spellEnd"/>
      <w:r w:rsidRPr="00FD2DDA">
        <w:rPr>
          <w:rFonts w:ascii="David" w:hAnsi="David" w:hint="cs"/>
          <w:b/>
          <w:bCs/>
          <w:sz w:val="28"/>
          <w:rtl/>
        </w:rPr>
        <w:t xml:space="preserve"> –</w:t>
      </w:r>
      <w:r w:rsidRPr="00FD2DDA">
        <w:rPr>
          <w:rFonts w:ascii="David" w:hAnsi="David" w:hint="cs"/>
          <w:sz w:val="28"/>
          <w:rtl/>
        </w:rPr>
        <w:t xml:space="preserve"> המערער (ע"י ב"כ,</w:t>
      </w:r>
      <w:r w:rsidR="002C0946">
        <w:rPr>
          <w:rFonts w:ascii="David" w:hAnsi="David" w:hint="cs"/>
          <w:sz w:val="28"/>
          <w:rtl/>
        </w:rPr>
        <w:t xml:space="preserve"> עו"ד רועי </w:t>
      </w:r>
      <w:proofErr w:type="spellStart"/>
      <w:r w:rsidR="002C0946">
        <w:rPr>
          <w:rFonts w:ascii="David" w:hAnsi="David" w:hint="cs"/>
          <w:sz w:val="28"/>
          <w:rtl/>
        </w:rPr>
        <w:t>ברומר</w:t>
      </w:r>
      <w:proofErr w:type="spellEnd"/>
      <w:r w:rsidRPr="00FD2DDA">
        <w:rPr>
          <w:rFonts w:ascii="David" w:hAnsi="David" w:hint="cs"/>
          <w:sz w:val="28"/>
          <w:rtl/>
        </w:rPr>
        <w:t>)</w:t>
      </w:r>
    </w:p>
    <w:p w14:paraId="0F044FAB" w14:textId="77777777" w:rsidR="00874C60" w:rsidRPr="00FD2DDA" w:rsidRDefault="00874C60" w:rsidP="00874C60">
      <w:pPr>
        <w:jc w:val="center"/>
        <w:rPr>
          <w:rFonts w:ascii="David" w:hAnsi="David"/>
          <w:sz w:val="28"/>
          <w:rtl/>
        </w:rPr>
      </w:pPr>
    </w:p>
    <w:p w14:paraId="33711030" w14:textId="77777777" w:rsidR="00874C60" w:rsidRPr="00FD2DDA" w:rsidRDefault="00874C60" w:rsidP="00874C60">
      <w:pPr>
        <w:spacing w:after="360"/>
        <w:jc w:val="center"/>
        <w:rPr>
          <w:rFonts w:ascii="David" w:hAnsi="David"/>
          <w:b/>
          <w:bCs/>
          <w:sz w:val="28"/>
          <w:rtl/>
        </w:rPr>
      </w:pPr>
      <w:r w:rsidRPr="00FD2DDA">
        <w:rPr>
          <w:rFonts w:ascii="David" w:hAnsi="David" w:hint="cs"/>
          <w:b/>
          <w:bCs/>
          <w:sz w:val="28"/>
          <w:rtl/>
        </w:rPr>
        <w:t xml:space="preserve">נ ג ד </w:t>
      </w:r>
    </w:p>
    <w:p w14:paraId="1386DCB4" w14:textId="4D02E3E0" w:rsidR="00874C60" w:rsidRDefault="002C0946" w:rsidP="00874C60">
      <w:pPr>
        <w:spacing w:after="120"/>
        <w:jc w:val="center"/>
        <w:rPr>
          <w:rFonts w:ascii="David" w:hAnsi="David"/>
          <w:sz w:val="28"/>
          <w:rtl/>
        </w:rPr>
      </w:pPr>
      <w:r>
        <w:rPr>
          <w:rFonts w:eastAsia="Times New Roman" w:hint="cs"/>
          <w:b/>
          <w:bCs/>
          <w:sz w:val="32"/>
          <w:rtl/>
        </w:rPr>
        <w:t>התובע הצבאי הראשי</w:t>
      </w:r>
      <w:r w:rsidR="00874C60" w:rsidRPr="00FD2DDA">
        <w:rPr>
          <w:rFonts w:ascii="David" w:hAnsi="David" w:hint="cs"/>
          <w:b/>
          <w:bCs/>
          <w:sz w:val="28"/>
          <w:rtl/>
        </w:rPr>
        <w:t xml:space="preserve"> –</w:t>
      </w:r>
      <w:r w:rsidR="00874C60" w:rsidRPr="00FD2DDA">
        <w:rPr>
          <w:rFonts w:ascii="David" w:hAnsi="David" w:hint="cs"/>
          <w:sz w:val="28"/>
          <w:rtl/>
        </w:rPr>
        <w:t xml:space="preserve"> המשיב (ע"י ב"כ,</w:t>
      </w:r>
      <w:r w:rsidR="00874C60">
        <w:rPr>
          <w:rFonts w:ascii="David" w:hAnsi="David" w:hint="cs"/>
          <w:sz w:val="28"/>
          <w:rtl/>
        </w:rPr>
        <w:t xml:space="preserve"> </w:t>
      </w:r>
      <w:r>
        <w:rPr>
          <w:rFonts w:ascii="David" w:hAnsi="David" w:hint="cs"/>
          <w:sz w:val="28"/>
          <w:rtl/>
        </w:rPr>
        <w:t xml:space="preserve">רס"ן אוהד מנור; סרן תכלת מרדכי </w:t>
      </w:r>
      <w:proofErr w:type="spellStart"/>
      <w:r>
        <w:rPr>
          <w:rFonts w:ascii="David" w:hAnsi="David" w:hint="cs"/>
          <w:sz w:val="28"/>
          <w:rtl/>
        </w:rPr>
        <w:t>פייגנסון</w:t>
      </w:r>
      <w:proofErr w:type="spellEnd"/>
      <w:r w:rsidR="00874C60" w:rsidRPr="00FD2DDA">
        <w:rPr>
          <w:rFonts w:ascii="David" w:hAnsi="David" w:hint="cs"/>
          <w:sz w:val="28"/>
          <w:rtl/>
        </w:rPr>
        <w:t>)</w:t>
      </w:r>
    </w:p>
    <w:p w14:paraId="02ECEC1C" w14:textId="77777777" w:rsidR="002C0946" w:rsidRPr="00FD2DDA" w:rsidRDefault="002C0946" w:rsidP="00874C60">
      <w:pPr>
        <w:spacing w:after="120"/>
        <w:jc w:val="center"/>
        <w:rPr>
          <w:rFonts w:ascii="David" w:hAnsi="David"/>
          <w:sz w:val="28"/>
          <w:rtl/>
        </w:rPr>
      </w:pPr>
    </w:p>
    <w:p w14:paraId="37CDA202" w14:textId="77777777" w:rsidR="00874C60" w:rsidRPr="00FD2DDA" w:rsidRDefault="00874C60" w:rsidP="00874C60">
      <w:pPr>
        <w:spacing w:after="360"/>
        <w:rPr>
          <w:rFonts w:ascii="David" w:hAnsi="David"/>
          <w:b/>
          <w:bCs/>
          <w:sz w:val="28"/>
          <w:u w:val="single"/>
          <w:rtl/>
        </w:rPr>
      </w:pPr>
    </w:p>
    <w:p w14:paraId="54574201" w14:textId="62FBB583" w:rsidR="002C0946" w:rsidRDefault="00874C60" w:rsidP="002C0946">
      <w:pPr>
        <w:spacing w:after="360"/>
        <w:rPr>
          <w:rFonts w:ascii="David" w:hAnsi="David"/>
          <w:sz w:val="28"/>
          <w:rtl/>
        </w:rPr>
      </w:pPr>
      <w:r w:rsidRPr="00FD2DDA">
        <w:rPr>
          <w:rFonts w:ascii="David" w:hAnsi="David" w:hint="cs"/>
          <w:sz w:val="28"/>
          <w:rtl/>
        </w:rPr>
        <w:t xml:space="preserve">ערעור על </w:t>
      </w:r>
      <w:r w:rsidR="00CC7D40">
        <w:rPr>
          <w:rFonts w:ascii="David" w:hAnsi="David" w:hint="cs"/>
          <w:sz w:val="28"/>
          <w:rtl/>
        </w:rPr>
        <w:t>פסק דין</w:t>
      </w:r>
      <w:r w:rsidRPr="00FD2DDA">
        <w:rPr>
          <w:rFonts w:ascii="David" w:hAnsi="David" w:hint="cs"/>
          <w:sz w:val="28"/>
          <w:rtl/>
        </w:rPr>
        <w:t xml:space="preserve"> של בית הדין הצבאי המחוזי במחוז שיפוטי </w:t>
      </w:r>
      <w:r>
        <w:rPr>
          <w:rFonts w:ascii="David" w:hAnsi="David" w:hint="cs"/>
          <w:sz w:val="28"/>
          <w:rtl/>
        </w:rPr>
        <w:t>ה</w:t>
      </w:r>
      <w:r w:rsidR="002C0946">
        <w:rPr>
          <w:rFonts w:ascii="David" w:hAnsi="David" w:hint="cs"/>
          <w:sz w:val="28"/>
          <w:rtl/>
        </w:rPr>
        <w:t>צפון</w:t>
      </w:r>
      <w:r w:rsidRPr="00FD2DDA">
        <w:rPr>
          <w:rFonts w:ascii="David" w:hAnsi="David" w:hint="cs"/>
          <w:sz w:val="28"/>
          <w:rtl/>
        </w:rPr>
        <w:t xml:space="preserve"> שניתן בתיק </w:t>
      </w:r>
      <w:r w:rsidR="002C0946">
        <w:rPr>
          <w:rFonts w:ascii="David" w:hAnsi="David" w:hint="cs"/>
          <w:sz w:val="28"/>
          <w:rtl/>
        </w:rPr>
        <w:t>צפון</w:t>
      </w:r>
      <w:r w:rsidRPr="00FD2DDA">
        <w:rPr>
          <w:rFonts w:ascii="David" w:hAnsi="David" w:hint="cs"/>
          <w:sz w:val="28"/>
          <w:rtl/>
        </w:rPr>
        <w:t xml:space="preserve"> </w:t>
      </w:r>
      <w:r w:rsidRPr="00FE7B6F">
        <w:rPr>
          <w:rFonts w:ascii="David" w:hAnsi="David" w:hint="cs"/>
          <w:sz w:val="28"/>
          <w:rtl/>
        </w:rPr>
        <w:t xml:space="preserve">(מחוזי) </w:t>
      </w:r>
      <w:r w:rsidR="002C0946">
        <w:rPr>
          <w:rFonts w:ascii="David" w:hAnsi="David" w:hint="cs"/>
          <w:sz w:val="28"/>
          <w:rtl/>
        </w:rPr>
        <w:t>39/23</w:t>
      </w:r>
      <w:r w:rsidRPr="00FE7B6F">
        <w:rPr>
          <w:rFonts w:ascii="David" w:hAnsi="David" w:hint="cs"/>
          <w:sz w:val="28"/>
          <w:rtl/>
        </w:rPr>
        <w:t xml:space="preserve"> (סא"ל </w:t>
      </w:r>
      <w:r w:rsidR="002C0946">
        <w:rPr>
          <w:rFonts w:ascii="David" w:hAnsi="David" w:hint="cs"/>
          <w:sz w:val="28"/>
          <w:rtl/>
        </w:rPr>
        <w:t xml:space="preserve">עינת שחר וינברג </w:t>
      </w:r>
      <w:r w:rsidR="002C0946">
        <w:rPr>
          <w:rFonts w:ascii="David" w:hAnsi="David"/>
          <w:sz w:val="28"/>
          <w:rtl/>
        </w:rPr>
        <w:t>–</w:t>
      </w:r>
      <w:r w:rsidR="002C0946">
        <w:rPr>
          <w:rFonts w:ascii="David" w:hAnsi="David" w:hint="cs"/>
          <w:sz w:val="28"/>
          <w:rtl/>
        </w:rPr>
        <w:t xml:space="preserve"> אב"ד; רס"ן (מיל') אור ממון </w:t>
      </w:r>
      <w:r w:rsidR="002C0946">
        <w:rPr>
          <w:rFonts w:ascii="David" w:hAnsi="David"/>
          <w:sz w:val="28"/>
          <w:rtl/>
        </w:rPr>
        <w:t>–</w:t>
      </w:r>
      <w:r w:rsidR="002C0946">
        <w:rPr>
          <w:rFonts w:ascii="David" w:hAnsi="David" w:hint="cs"/>
          <w:sz w:val="28"/>
          <w:rtl/>
        </w:rPr>
        <w:t xml:space="preserve"> שופט; רס"ן עדי </w:t>
      </w:r>
      <w:proofErr w:type="spellStart"/>
      <w:r w:rsidR="002C0946">
        <w:rPr>
          <w:rFonts w:ascii="David" w:hAnsi="David" w:hint="cs"/>
          <w:sz w:val="28"/>
          <w:rtl/>
        </w:rPr>
        <w:t>כרינגל</w:t>
      </w:r>
      <w:proofErr w:type="spellEnd"/>
      <w:r w:rsidR="002C0946">
        <w:rPr>
          <w:rFonts w:ascii="David" w:hAnsi="David" w:hint="cs"/>
          <w:sz w:val="28"/>
          <w:rtl/>
        </w:rPr>
        <w:t xml:space="preserve"> - שופטת</w:t>
      </w:r>
      <w:r w:rsidRPr="00FE7B6F">
        <w:rPr>
          <w:rFonts w:ascii="David" w:hAnsi="David" w:hint="cs"/>
          <w:sz w:val="28"/>
          <w:rtl/>
        </w:rPr>
        <w:t xml:space="preserve">) ביום </w:t>
      </w:r>
      <w:r w:rsidR="002C0946">
        <w:rPr>
          <w:rFonts w:ascii="David" w:hAnsi="David" w:hint="cs"/>
          <w:sz w:val="28"/>
          <w:rtl/>
        </w:rPr>
        <w:t>26.9.2024</w:t>
      </w:r>
      <w:r w:rsidRPr="00FE7B6F">
        <w:rPr>
          <w:rFonts w:ascii="David" w:hAnsi="David" w:hint="cs"/>
          <w:sz w:val="28"/>
          <w:rtl/>
        </w:rPr>
        <w:t xml:space="preserve">. </w:t>
      </w:r>
      <w:r>
        <w:rPr>
          <w:rFonts w:ascii="David" w:hAnsi="David" w:hint="cs"/>
          <w:sz w:val="28"/>
          <w:rtl/>
        </w:rPr>
        <w:t>ה</w:t>
      </w:r>
      <w:r w:rsidRPr="00FE7B6F">
        <w:rPr>
          <w:rFonts w:ascii="David" w:hAnsi="David" w:hint="cs"/>
          <w:sz w:val="28"/>
          <w:rtl/>
        </w:rPr>
        <w:t xml:space="preserve">ערעור </w:t>
      </w:r>
      <w:bookmarkEnd w:id="0"/>
      <w:r w:rsidR="002C0946">
        <w:rPr>
          <w:rFonts w:ascii="David" w:hAnsi="David" w:hint="cs"/>
          <w:sz w:val="28"/>
          <w:rtl/>
        </w:rPr>
        <w:t>נדחה.</w:t>
      </w:r>
    </w:p>
    <w:bookmarkEnd w:id="1"/>
    <w:p w14:paraId="1967A016" w14:textId="77777777" w:rsidR="00001214" w:rsidRPr="004D74BF" w:rsidRDefault="009546A6" w:rsidP="009A36CE">
      <w:pPr>
        <w:jc w:val="center"/>
        <w:rPr>
          <w:rFonts w:ascii="David" w:hAnsi="David"/>
          <w:b/>
          <w:bCs/>
          <w:sz w:val="28"/>
          <w:u w:val="single"/>
          <w:rtl/>
        </w:rPr>
      </w:pPr>
      <w:r w:rsidRPr="004D74BF">
        <w:rPr>
          <w:rFonts w:ascii="David" w:hAnsi="David"/>
          <w:b/>
          <w:bCs/>
          <w:sz w:val="28"/>
          <w:u w:val="single"/>
          <w:rtl/>
        </w:rPr>
        <w:t xml:space="preserve">   </w:t>
      </w:r>
    </w:p>
    <w:p w14:paraId="4D655A5A" w14:textId="77777777" w:rsidR="001F413B" w:rsidRDefault="001F413B" w:rsidP="009A36CE">
      <w:pPr>
        <w:jc w:val="center"/>
        <w:rPr>
          <w:rFonts w:ascii="David" w:hAnsi="David"/>
          <w:b/>
          <w:bCs/>
          <w:sz w:val="28"/>
          <w:u w:val="single"/>
          <w:rtl/>
        </w:rPr>
      </w:pPr>
    </w:p>
    <w:p w14:paraId="1D2862AA" w14:textId="77777777" w:rsidR="001F413B" w:rsidRDefault="001F413B" w:rsidP="009A36CE">
      <w:pPr>
        <w:jc w:val="center"/>
        <w:rPr>
          <w:rFonts w:ascii="David" w:hAnsi="David"/>
          <w:b/>
          <w:bCs/>
          <w:sz w:val="28"/>
          <w:u w:val="single"/>
          <w:rtl/>
        </w:rPr>
      </w:pPr>
    </w:p>
    <w:p w14:paraId="781DFE88" w14:textId="77777777" w:rsidR="001F413B" w:rsidRDefault="001F413B" w:rsidP="009A36CE">
      <w:pPr>
        <w:jc w:val="center"/>
        <w:rPr>
          <w:rFonts w:ascii="David" w:hAnsi="David"/>
          <w:b/>
          <w:bCs/>
          <w:sz w:val="28"/>
          <w:u w:val="single"/>
          <w:rtl/>
        </w:rPr>
      </w:pPr>
    </w:p>
    <w:p w14:paraId="3775211E" w14:textId="315DD76B" w:rsidR="00026A1C" w:rsidRPr="004D74BF" w:rsidRDefault="00026A1C" w:rsidP="009A36CE">
      <w:pPr>
        <w:jc w:val="center"/>
        <w:rPr>
          <w:rFonts w:ascii="David" w:hAnsi="David"/>
          <w:b/>
          <w:bCs/>
          <w:sz w:val="28"/>
          <w:u w:val="single"/>
          <w:rtl/>
        </w:rPr>
      </w:pPr>
      <w:r w:rsidRPr="004D74BF">
        <w:rPr>
          <w:rFonts w:ascii="David" w:hAnsi="David"/>
          <w:b/>
          <w:bCs/>
          <w:sz w:val="28"/>
          <w:u w:val="single"/>
          <w:rtl/>
        </w:rPr>
        <w:t>פ</w:t>
      </w:r>
      <w:r w:rsidR="002C0946">
        <w:rPr>
          <w:rFonts w:ascii="David" w:hAnsi="David" w:hint="cs"/>
          <w:b/>
          <w:bCs/>
          <w:sz w:val="28"/>
          <w:u w:val="single"/>
          <w:rtl/>
        </w:rPr>
        <w:t xml:space="preserve"> </w:t>
      </w:r>
      <w:r w:rsidRPr="004D74BF">
        <w:rPr>
          <w:rFonts w:ascii="David" w:hAnsi="David"/>
          <w:b/>
          <w:bCs/>
          <w:sz w:val="28"/>
          <w:u w:val="single"/>
          <w:rtl/>
        </w:rPr>
        <w:t>ס</w:t>
      </w:r>
      <w:r w:rsidR="002C0946">
        <w:rPr>
          <w:rFonts w:ascii="David" w:hAnsi="David" w:hint="cs"/>
          <w:b/>
          <w:bCs/>
          <w:sz w:val="28"/>
          <w:u w:val="single"/>
          <w:rtl/>
        </w:rPr>
        <w:t xml:space="preserve"> </w:t>
      </w:r>
      <w:r w:rsidRPr="004D74BF">
        <w:rPr>
          <w:rFonts w:ascii="David" w:hAnsi="David"/>
          <w:b/>
          <w:bCs/>
          <w:sz w:val="28"/>
          <w:u w:val="single"/>
          <w:rtl/>
        </w:rPr>
        <w:t>ק</w:t>
      </w:r>
      <w:r w:rsidR="002C0946">
        <w:rPr>
          <w:rFonts w:ascii="David" w:hAnsi="David" w:hint="cs"/>
          <w:b/>
          <w:bCs/>
          <w:sz w:val="28"/>
          <w:u w:val="single"/>
          <w:rtl/>
        </w:rPr>
        <w:t xml:space="preserve"> </w:t>
      </w:r>
      <w:r w:rsidR="002C0946">
        <w:rPr>
          <w:rFonts w:ascii="David" w:hAnsi="David"/>
          <w:b/>
          <w:bCs/>
          <w:sz w:val="28"/>
          <w:u w:val="single"/>
          <w:rtl/>
        </w:rPr>
        <w:t>–</w:t>
      </w:r>
      <w:r w:rsidRPr="004D74BF">
        <w:rPr>
          <w:rFonts w:ascii="David" w:hAnsi="David"/>
          <w:b/>
          <w:bCs/>
          <w:sz w:val="28"/>
          <w:u w:val="single"/>
          <w:rtl/>
        </w:rPr>
        <w:t xml:space="preserve"> ד</w:t>
      </w:r>
      <w:r w:rsidR="002C0946">
        <w:rPr>
          <w:rFonts w:ascii="David" w:hAnsi="David" w:hint="cs"/>
          <w:b/>
          <w:bCs/>
          <w:sz w:val="28"/>
          <w:u w:val="single"/>
          <w:rtl/>
        </w:rPr>
        <w:t xml:space="preserve"> </w:t>
      </w:r>
      <w:r w:rsidRPr="004D74BF">
        <w:rPr>
          <w:rFonts w:ascii="David" w:hAnsi="David"/>
          <w:b/>
          <w:bCs/>
          <w:sz w:val="28"/>
          <w:u w:val="single"/>
          <w:rtl/>
        </w:rPr>
        <w:t>י</w:t>
      </w:r>
      <w:r w:rsidR="002C0946">
        <w:rPr>
          <w:rFonts w:ascii="David" w:hAnsi="David" w:hint="cs"/>
          <w:b/>
          <w:bCs/>
          <w:sz w:val="28"/>
          <w:u w:val="single"/>
          <w:rtl/>
        </w:rPr>
        <w:t xml:space="preserve"> </w:t>
      </w:r>
      <w:r w:rsidRPr="004D74BF">
        <w:rPr>
          <w:rFonts w:ascii="David" w:hAnsi="David"/>
          <w:b/>
          <w:bCs/>
          <w:sz w:val="28"/>
          <w:u w:val="single"/>
          <w:rtl/>
        </w:rPr>
        <w:t>ן</w:t>
      </w:r>
      <w:r w:rsidR="002C0946">
        <w:rPr>
          <w:rFonts w:ascii="David" w:hAnsi="David" w:hint="cs"/>
          <w:b/>
          <w:bCs/>
          <w:sz w:val="28"/>
          <w:u w:val="single"/>
          <w:rtl/>
        </w:rPr>
        <w:t xml:space="preserve"> </w:t>
      </w:r>
    </w:p>
    <w:p w14:paraId="23844D6C" w14:textId="77777777" w:rsidR="00026A1C" w:rsidRPr="002C0946" w:rsidRDefault="00026A1C" w:rsidP="009A36CE">
      <w:pPr>
        <w:rPr>
          <w:rFonts w:ascii="David" w:hAnsi="David"/>
          <w:sz w:val="18"/>
          <w:szCs w:val="18"/>
        </w:rPr>
      </w:pPr>
    </w:p>
    <w:p w14:paraId="259AF3B0" w14:textId="77777777" w:rsidR="005D4532" w:rsidRPr="004D74BF" w:rsidRDefault="00166ACD" w:rsidP="002C0946">
      <w:pPr>
        <w:pStyle w:val="ListParagraph"/>
        <w:numPr>
          <w:ilvl w:val="0"/>
          <w:numId w:val="1"/>
        </w:numPr>
        <w:rPr>
          <w:rFonts w:ascii="David" w:hAnsi="David"/>
          <w:sz w:val="28"/>
        </w:rPr>
      </w:pPr>
      <w:r w:rsidRPr="004D74BF">
        <w:rPr>
          <w:rFonts w:ascii="David" w:hAnsi="David"/>
          <w:sz w:val="28"/>
          <w:rtl/>
        </w:rPr>
        <w:t xml:space="preserve">המערער, רס"ל סולומון </w:t>
      </w:r>
      <w:proofErr w:type="spellStart"/>
      <w:r w:rsidRPr="004D74BF">
        <w:rPr>
          <w:rFonts w:ascii="David" w:hAnsi="David"/>
          <w:sz w:val="28"/>
          <w:rtl/>
        </w:rPr>
        <w:t>טספאי</w:t>
      </w:r>
      <w:proofErr w:type="spellEnd"/>
      <w:r w:rsidRPr="004D74BF">
        <w:rPr>
          <w:rFonts w:ascii="David" w:hAnsi="David"/>
          <w:sz w:val="28"/>
          <w:rtl/>
        </w:rPr>
        <w:t>, הורשע בשתי עבירות של מעשה מגונה, לפי סעיף 348(ג) לחוק העונשין, תשל"ז-1977</w:t>
      </w:r>
      <w:r w:rsidR="00001214" w:rsidRPr="004D74BF">
        <w:rPr>
          <w:rFonts w:ascii="David" w:hAnsi="David"/>
          <w:sz w:val="28"/>
          <w:rtl/>
        </w:rPr>
        <w:t>.</w:t>
      </w:r>
      <w:r w:rsidRPr="004D74BF">
        <w:rPr>
          <w:rFonts w:ascii="David" w:hAnsi="David"/>
          <w:sz w:val="28"/>
          <w:rtl/>
        </w:rPr>
        <w:t xml:space="preserve"> כנגזר</w:t>
      </w:r>
      <w:r w:rsidR="00001214" w:rsidRPr="004D74BF">
        <w:rPr>
          <w:rFonts w:ascii="David" w:hAnsi="David"/>
          <w:sz w:val="28"/>
          <w:rtl/>
        </w:rPr>
        <w:t>ת</w:t>
      </w:r>
      <w:r w:rsidRPr="004D74BF">
        <w:rPr>
          <w:rFonts w:ascii="David" w:hAnsi="David"/>
          <w:sz w:val="28"/>
          <w:rtl/>
        </w:rPr>
        <w:t xml:space="preserve"> מ</w:t>
      </w:r>
      <w:r w:rsidR="00D96BF1">
        <w:rPr>
          <w:rFonts w:ascii="David" w:hAnsi="David" w:hint="cs"/>
          <w:sz w:val="28"/>
          <w:rtl/>
        </w:rPr>
        <w:t>דרגתו</w:t>
      </w:r>
      <w:r w:rsidR="00675F3D">
        <w:rPr>
          <w:rFonts w:ascii="David" w:hAnsi="David" w:hint="cs"/>
          <w:sz w:val="28"/>
          <w:rtl/>
        </w:rPr>
        <w:t>,</w:t>
      </w:r>
      <w:r w:rsidRPr="004D74BF">
        <w:rPr>
          <w:rFonts w:ascii="David" w:hAnsi="David"/>
          <w:sz w:val="28"/>
          <w:rtl/>
        </w:rPr>
        <w:t xml:space="preserve"> הורשע גם בעבירת התנהגות שאינה הולמת, לפי סעיף 130 לחוק השיפוט הצבאי, תשט"ו-1955. </w:t>
      </w:r>
      <w:r w:rsidR="002D5A2C">
        <w:rPr>
          <w:rFonts w:ascii="David" w:hAnsi="David" w:hint="cs"/>
          <w:sz w:val="28"/>
          <w:rtl/>
        </w:rPr>
        <w:t>לצד זאת</w:t>
      </w:r>
      <w:r w:rsidR="004B2714" w:rsidRPr="004D74BF">
        <w:rPr>
          <w:rFonts w:ascii="David" w:hAnsi="David"/>
          <w:sz w:val="28"/>
          <w:rtl/>
        </w:rPr>
        <w:t xml:space="preserve"> זוכה מעבירה של שיבוש מהלכי </w:t>
      </w:r>
      <w:r w:rsidR="004B2714" w:rsidRPr="004D74BF">
        <w:rPr>
          <w:rFonts w:ascii="David" w:hAnsi="David"/>
          <w:sz w:val="28"/>
          <w:rtl/>
        </w:rPr>
        <w:lastRenderedPageBreak/>
        <w:t>משפט, לפי סעיף 244 לחוק העונשין, תשל"ז</w:t>
      </w:r>
      <w:r w:rsidR="00FC2267" w:rsidRPr="004D74BF">
        <w:rPr>
          <w:rFonts w:ascii="David" w:hAnsi="David"/>
          <w:sz w:val="28"/>
          <w:rtl/>
        </w:rPr>
        <w:t>-</w:t>
      </w:r>
      <w:r w:rsidR="004B2714" w:rsidRPr="004D74BF">
        <w:rPr>
          <w:rFonts w:ascii="David" w:hAnsi="David"/>
          <w:sz w:val="28"/>
          <w:rtl/>
        </w:rPr>
        <w:t xml:space="preserve">1977. </w:t>
      </w:r>
      <w:r w:rsidRPr="004D74BF">
        <w:rPr>
          <w:rFonts w:ascii="David" w:hAnsi="David"/>
          <w:sz w:val="28"/>
          <w:rtl/>
        </w:rPr>
        <w:t>בית הדין הצבאי המחוזי השית על המערער</w:t>
      </w:r>
      <w:r w:rsidR="00AE3045" w:rsidRPr="004D74BF">
        <w:rPr>
          <w:rFonts w:ascii="David" w:hAnsi="David"/>
          <w:sz w:val="28"/>
          <w:rtl/>
        </w:rPr>
        <w:t xml:space="preserve"> עונש של </w:t>
      </w:r>
      <w:r w:rsidRPr="004D74BF">
        <w:rPr>
          <w:rFonts w:ascii="David" w:hAnsi="David"/>
          <w:sz w:val="28"/>
          <w:rtl/>
        </w:rPr>
        <w:t>135 ימי מאסר בפועל</w:t>
      </w:r>
      <w:r w:rsidR="00FB479F">
        <w:rPr>
          <w:rFonts w:ascii="David" w:hAnsi="David" w:hint="cs"/>
          <w:sz w:val="28"/>
          <w:rtl/>
        </w:rPr>
        <w:t xml:space="preserve"> שירוצו בדרך של </w:t>
      </w:r>
      <w:r w:rsidRPr="004D74BF">
        <w:rPr>
          <w:rFonts w:ascii="David" w:hAnsi="David"/>
          <w:sz w:val="28"/>
          <w:rtl/>
        </w:rPr>
        <w:t>עבודה צבאית, עונשי מאסר מותנים</w:t>
      </w:r>
      <w:r w:rsidR="00E02895">
        <w:rPr>
          <w:rFonts w:ascii="David" w:hAnsi="David" w:hint="cs"/>
          <w:sz w:val="28"/>
          <w:rtl/>
        </w:rPr>
        <w:t xml:space="preserve"> </w:t>
      </w:r>
      <w:r w:rsidR="00675F3D">
        <w:rPr>
          <w:rFonts w:ascii="David" w:hAnsi="David" w:hint="cs"/>
          <w:sz w:val="28"/>
          <w:rtl/>
        </w:rPr>
        <w:t>ו</w:t>
      </w:r>
      <w:r w:rsidR="00E02895">
        <w:rPr>
          <w:rFonts w:ascii="David" w:hAnsi="David" w:hint="cs"/>
          <w:sz w:val="28"/>
          <w:rtl/>
        </w:rPr>
        <w:t>הורדה לדרגת טוראי</w:t>
      </w:r>
      <w:r w:rsidR="00675F3D">
        <w:rPr>
          <w:rFonts w:ascii="David" w:hAnsi="David" w:hint="cs"/>
          <w:sz w:val="28"/>
          <w:rtl/>
        </w:rPr>
        <w:t>.</w:t>
      </w:r>
      <w:r w:rsidR="00E02895">
        <w:rPr>
          <w:rFonts w:ascii="David" w:hAnsi="David" w:hint="cs"/>
          <w:sz w:val="28"/>
          <w:rtl/>
        </w:rPr>
        <w:t xml:space="preserve"> כן חייב אותו לשלם פיצויים בסך </w:t>
      </w:r>
      <w:r w:rsidRPr="004D74BF">
        <w:rPr>
          <w:rFonts w:ascii="David" w:hAnsi="David"/>
          <w:sz w:val="28"/>
          <w:rtl/>
        </w:rPr>
        <w:t xml:space="preserve"> 2,000 ש"ח ל</w:t>
      </w:r>
      <w:r w:rsidR="00CB6154" w:rsidRPr="004D74BF">
        <w:rPr>
          <w:rFonts w:ascii="David" w:hAnsi="David"/>
          <w:sz w:val="28"/>
          <w:rtl/>
        </w:rPr>
        <w:t>נפגעת העבירה</w:t>
      </w:r>
      <w:r w:rsidRPr="004D74BF">
        <w:rPr>
          <w:rFonts w:ascii="David" w:hAnsi="David"/>
          <w:sz w:val="28"/>
          <w:rtl/>
        </w:rPr>
        <w:t xml:space="preserve">. </w:t>
      </w:r>
    </w:p>
    <w:p w14:paraId="4D184CA6" w14:textId="77777777" w:rsidR="002C0946" w:rsidRDefault="00675F3D" w:rsidP="002C0946">
      <w:pPr>
        <w:pStyle w:val="ListParagraph"/>
        <w:numPr>
          <w:ilvl w:val="0"/>
          <w:numId w:val="1"/>
        </w:numPr>
        <w:rPr>
          <w:rFonts w:ascii="David" w:hAnsi="David"/>
          <w:sz w:val="28"/>
        </w:rPr>
      </w:pPr>
      <w:r>
        <w:rPr>
          <w:rFonts w:ascii="David" w:hAnsi="David" w:hint="cs"/>
          <w:sz w:val="28"/>
          <w:rtl/>
        </w:rPr>
        <w:t xml:space="preserve">ההגנה ערערה </w:t>
      </w:r>
      <w:r w:rsidR="005D4532" w:rsidRPr="004D74BF">
        <w:rPr>
          <w:rFonts w:ascii="David" w:hAnsi="David"/>
          <w:sz w:val="28"/>
          <w:rtl/>
        </w:rPr>
        <w:t>הן על הרשעתו של המערער והן על עונשו</w:t>
      </w:r>
      <w:r w:rsidR="00B113CA">
        <w:rPr>
          <w:rFonts w:ascii="David" w:hAnsi="David" w:hint="cs"/>
          <w:sz w:val="28"/>
          <w:rtl/>
        </w:rPr>
        <w:t xml:space="preserve">, אולם כלל הטיעונים בהודעת הערעור כוונו </w:t>
      </w:r>
      <w:r w:rsidR="004A62AB">
        <w:rPr>
          <w:rFonts w:ascii="David" w:hAnsi="David" w:hint="cs"/>
          <w:sz w:val="28"/>
          <w:rtl/>
        </w:rPr>
        <w:t xml:space="preserve">כנגד הכרעת הדין המרשיעה. </w:t>
      </w:r>
      <w:r w:rsidR="00605B70" w:rsidRPr="004D74BF">
        <w:rPr>
          <w:rFonts w:ascii="David" w:hAnsi="David"/>
          <w:sz w:val="28"/>
          <w:rtl/>
        </w:rPr>
        <w:t xml:space="preserve">במהלך הדיון בפנינו, </w:t>
      </w:r>
      <w:r>
        <w:rPr>
          <w:rFonts w:ascii="David" w:hAnsi="David" w:hint="cs"/>
          <w:sz w:val="28"/>
          <w:rtl/>
        </w:rPr>
        <w:t xml:space="preserve">הבהירה ההגנה </w:t>
      </w:r>
      <w:r w:rsidR="00605B70" w:rsidRPr="004D74BF">
        <w:rPr>
          <w:rFonts w:ascii="David" w:hAnsi="David"/>
          <w:sz w:val="28"/>
          <w:rtl/>
        </w:rPr>
        <w:t xml:space="preserve">כי </w:t>
      </w:r>
      <w:r w:rsidR="007A1739" w:rsidRPr="004D74BF">
        <w:rPr>
          <w:rFonts w:ascii="David" w:hAnsi="David"/>
          <w:sz w:val="28"/>
          <w:rtl/>
        </w:rPr>
        <w:t>ערעורה נסב על אודות הרשעתו של המערער</w:t>
      </w:r>
      <w:r w:rsidR="00B113CA">
        <w:rPr>
          <w:rFonts w:ascii="David" w:hAnsi="David" w:hint="cs"/>
          <w:sz w:val="28"/>
          <w:rtl/>
        </w:rPr>
        <w:t xml:space="preserve"> בלבד</w:t>
      </w:r>
      <w:r>
        <w:rPr>
          <w:rFonts w:ascii="David" w:hAnsi="David" w:hint="cs"/>
          <w:sz w:val="28"/>
          <w:rtl/>
        </w:rPr>
        <w:t>, וככל שיידחה הערעור, היא אינה עותרת להקלה בעונש (שריצויו היה כבר בעיצומו, במועד הדיון)</w:t>
      </w:r>
      <w:r w:rsidR="00B113CA">
        <w:rPr>
          <w:rFonts w:ascii="David" w:hAnsi="David" w:hint="cs"/>
          <w:sz w:val="28"/>
          <w:rtl/>
        </w:rPr>
        <w:t xml:space="preserve">. </w:t>
      </w:r>
    </w:p>
    <w:p w14:paraId="5773AFC5" w14:textId="7B8C369E" w:rsidR="002C0946" w:rsidRDefault="007A1739" w:rsidP="002C0946">
      <w:pPr>
        <w:pStyle w:val="ListParagraph"/>
        <w:rPr>
          <w:rFonts w:ascii="David" w:hAnsi="David"/>
          <w:sz w:val="28"/>
        </w:rPr>
      </w:pPr>
      <w:r w:rsidRPr="004D74BF">
        <w:rPr>
          <w:rFonts w:ascii="David" w:hAnsi="David"/>
          <w:sz w:val="28"/>
          <w:rtl/>
        </w:rPr>
        <w:t xml:space="preserve"> </w:t>
      </w:r>
    </w:p>
    <w:p w14:paraId="4CF51E5D" w14:textId="079A7D24" w:rsidR="008C0032" w:rsidRDefault="008C0032" w:rsidP="002C0946">
      <w:pPr>
        <w:pStyle w:val="ListParagraph"/>
        <w:rPr>
          <w:rFonts w:ascii="David" w:hAnsi="David"/>
          <w:sz w:val="28"/>
          <w:rtl/>
        </w:rPr>
      </w:pPr>
      <w:r w:rsidRPr="002C0946">
        <w:rPr>
          <w:rFonts w:ascii="David" w:hAnsi="David"/>
          <w:b/>
          <w:bCs/>
          <w:sz w:val="28"/>
          <w:u w:val="single"/>
          <w:rtl/>
        </w:rPr>
        <w:t xml:space="preserve">פסק דינו של בית הדין קמא </w:t>
      </w:r>
    </w:p>
    <w:p w14:paraId="4CBF8959" w14:textId="77777777" w:rsidR="002C0946" w:rsidRPr="002C0946" w:rsidRDefault="002C0946" w:rsidP="002C0946">
      <w:pPr>
        <w:pStyle w:val="ListParagraph"/>
        <w:rPr>
          <w:rFonts w:ascii="David" w:hAnsi="David"/>
          <w:sz w:val="8"/>
          <w:szCs w:val="8"/>
        </w:rPr>
      </w:pPr>
    </w:p>
    <w:p w14:paraId="729AA68E" w14:textId="77777777" w:rsidR="00453045" w:rsidRPr="004D74BF" w:rsidRDefault="008C0032" w:rsidP="002C0946">
      <w:pPr>
        <w:pStyle w:val="ListParagraph"/>
        <w:numPr>
          <w:ilvl w:val="0"/>
          <w:numId w:val="1"/>
        </w:numPr>
        <w:rPr>
          <w:rFonts w:ascii="David" w:hAnsi="David"/>
          <w:sz w:val="28"/>
        </w:rPr>
      </w:pPr>
      <w:r w:rsidRPr="004D74BF">
        <w:rPr>
          <w:rFonts w:ascii="David" w:hAnsi="David"/>
          <w:sz w:val="28"/>
          <w:rtl/>
        </w:rPr>
        <w:t xml:space="preserve">כתב האישום המתוקן </w:t>
      </w:r>
      <w:r w:rsidR="00B857CB" w:rsidRPr="004D74BF">
        <w:rPr>
          <w:rFonts w:ascii="David" w:hAnsi="David"/>
          <w:sz w:val="28"/>
          <w:rtl/>
        </w:rPr>
        <w:t xml:space="preserve">שהוגש לבית הדין קמא עניינו </w:t>
      </w:r>
      <w:r w:rsidR="00AD2323" w:rsidRPr="004D74BF">
        <w:rPr>
          <w:rFonts w:ascii="David" w:hAnsi="David"/>
          <w:sz w:val="28"/>
          <w:rtl/>
        </w:rPr>
        <w:t>ב</w:t>
      </w:r>
      <w:r w:rsidR="0049195C">
        <w:rPr>
          <w:rFonts w:ascii="David" w:hAnsi="David" w:hint="cs"/>
          <w:sz w:val="28"/>
          <w:rtl/>
        </w:rPr>
        <w:t xml:space="preserve">שני </w:t>
      </w:r>
      <w:r w:rsidR="00AD2323" w:rsidRPr="004D74BF">
        <w:rPr>
          <w:rFonts w:ascii="David" w:hAnsi="David"/>
          <w:sz w:val="28"/>
          <w:rtl/>
        </w:rPr>
        <w:t xml:space="preserve">אירועים </w:t>
      </w:r>
      <w:r w:rsidR="0049195C">
        <w:rPr>
          <w:rFonts w:ascii="David" w:hAnsi="David"/>
          <w:sz w:val="28"/>
          <w:rtl/>
        </w:rPr>
        <w:t>–</w:t>
      </w:r>
      <w:r w:rsidR="0049195C">
        <w:rPr>
          <w:rFonts w:ascii="David" w:hAnsi="David" w:hint="cs"/>
          <w:sz w:val="28"/>
          <w:rtl/>
        </w:rPr>
        <w:t xml:space="preserve"> האירוע הראשון </w:t>
      </w:r>
      <w:r w:rsidR="00AD2323" w:rsidRPr="004D74BF">
        <w:rPr>
          <w:rFonts w:ascii="David" w:hAnsi="David"/>
          <w:sz w:val="28"/>
          <w:rtl/>
        </w:rPr>
        <w:t xml:space="preserve">מאפריל </w:t>
      </w:r>
      <w:r w:rsidR="0049195C">
        <w:rPr>
          <w:rFonts w:ascii="David" w:hAnsi="David" w:hint="cs"/>
          <w:sz w:val="28"/>
          <w:rtl/>
        </w:rPr>
        <w:t xml:space="preserve">2022 והאירוע השני </w:t>
      </w:r>
      <w:r w:rsidR="00AD2323" w:rsidRPr="004D74BF">
        <w:rPr>
          <w:rFonts w:ascii="David" w:hAnsi="David"/>
          <w:sz w:val="28"/>
          <w:rtl/>
        </w:rPr>
        <w:t>מאוגוסט 2022</w:t>
      </w:r>
      <w:r w:rsidR="0049195C">
        <w:rPr>
          <w:rFonts w:ascii="David" w:hAnsi="David" w:hint="cs"/>
          <w:sz w:val="28"/>
          <w:rtl/>
        </w:rPr>
        <w:t xml:space="preserve">. במועדים אלה </w:t>
      </w:r>
      <w:r w:rsidR="00126779" w:rsidRPr="004D74BF">
        <w:rPr>
          <w:rFonts w:ascii="David" w:hAnsi="David"/>
          <w:sz w:val="28"/>
          <w:rtl/>
        </w:rPr>
        <w:t xml:space="preserve">שירת </w:t>
      </w:r>
      <w:r w:rsidR="00A079AF" w:rsidRPr="004D74BF">
        <w:rPr>
          <w:rFonts w:ascii="David" w:hAnsi="David"/>
          <w:sz w:val="28"/>
          <w:rtl/>
        </w:rPr>
        <w:t>המערער</w:t>
      </w:r>
      <w:r w:rsidR="00126779" w:rsidRPr="004D74BF">
        <w:rPr>
          <w:rFonts w:ascii="David" w:hAnsi="David"/>
          <w:sz w:val="28"/>
          <w:rtl/>
        </w:rPr>
        <w:t xml:space="preserve"> בתפקיד בוחן רכב בגדוד שריון</w:t>
      </w:r>
      <w:r w:rsidR="00AD2323" w:rsidRPr="004D74BF">
        <w:rPr>
          <w:rFonts w:ascii="David" w:hAnsi="David"/>
          <w:sz w:val="28"/>
          <w:rtl/>
        </w:rPr>
        <w:t xml:space="preserve"> ונפגעת העבירה</w:t>
      </w:r>
      <w:r w:rsidR="00126779" w:rsidRPr="004D74BF">
        <w:rPr>
          <w:rFonts w:ascii="David" w:hAnsi="David"/>
          <w:sz w:val="28"/>
          <w:rtl/>
        </w:rPr>
        <w:t xml:space="preserve"> הייתה חניכה ייעודית לקצונה ומסופחת ליחידה</w:t>
      </w:r>
      <w:r w:rsidR="0037228F" w:rsidRPr="004D74BF">
        <w:rPr>
          <w:rFonts w:ascii="David" w:hAnsi="David"/>
          <w:sz w:val="28"/>
          <w:rtl/>
        </w:rPr>
        <w:t xml:space="preserve">. בתקופת הסיפוח הכירה את המערער ונקשר ביניהם קשר חברי, </w:t>
      </w:r>
      <w:r w:rsidR="00D96BF1">
        <w:rPr>
          <w:rFonts w:ascii="David" w:hAnsi="David" w:hint="cs"/>
          <w:sz w:val="28"/>
          <w:rtl/>
        </w:rPr>
        <w:t>ש</w:t>
      </w:r>
      <w:r w:rsidR="0037228F" w:rsidRPr="004D74BF">
        <w:rPr>
          <w:rFonts w:ascii="David" w:hAnsi="David"/>
          <w:sz w:val="28"/>
          <w:rtl/>
        </w:rPr>
        <w:t xml:space="preserve">במסגרתו </w:t>
      </w:r>
      <w:r w:rsidR="00126779" w:rsidRPr="004D74BF">
        <w:rPr>
          <w:rFonts w:ascii="David" w:hAnsi="David"/>
          <w:sz w:val="28"/>
          <w:rtl/>
        </w:rPr>
        <w:t>נהגו להיפגש במשרד</w:t>
      </w:r>
      <w:r w:rsidR="0070096B">
        <w:rPr>
          <w:rFonts w:ascii="David" w:hAnsi="David" w:hint="cs"/>
          <w:sz w:val="28"/>
          <w:rtl/>
        </w:rPr>
        <w:t>ו</w:t>
      </w:r>
      <w:r w:rsidR="00126779" w:rsidRPr="004D74BF">
        <w:rPr>
          <w:rFonts w:ascii="David" w:hAnsi="David"/>
          <w:sz w:val="28"/>
          <w:rtl/>
        </w:rPr>
        <w:t xml:space="preserve"> של המערער, לשוחח בטלפון ולהתכתב</w:t>
      </w:r>
      <w:r w:rsidR="0070096B">
        <w:rPr>
          <w:rFonts w:ascii="David" w:hAnsi="David" w:hint="cs"/>
          <w:sz w:val="28"/>
          <w:rtl/>
        </w:rPr>
        <w:t xml:space="preserve"> </w:t>
      </w:r>
      <w:proofErr w:type="spellStart"/>
      <w:r w:rsidR="0070096B">
        <w:rPr>
          <w:rFonts w:ascii="David" w:hAnsi="David" w:hint="cs"/>
          <w:sz w:val="28"/>
          <w:rtl/>
        </w:rPr>
        <w:t>ב"ווטסאפ</w:t>
      </w:r>
      <w:proofErr w:type="spellEnd"/>
      <w:r w:rsidR="0070096B">
        <w:rPr>
          <w:rFonts w:ascii="David" w:hAnsi="David" w:hint="cs"/>
          <w:sz w:val="28"/>
          <w:rtl/>
        </w:rPr>
        <w:t>"</w:t>
      </w:r>
      <w:r w:rsidR="00126779" w:rsidRPr="004D74BF">
        <w:rPr>
          <w:rFonts w:ascii="David" w:hAnsi="David"/>
          <w:sz w:val="28"/>
          <w:rtl/>
        </w:rPr>
        <w:t>.</w:t>
      </w:r>
      <w:r w:rsidR="00657B19" w:rsidRPr="004D74BF">
        <w:rPr>
          <w:rFonts w:ascii="David" w:hAnsi="David"/>
          <w:sz w:val="28"/>
          <w:rtl/>
        </w:rPr>
        <w:t xml:space="preserve"> </w:t>
      </w:r>
      <w:r w:rsidR="004C1A36" w:rsidRPr="004D74BF">
        <w:rPr>
          <w:rFonts w:ascii="David" w:hAnsi="David"/>
          <w:sz w:val="28"/>
          <w:rtl/>
        </w:rPr>
        <w:t>בית הדין קמא</w:t>
      </w:r>
      <w:r w:rsidR="0070096B">
        <w:rPr>
          <w:rFonts w:ascii="David" w:hAnsi="David" w:hint="cs"/>
          <w:sz w:val="28"/>
          <w:rtl/>
        </w:rPr>
        <w:t>, אשר</w:t>
      </w:r>
      <w:r w:rsidR="004C1A36" w:rsidRPr="004D74BF">
        <w:rPr>
          <w:rFonts w:ascii="David" w:hAnsi="David"/>
          <w:sz w:val="28"/>
          <w:rtl/>
        </w:rPr>
        <w:t xml:space="preserve"> </w:t>
      </w:r>
      <w:r w:rsidR="00B857CB" w:rsidRPr="004D74BF">
        <w:rPr>
          <w:rFonts w:ascii="David" w:hAnsi="David"/>
          <w:sz w:val="28"/>
          <w:rtl/>
        </w:rPr>
        <w:t>הרשיע את המערער בהתאם ל</w:t>
      </w:r>
      <w:r w:rsidR="0019013E" w:rsidRPr="004D74BF">
        <w:rPr>
          <w:rFonts w:ascii="David" w:hAnsi="David"/>
          <w:sz w:val="28"/>
          <w:rtl/>
        </w:rPr>
        <w:t>אמור ב</w:t>
      </w:r>
      <w:r w:rsidR="00B857CB" w:rsidRPr="004D74BF">
        <w:rPr>
          <w:rFonts w:ascii="David" w:hAnsi="David"/>
          <w:sz w:val="28"/>
          <w:rtl/>
        </w:rPr>
        <w:t xml:space="preserve">כתב האישום </w:t>
      </w:r>
      <w:r w:rsidR="0019013E" w:rsidRPr="004D74BF">
        <w:rPr>
          <w:rFonts w:ascii="David" w:hAnsi="David"/>
          <w:sz w:val="28"/>
          <w:rtl/>
        </w:rPr>
        <w:t>המתוקן</w:t>
      </w:r>
      <w:r w:rsidR="0070096B">
        <w:rPr>
          <w:rFonts w:ascii="David" w:hAnsi="David" w:hint="cs"/>
          <w:sz w:val="28"/>
          <w:rtl/>
        </w:rPr>
        <w:t>,</w:t>
      </w:r>
      <w:r w:rsidR="0019013E" w:rsidRPr="004D74BF">
        <w:rPr>
          <w:rFonts w:ascii="David" w:hAnsi="David"/>
          <w:sz w:val="28"/>
          <w:rtl/>
        </w:rPr>
        <w:t xml:space="preserve"> </w:t>
      </w:r>
      <w:r w:rsidR="00B857CB" w:rsidRPr="004D74BF">
        <w:rPr>
          <w:rFonts w:ascii="David" w:hAnsi="David"/>
          <w:sz w:val="28"/>
          <w:rtl/>
        </w:rPr>
        <w:t xml:space="preserve">תיאר את מהלך הדברים כדלקמן: </w:t>
      </w:r>
    </w:p>
    <w:p w14:paraId="31F48E72" w14:textId="77777777" w:rsidR="00B857CB" w:rsidRPr="004D74BF" w:rsidRDefault="00B857CB" w:rsidP="002C0946">
      <w:pPr>
        <w:pStyle w:val="ListParagraph"/>
        <w:rPr>
          <w:rFonts w:ascii="David" w:hAnsi="David"/>
          <w:sz w:val="28"/>
          <w:rtl/>
        </w:rPr>
      </w:pPr>
      <w:r w:rsidRPr="004D74BF">
        <w:rPr>
          <w:rFonts w:ascii="David" w:hAnsi="David"/>
          <w:sz w:val="28"/>
          <w:rtl/>
        </w:rPr>
        <w:t>"</w:t>
      </w:r>
      <w:r w:rsidR="00051828" w:rsidRPr="004D74BF">
        <w:rPr>
          <w:rFonts w:ascii="David" w:hAnsi="David"/>
          <w:sz w:val="28"/>
          <w:rtl/>
        </w:rPr>
        <w:t xml:space="preserve">ביום 29 באפריל 2022 הצטרפה נפגעת העבירה לנסיעת חילוץ של ה[מערער] ושל בוחן הרכב הנוסף בגדוד, </w:t>
      </w:r>
      <w:r w:rsidR="0029685C">
        <w:rPr>
          <w:rFonts w:ascii="David" w:hAnsi="David" w:hint="cs"/>
          <w:sz w:val="28"/>
          <w:rtl/>
        </w:rPr>
        <w:t>[רס"ל]</w:t>
      </w:r>
      <w:r w:rsidR="00051828" w:rsidRPr="004D74BF">
        <w:rPr>
          <w:rFonts w:ascii="David" w:hAnsi="David"/>
          <w:sz w:val="28"/>
          <w:rtl/>
        </w:rPr>
        <w:t xml:space="preserve"> ליעד. במהלכה, עת נהג ה[מערער] ברכב ונפגעת העבירה ישבה במושב הקדמי, הניח ה[מערער] את ידו על ירכה העליונה השמאלית והניע אותה בתנועת </w:t>
      </w:r>
      <w:r w:rsidR="00675F3D">
        <w:rPr>
          <w:rFonts w:ascii="David" w:hAnsi="David" w:hint="cs"/>
          <w:sz w:val="28"/>
          <w:rtl/>
        </w:rPr>
        <w:t>'</w:t>
      </w:r>
      <w:r w:rsidR="00051828" w:rsidRPr="004D74BF">
        <w:rPr>
          <w:rFonts w:ascii="David" w:hAnsi="David"/>
          <w:sz w:val="28"/>
          <w:rtl/>
        </w:rPr>
        <w:t xml:space="preserve">מעלה </w:t>
      </w:r>
      <w:r w:rsidR="00E63CAB">
        <w:rPr>
          <w:rFonts w:ascii="David" w:hAnsi="David" w:hint="cs"/>
          <w:sz w:val="28"/>
          <w:rtl/>
        </w:rPr>
        <w:t>-</w:t>
      </w:r>
      <w:r w:rsidR="00051828" w:rsidRPr="004D74BF">
        <w:rPr>
          <w:rFonts w:ascii="David" w:hAnsi="David"/>
          <w:sz w:val="28"/>
          <w:rtl/>
        </w:rPr>
        <w:t xml:space="preserve"> מטה</w:t>
      </w:r>
      <w:r w:rsidR="00675F3D">
        <w:rPr>
          <w:rFonts w:ascii="David" w:hAnsi="David" w:hint="cs"/>
          <w:sz w:val="28"/>
          <w:rtl/>
        </w:rPr>
        <w:t>'</w:t>
      </w:r>
      <w:r w:rsidR="00675F3D" w:rsidRPr="004D74BF">
        <w:rPr>
          <w:rFonts w:ascii="David" w:hAnsi="David"/>
          <w:sz w:val="28"/>
          <w:rtl/>
        </w:rPr>
        <w:t xml:space="preserve"> </w:t>
      </w:r>
      <w:r w:rsidR="00051828" w:rsidRPr="004D74BF">
        <w:rPr>
          <w:rFonts w:ascii="David" w:hAnsi="David"/>
          <w:sz w:val="28"/>
          <w:rtl/>
        </w:rPr>
        <w:t xml:space="preserve">למשך שניות בודדות, עד אשר נפגעת העבירה אמרה לו </w:t>
      </w:r>
      <w:r w:rsidR="00675F3D">
        <w:rPr>
          <w:rFonts w:ascii="David" w:hAnsi="David" w:hint="cs"/>
          <w:sz w:val="28"/>
          <w:rtl/>
        </w:rPr>
        <w:t>'</w:t>
      </w:r>
      <w:r w:rsidR="00EF0E2A" w:rsidRPr="004D74BF">
        <w:rPr>
          <w:rFonts w:ascii="David" w:hAnsi="David"/>
          <w:sz w:val="28"/>
          <w:rtl/>
        </w:rPr>
        <w:t>לא</w:t>
      </w:r>
      <w:r w:rsidR="00675F3D">
        <w:rPr>
          <w:rFonts w:ascii="David" w:hAnsi="David" w:hint="cs"/>
          <w:sz w:val="28"/>
          <w:rtl/>
        </w:rPr>
        <w:t>'</w:t>
      </w:r>
      <w:r w:rsidR="00675F3D" w:rsidRPr="004D74BF">
        <w:rPr>
          <w:rFonts w:ascii="David" w:hAnsi="David"/>
          <w:sz w:val="28"/>
          <w:rtl/>
        </w:rPr>
        <w:t xml:space="preserve"> </w:t>
      </w:r>
      <w:r w:rsidR="00EF0E2A" w:rsidRPr="004D74BF">
        <w:rPr>
          <w:rFonts w:ascii="David" w:hAnsi="David"/>
          <w:sz w:val="28"/>
          <w:rtl/>
        </w:rPr>
        <w:t xml:space="preserve">וחדלה את מעשיו. בסמוך לאחר מכן הניח ה[מערער] </w:t>
      </w:r>
      <w:r w:rsidR="00675F3D">
        <w:rPr>
          <w:rFonts w:ascii="David" w:hAnsi="David" w:hint="cs"/>
          <w:sz w:val="28"/>
          <w:rtl/>
        </w:rPr>
        <w:t xml:space="preserve">את </w:t>
      </w:r>
      <w:r w:rsidR="00EF0E2A" w:rsidRPr="004D74BF">
        <w:rPr>
          <w:rFonts w:ascii="David" w:hAnsi="David"/>
          <w:sz w:val="28"/>
          <w:rtl/>
        </w:rPr>
        <w:t xml:space="preserve">ידו הימנית על לחייה השמאלית למשך 2-3 שניות עד שנפגעת העבירה הורידה את ידו אל ידית ההילוכים ואמרה לו </w:t>
      </w:r>
      <w:r w:rsidR="00675F3D">
        <w:rPr>
          <w:rFonts w:ascii="David" w:hAnsi="David" w:hint="cs"/>
          <w:sz w:val="28"/>
          <w:rtl/>
        </w:rPr>
        <w:t>'</w:t>
      </w:r>
      <w:r w:rsidR="00EF0E2A" w:rsidRPr="004D74BF">
        <w:rPr>
          <w:rFonts w:ascii="David" w:hAnsi="David"/>
          <w:sz w:val="28"/>
          <w:rtl/>
        </w:rPr>
        <w:t>די</w:t>
      </w:r>
      <w:r w:rsidR="00675F3D">
        <w:rPr>
          <w:rFonts w:ascii="David" w:hAnsi="David" w:hint="cs"/>
          <w:sz w:val="28"/>
          <w:rtl/>
        </w:rPr>
        <w:t>'</w:t>
      </w:r>
      <w:r w:rsidR="00675F3D" w:rsidRPr="004D74BF">
        <w:rPr>
          <w:rFonts w:ascii="David" w:hAnsi="David"/>
          <w:sz w:val="28"/>
          <w:rtl/>
        </w:rPr>
        <w:t xml:space="preserve">. </w:t>
      </w:r>
      <w:r w:rsidR="00EF0E2A" w:rsidRPr="004D74BF">
        <w:rPr>
          <w:rFonts w:ascii="David" w:hAnsi="David"/>
          <w:sz w:val="28"/>
          <w:rtl/>
        </w:rPr>
        <w:t xml:space="preserve">בנוסף, במהלך הנסיעה, הניחה נפגעת העבירה את ידה על פתחי המזגן </w:t>
      </w:r>
      <w:proofErr w:type="spellStart"/>
      <w:r w:rsidR="00EF0E2A" w:rsidRPr="004D74BF">
        <w:rPr>
          <w:rFonts w:ascii="David" w:hAnsi="David"/>
          <w:sz w:val="28"/>
          <w:rtl/>
        </w:rPr>
        <w:t>וה</w:t>
      </w:r>
      <w:proofErr w:type="spellEnd"/>
      <w:r w:rsidR="00EF0E2A" w:rsidRPr="004D74BF">
        <w:rPr>
          <w:rFonts w:ascii="David" w:hAnsi="David"/>
          <w:sz w:val="28"/>
          <w:rtl/>
        </w:rPr>
        <w:t xml:space="preserve">[מערער] נגע בידה השמאלית בתנועות של </w:t>
      </w:r>
      <w:r w:rsidR="00675F3D">
        <w:rPr>
          <w:rFonts w:ascii="David" w:hAnsi="David" w:hint="cs"/>
          <w:sz w:val="28"/>
          <w:rtl/>
        </w:rPr>
        <w:t>'</w:t>
      </w:r>
      <w:r w:rsidR="00EF0E2A" w:rsidRPr="004D74BF">
        <w:rPr>
          <w:rFonts w:ascii="David" w:hAnsi="David"/>
          <w:sz w:val="28"/>
          <w:rtl/>
        </w:rPr>
        <w:t>מעלה מטה</w:t>
      </w:r>
      <w:r w:rsidR="00675F3D">
        <w:rPr>
          <w:rFonts w:ascii="David" w:hAnsi="David" w:hint="cs"/>
          <w:sz w:val="28"/>
          <w:rtl/>
        </w:rPr>
        <w:t>'</w:t>
      </w:r>
      <w:r w:rsidR="00675F3D" w:rsidRPr="004D74BF">
        <w:rPr>
          <w:rFonts w:ascii="David" w:hAnsi="David"/>
          <w:sz w:val="28"/>
          <w:rtl/>
        </w:rPr>
        <w:t xml:space="preserve">, </w:t>
      </w:r>
      <w:r w:rsidR="00515297" w:rsidRPr="004D74BF">
        <w:rPr>
          <w:rFonts w:ascii="David" w:hAnsi="David"/>
          <w:sz w:val="28"/>
          <w:rtl/>
        </w:rPr>
        <w:t xml:space="preserve">ובתגובה, נפגעת העבירה הזיזה מיד את ידה. האירוע היה קצר וארך שניות בודדות. </w:t>
      </w:r>
    </w:p>
    <w:p w14:paraId="0E0984CF" w14:textId="77777777" w:rsidR="008F246B" w:rsidRPr="004D74BF" w:rsidRDefault="00A55FDB" w:rsidP="002C0946">
      <w:pPr>
        <w:pStyle w:val="ListParagraph"/>
        <w:rPr>
          <w:rFonts w:ascii="David" w:hAnsi="David"/>
          <w:sz w:val="28"/>
          <w:rtl/>
        </w:rPr>
      </w:pPr>
      <w:r w:rsidRPr="004D74BF">
        <w:rPr>
          <w:rFonts w:ascii="David" w:hAnsi="David"/>
          <w:sz w:val="28"/>
          <w:rtl/>
        </w:rPr>
        <w:t>הגם שהאירוע גרם לנפגעת העבירה לחוסר נוחות, היא בחרה שלא לה</w:t>
      </w:r>
      <w:r w:rsidR="008F246B" w:rsidRPr="004D74BF">
        <w:rPr>
          <w:rFonts w:ascii="David" w:hAnsi="David"/>
          <w:sz w:val="28"/>
          <w:rtl/>
        </w:rPr>
        <w:t xml:space="preserve">גיש תלונה בעקבות האירוע ונותרה עם ה[מערער] בקשר ידידותי. נפגעת העבירה עזבה את הגדוד לטובת יציאה לקורס, כך שהיא </w:t>
      </w:r>
      <w:proofErr w:type="spellStart"/>
      <w:r w:rsidR="008F246B" w:rsidRPr="004D74BF">
        <w:rPr>
          <w:rFonts w:ascii="David" w:hAnsi="David"/>
          <w:sz w:val="28"/>
          <w:rtl/>
        </w:rPr>
        <w:t>וה</w:t>
      </w:r>
      <w:proofErr w:type="spellEnd"/>
      <w:r w:rsidR="008F246B" w:rsidRPr="004D74BF">
        <w:rPr>
          <w:rFonts w:ascii="David" w:hAnsi="David"/>
          <w:sz w:val="28"/>
          <w:rtl/>
        </w:rPr>
        <w:t xml:space="preserve">[מערער] לא התראו ולא עמדו בקשר זמן מה, עד ליום ה-14 באוגוסט 2022, אז נפגשו בגדוד וקבעו להיפגש באותו היום ולהשלים פערים אך הדבר לא הסתייע. </w:t>
      </w:r>
    </w:p>
    <w:p w14:paraId="1E38A110" w14:textId="1DE8142E" w:rsidR="00D87BA7" w:rsidRPr="004D74BF" w:rsidRDefault="00D87BA7" w:rsidP="002C0946">
      <w:pPr>
        <w:pStyle w:val="ListParagraph"/>
        <w:rPr>
          <w:rFonts w:ascii="David" w:hAnsi="David"/>
          <w:sz w:val="28"/>
          <w:rtl/>
        </w:rPr>
      </w:pPr>
      <w:r w:rsidRPr="004D74BF">
        <w:rPr>
          <w:rFonts w:ascii="David" w:hAnsi="David"/>
          <w:sz w:val="28"/>
          <w:rtl/>
        </w:rPr>
        <w:t>בבוקר המח</w:t>
      </w:r>
      <w:r w:rsidR="00AF6647" w:rsidRPr="004D74BF">
        <w:rPr>
          <w:rFonts w:ascii="David" w:hAnsi="David"/>
          <w:sz w:val="28"/>
          <w:rtl/>
        </w:rPr>
        <w:t>רת</w:t>
      </w:r>
      <w:r w:rsidR="00AF7558" w:rsidRPr="004D74BF">
        <w:rPr>
          <w:rFonts w:ascii="David" w:hAnsi="David"/>
          <w:sz w:val="28"/>
          <w:rtl/>
        </w:rPr>
        <w:t>, ה-15 באוגוסט 2022 הגיעה נפגעת העבירה אל מתחם הסדנה, שם עבד ה[מערער], פגש</w:t>
      </w:r>
      <w:r w:rsidR="00BD0121">
        <w:rPr>
          <w:rFonts w:ascii="David" w:hAnsi="David" w:hint="cs"/>
          <w:sz w:val="28"/>
          <w:rtl/>
        </w:rPr>
        <w:t>ה</w:t>
      </w:r>
      <w:r w:rsidR="00AF7558" w:rsidRPr="004D74BF">
        <w:rPr>
          <w:rFonts w:ascii="David" w:hAnsi="David"/>
          <w:sz w:val="28"/>
          <w:rtl/>
        </w:rPr>
        <w:t xml:space="preserve"> במערער </w:t>
      </w:r>
      <w:proofErr w:type="spellStart"/>
      <w:r w:rsidR="00AF7558" w:rsidRPr="004D74BF">
        <w:rPr>
          <w:rFonts w:ascii="David" w:hAnsi="David"/>
          <w:sz w:val="28"/>
          <w:rtl/>
        </w:rPr>
        <w:t>וב</w:t>
      </w:r>
      <w:proofErr w:type="spellEnd"/>
      <w:r w:rsidR="00BD0121">
        <w:rPr>
          <w:rFonts w:ascii="David" w:hAnsi="David" w:hint="cs"/>
          <w:sz w:val="28"/>
          <w:rtl/>
        </w:rPr>
        <w:t xml:space="preserve">[רס"ל] </w:t>
      </w:r>
      <w:r w:rsidR="00AF7558" w:rsidRPr="004D74BF">
        <w:rPr>
          <w:rFonts w:ascii="David" w:hAnsi="David"/>
          <w:sz w:val="28"/>
          <w:rtl/>
        </w:rPr>
        <w:t>ליעד וביקשה מהם לקחת אותה לאכול. בשלב מסוים, לאחר ש</w:t>
      </w:r>
      <w:r w:rsidR="002F14BF">
        <w:rPr>
          <w:rFonts w:ascii="David" w:hAnsi="David" w:hint="cs"/>
          <w:sz w:val="28"/>
          <w:rtl/>
        </w:rPr>
        <w:t xml:space="preserve">[רס"ל] </w:t>
      </w:r>
      <w:r w:rsidR="00AF7558" w:rsidRPr="004D74BF">
        <w:rPr>
          <w:rFonts w:ascii="David" w:hAnsi="David"/>
          <w:sz w:val="28"/>
          <w:rtl/>
        </w:rPr>
        <w:t xml:space="preserve">ליעד פנה לעבוד, חיבק ה[מערער] את נפגעת העבירה חיבוק ארוך, הניח את ידיו על כתפיה, כך שפלג גופם העליון התקרב ונצמד </w:t>
      </w:r>
      <w:r w:rsidR="00675F3D" w:rsidRPr="004D74BF">
        <w:rPr>
          <w:rFonts w:ascii="David" w:hAnsi="David"/>
          <w:sz w:val="28"/>
          <w:rtl/>
        </w:rPr>
        <w:t>ז</w:t>
      </w:r>
      <w:r w:rsidR="00675F3D">
        <w:rPr>
          <w:rFonts w:ascii="David" w:hAnsi="David" w:hint="cs"/>
          <w:sz w:val="28"/>
          <w:rtl/>
        </w:rPr>
        <w:t>ה</w:t>
      </w:r>
      <w:r w:rsidR="00675F3D" w:rsidRPr="004D74BF">
        <w:rPr>
          <w:rFonts w:ascii="David" w:hAnsi="David"/>
          <w:sz w:val="28"/>
          <w:rtl/>
        </w:rPr>
        <w:t xml:space="preserve"> </w:t>
      </w:r>
      <w:r w:rsidR="00AF7558" w:rsidRPr="004D74BF">
        <w:rPr>
          <w:rFonts w:ascii="David" w:hAnsi="David"/>
          <w:sz w:val="28"/>
          <w:rtl/>
        </w:rPr>
        <w:t>לזו, נישק את ראשה שלוש או ארבע פעמים וניסה לנשק את צווארה, אך זו הדפה אותה והתרחקה</w:t>
      </w:r>
      <w:r w:rsidR="00955CCC" w:rsidRPr="004D74BF">
        <w:rPr>
          <w:rFonts w:ascii="David" w:hAnsi="David"/>
          <w:sz w:val="28"/>
          <w:rtl/>
        </w:rPr>
        <w:t xml:space="preserve"> לאחור</w:t>
      </w:r>
      <w:r w:rsidR="00675F3D">
        <w:rPr>
          <w:rFonts w:ascii="David" w:hAnsi="David" w:hint="cs"/>
          <w:sz w:val="28"/>
          <w:rtl/>
        </w:rPr>
        <w:t>.</w:t>
      </w:r>
      <w:r w:rsidR="00675F3D" w:rsidRPr="004D74BF">
        <w:rPr>
          <w:rFonts w:ascii="David" w:hAnsi="David"/>
          <w:sz w:val="28"/>
          <w:rtl/>
        </w:rPr>
        <w:t xml:space="preserve"> </w:t>
      </w:r>
      <w:r w:rsidR="00955CCC" w:rsidRPr="004D74BF">
        <w:rPr>
          <w:rFonts w:ascii="David" w:hAnsi="David"/>
          <w:sz w:val="28"/>
          <w:rtl/>
        </w:rPr>
        <w:t xml:space="preserve">סמוך לאחר מכן, התקרב אליה ה[מערער] בשנית, חיבק אותה בחוזקה כשידיו על מותניה באזור האגן, תוך </w:t>
      </w:r>
      <w:r w:rsidR="00955CCC" w:rsidRPr="004D74BF">
        <w:rPr>
          <w:rFonts w:ascii="David" w:hAnsi="David"/>
          <w:sz w:val="28"/>
          <w:rtl/>
        </w:rPr>
        <w:lastRenderedPageBreak/>
        <w:t>שקירב את גופו אל גופה עד אשר נגעו אחד בשני</w:t>
      </w:r>
      <w:r w:rsidR="001A01B3" w:rsidRPr="004D74BF">
        <w:rPr>
          <w:rFonts w:ascii="David" w:hAnsi="David"/>
          <w:sz w:val="28"/>
          <w:rtl/>
        </w:rPr>
        <w:t xml:space="preserve">יה, אז אחז ה[מערער] בפניה של נפגעת העבירה וניסה לנשקה על פיה. נפגעת העבירה הזיזה את ראשה </w:t>
      </w:r>
      <w:proofErr w:type="spellStart"/>
      <w:r w:rsidR="001A01B3" w:rsidRPr="004D74BF">
        <w:rPr>
          <w:rFonts w:ascii="David" w:hAnsi="David"/>
          <w:sz w:val="28"/>
          <w:rtl/>
        </w:rPr>
        <w:t>וה</w:t>
      </w:r>
      <w:proofErr w:type="spellEnd"/>
      <w:r w:rsidR="001A01B3" w:rsidRPr="004D74BF">
        <w:rPr>
          <w:rFonts w:ascii="David" w:hAnsi="David"/>
          <w:sz w:val="28"/>
          <w:rtl/>
        </w:rPr>
        <w:t xml:space="preserve">[מערער] ניסה לנשקה בצוואר, הצמיד את פלג גופו התחתון </w:t>
      </w:r>
      <w:r w:rsidR="00675F3D">
        <w:rPr>
          <w:rFonts w:ascii="David" w:hAnsi="David" w:hint="cs"/>
          <w:sz w:val="28"/>
          <w:rtl/>
        </w:rPr>
        <w:t>א</w:t>
      </w:r>
      <w:r w:rsidR="00675F3D" w:rsidRPr="004D74BF">
        <w:rPr>
          <w:rFonts w:ascii="David" w:hAnsi="David"/>
          <w:sz w:val="28"/>
          <w:rtl/>
        </w:rPr>
        <w:t xml:space="preserve">ל </w:t>
      </w:r>
      <w:r w:rsidR="001A01B3" w:rsidRPr="004D74BF">
        <w:rPr>
          <w:rFonts w:ascii="David" w:hAnsi="David"/>
          <w:sz w:val="28"/>
          <w:rtl/>
        </w:rPr>
        <w:t>פלג גופה התחתון והצמידה</w:t>
      </w:r>
      <w:r w:rsidR="002F14BF">
        <w:rPr>
          <w:rFonts w:ascii="David" w:hAnsi="David" w:hint="cs"/>
          <w:sz w:val="28"/>
          <w:rtl/>
        </w:rPr>
        <w:t>ּ</w:t>
      </w:r>
      <w:r w:rsidR="001A01B3" w:rsidRPr="004D74BF">
        <w:rPr>
          <w:rFonts w:ascii="David" w:hAnsi="David"/>
          <w:sz w:val="28"/>
          <w:rtl/>
        </w:rPr>
        <w:t xml:space="preserve"> אל </w:t>
      </w:r>
      <w:r w:rsidR="003A472B" w:rsidRPr="004D74BF">
        <w:rPr>
          <w:rFonts w:ascii="David" w:hAnsi="David"/>
          <w:sz w:val="28"/>
          <w:rtl/>
        </w:rPr>
        <w:t xml:space="preserve">[ה]מכולה. נפגעת העבירה הדפה את המערער לאחור ואמרה לו שיחדל את מעשיו, והוא בתגובה השיב </w:t>
      </w:r>
      <w:r w:rsidR="00D87E1E">
        <w:rPr>
          <w:rFonts w:ascii="David" w:hAnsi="David" w:hint="cs"/>
          <w:sz w:val="28"/>
          <w:rtl/>
        </w:rPr>
        <w:t>ב</w:t>
      </w:r>
      <w:r w:rsidR="003A472B" w:rsidRPr="004D74BF">
        <w:rPr>
          <w:rFonts w:ascii="David" w:hAnsi="David"/>
          <w:sz w:val="28"/>
          <w:rtl/>
        </w:rPr>
        <w:t xml:space="preserve">אמירות ברוח של </w:t>
      </w:r>
      <w:r w:rsidR="00F41C19">
        <w:rPr>
          <w:rFonts w:ascii="David" w:hAnsi="David" w:hint="cs"/>
          <w:sz w:val="28"/>
          <w:rtl/>
        </w:rPr>
        <w:t>"</w:t>
      </w:r>
      <w:r w:rsidR="003A472B" w:rsidRPr="004D74BF">
        <w:rPr>
          <w:rFonts w:ascii="David" w:hAnsi="David"/>
          <w:sz w:val="28"/>
          <w:rtl/>
        </w:rPr>
        <w:t>כולה חיבוק, מה את עושה עניין</w:t>
      </w:r>
      <w:r w:rsidR="00D96BF1">
        <w:rPr>
          <w:rFonts w:ascii="David" w:hAnsi="David" w:hint="cs"/>
          <w:sz w:val="28"/>
          <w:rtl/>
        </w:rPr>
        <w:t>"</w:t>
      </w:r>
      <w:r w:rsidR="00675F3D" w:rsidRPr="004D74BF">
        <w:rPr>
          <w:rFonts w:ascii="David" w:hAnsi="David"/>
          <w:sz w:val="28"/>
          <w:rtl/>
        </w:rPr>
        <w:t xml:space="preserve">. </w:t>
      </w:r>
    </w:p>
    <w:p w14:paraId="7D87AE90" w14:textId="77777777" w:rsidR="00140D89" w:rsidRPr="00134C3B" w:rsidRDefault="00C84624" w:rsidP="002C0946">
      <w:pPr>
        <w:pStyle w:val="ListParagraph"/>
        <w:numPr>
          <w:ilvl w:val="0"/>
          <w:numId w:val="1"/>
        </w:numPr>
        <w:rPr>
          <w:rFonts w:ascii="David" w:hAnsi="David"/>
          <w:sz w:val="28"/>
          <w:rtl/>
        </w:rPr>
      </w:pPr>
      <w:r w:rsidRPr="00134C3B">
        <w:rPr>
          <w:rFonts w:ascii="David" w:hAnsi="David"/>
          <w:sz w:val="28"/>
          <w:rtl/>
        </w:rPr>
        <w:t>בית הדין עמד על כך שנפגעת העבירה מסרה את גרסתה בהתאם למתואר בכתב האישום</w:t>
      </w:r>
      <w:r w:rsidR="00A36043" w:rsidRPr="00134C3B">
        <w:rPr>
          <w:rFonts w:ascii="David" w:hAnsi="David" w:hint="cs"/>
          <w:sz w:val="28"/>
          <w:rtl/>
        </w:rPr>
        <w:t xml:space="preserve">, ולא שינתה מעמדתה גם </w:t>
      </w:r>
      <w:r w:rsidR="00BF597A" w:rsidRPr="00134C3B">
        <w:rPr>
          <w:rFonts w:ascii="David" w:hAnsi="David"/>
          <w:sz w:val="28"/>
          <w:rtl/>
        </w:rPr>
        <w:t>בחקירתה הנגדית. חיזוקים לעדותה נמצאו</w:t>
      </w:r>
      <w:r w:rsidR="009916FA" w:rsidRPr="00134C3B">
        <w:rPr>
          <w:rFonts w:ascii="David" w:hAnsi="David"/>
          <w:sz w:val="28"/>
          <w:rtl/>
        </w:rPr>
        <w:t>, כפי שעוד יבואר להלן, בתכתובות ממכשיר הטלפון הסלולארי שלה ובעדויות חברותיה</w:t>
      </w:r>
      <w:r w:rsidR="00876EF9" w:rsidRPr="00134C3B">
        <w:rPr>
          <w:rFonts w:ascii="David" w:hAnsi="David" w:hint="cs"/>
          <w:sz w:val="28"/>
          <w:rtl/>
        </w:rPr>
        <w:t xml:space="preserve">, המפקדת שלה </w:t>
      </w:r>
      <w:proofErr w:type="spellStart"/>
      <w:r w:rsidR="00876EF9" w:rsidRPr="00134C3B">
        <w:rPr>
          <w:rFonts w:ascii="David" w:hAnsi="David" w:hint="cs"/>
          <w:sz w:val="28"/>
          <w:rtl/>
        </w:rPr>
        <w:t>וממונת</w:t>
      </w:r>
      <w:proofErr w:type="spellEnd"/>
      <w:r w:rsidR="00876EF9" w:rsidRPr="00134C3B">
        <w:rPr>
          <w:rFonts w:ascii="David" w:hAnsi="David" w:hint="cs"/>
          <w:sz w:val="28"/>
          <w:rtl/>
        </w:rPr>
        <w:t xml:space="preserve"> </w:t>
      </w:r>
      <w:proofErr w:type="spellStart"/>
      <w:r w:rsidR="00876EF9" w:rsidRPr="00134C3B">
        <w:rPr>
          <w:rFonts w:ascii="David" w:hAnsi="David" w:hint="cs"/>
          <w:sz w:val="28"/>
          <w:rtl/>
        </w:rPr>
        <w:t>היוהל"ם</w:t>
      </w:r>
      <w:proofErr w:type="spellEnd"/>
      <w:r w:rsidR="00876EF9" w:rsidRPr="00134C3B">
        <w:rPr>
          <w:rFonts w:ascii="David" w:hAnsi="David" w:hint="cs"/>
          <w:sz w:val="28"/>
          <w:rtl/>
        </w:rPr>
        <w:t xml:space="preserve"> ביחידה</w:t>
      </w:r>
      <w:r w:rsidR="00675F3D">
        <w:rPr>
          <w:rFonts w:ascii="David" w:hAnsi="David" w:hint="cs"/>
          <w:sz w:val="28"/>
          <w:rtl/>
        </w:rPr>
        <w:t>, אשר</w:t>
      </w:r>
      <w:r w:rsidR="00876EF9" w:rsidRPr="00134C3B">
        <w:rPr>
          <w:rFonts w:ascii="David" w:hAnsi="David" w:hint="cs"/>
          <w:sz w:val="28"/>
          <w:rtl/>
        </w:rPr>
        <w:t xml:space="preserve"> </w:t>
      </w:r>
      <w:r w:rsidR="00C06470" w:rsidRPr="00134C3B">
        <w:rPr>
          <w:rFonts w:ascii="David" w:hAnsi="David"/>
          <w:sz w:val="28"/>
          <w:rtl/>
        </w:rPr>
        <w:t>שמעו מפיה את הדברים והעידו על מצבה הנפשי</w:t>
      </w:r>
      <w:r w:rsidR="004818A3" w:rsidRPr="00134C3B">
        <w:rPr>
          <w:rFonts w:ascii="David" w:hAnsi="David"/>
          <w:sz w:val="28"/>
          <w:rtl/>
        </w:rPr>
        <w:t xml:space="preserve"> בעקבות האירועים. </w:t>
      </w:r>
      <w:r w:rsidR="00876EF9" w:rsidRPr="00134C3B">
        <w:rPr>
          <w:rFonts w:ascii="David" w:hAnsi="David" w:hint="cs"/>
          <w:sz w:val="28"/>
          <w:rtl/>
        </w:rPr>
        <w:t>מנגד</w:t>
      </w:r>
      <w:r w:rsidR="00675F3D">
        <w:rPr>
          <w:rFonts w:ascii="David" w:hAnsi="David" w:hint="cs"/>
          <w:sz w:val="28"/>
          <w:rtl/>
        </w:rPr>
        <w:t>,</w:t>
      </w:r>
      <w:r w:rsidR="00876EF9" w:rsidRPr="00134C3B">
        <w:rPr>
          <w:rFonts w:ascii="David" w:hAnsi="David" w:hint="cs"/>
          <w:sz w:val="28"/>
          <w:rtl/>
        </w:rPr>
        <w:t xml:space="preserve"> הכחיש </w:t>
      </w:r>
      <w:r w:rsidR="004818A3" w:rsidRPr="00134C3B">
        <w:rPr>
          <w:rFonts w:ascii="David" w:hAnsi="David"/>
          <w:sz w:val="28"/>
          <w:rtl/>
        </w:rPr>
        <w:t>המערער את טענות נפגע</w:t>
      </w:r>
      <w:r w:rsidR="00876EF9" w:rsidRPr="00134C3B">
        <w:rPr>
          <w:rFonts w:ascii="David" w:hAnsi="David" w:hint="cs"/>
          <w:sz w:val="28"/>
          <w:rtl/>
        </w:rPr>
        <w:t>ת</w:t>
      </w:r>
      <w:r w:rsidR="004929A2" w:rsidRPr="00134C3B">
        <w:rPr>
          <w:rFonts w:ascii="David" w:hAnsi="David"/>
          <w:sz w:val="28"/>
        </w:rPr>
        <w:t xml:space="preserve"> </w:t>
      </w:r>
      <w:r w:rsidR="00876EF9" w:rsidRPr="00134C3B">
        <w:rPr>
          <w:rFonts w:ascii="David" w:hAnsi="David" w:hint="cs"/>
          <w:sz w:val="28"/>
          <w:rtl/>
        </w:rPr>
        <w:t>ה</w:t>
      </w:r>
      <w:r w:rsidR="004818A3" w:rsidRPr="00134C3B">
        <w:rPr>
          <w:rFonts w:ascii="David" w:hAnsi="David"/>
          <w:sz w:val="28"/>
          <w:rtl/>
        </w:rPr>
        <w:t xml:space="preserve">עבירה. </w:t>
      </w:r>
      <w:r w:rsidR="00D70C51" w:rsidRPr="00134C3B">
        <w:rPr>
          <w:rFonts w:ascii="David" w:hAnsi="David"/>
          <w:sz w:val="28"/>
          <w:rtl/>
        </w:rPr>
        <w:t xml:space="preserve">באשר לאירוע הראשון </w:t>
      </w:r>
      <w:r w:rsidR="00211DC8" w:rsidRPr="00134C3B">
        <w:rPr>
          <w:rFonts w:ascii="David" w:hAnsi="David" w:hint="cs"/>
          <w:sz w:val="28"/>
          <w:rtl/>
        </w:rPr>
        <w:t xml:space="preserve">מאפריל 2022 </w:t>
      </w:r>
      <w:r w:rsidR="00D70C51" w:rsidRPr="00134C3B">
        <w:rPr>
          <w:rFonts w:ascii="David" w:hAnsi="David"/>
          <w:sz w:val="28"/>
          <w:rtl/>
        </w:rPr>
        <w:t xml:space="preserve">אישר את דבר הנסיעה המשותפת, </w:t>
      </w:r>
      <w:r w:rsidR="00211DC8" w:rsidRPr="00134C3B">
        <w:rPr>
          <w:rFonts w:ascii="David" w:hAnsi="David" w:hint="cs"/>
          <w:sz w:val="28"/>
          <w:rtl/>
        </w:rPr>
        <w:t xml:space="preserve">אולם </w:t>
      </w:r>
      <w:r w:rsidR="00876EF9" w:rsidRPr="00134C3B">
        <w:rPr>
          <w:rFonts w:ascii="David" w:hAnsi="David" w:hint="cs"/>
          <w:sz w:val="28"/>
          <w:rtl/>
        </w:rPr>
        <w:t xml:space="preserve">לטענתו כל שאירע הוא </w:t>
      </w:r>
      <w:r w:rsidR="00211DC8" w:rsidRPr="00134C3B">
        <w:rPr>
          <w:rFonts w:ascii="David" w:hAnsi="David" w:hint="cs"/>
          <w:sz w:val="28"/>
          <w:rtl/>
        </w:rPr>
        <w:t>ש</w:t>
      </w:r>
      <w:r w:rsidR="00272E83" w:rsidRPr="00134C3B">
        <w:rPr>
          <w:rFonts w:ascii="David" w:hAnsi="David"/>
          <w:sz w:val="28"/>
          <w:rtl/>
        </w:rPr>
        <w:t>נפגעת העבירה שישבה לידו ב</w:t>
      </w:r>
      <w:r w:rsidR="000F42F3" w:rsidRPr="00134C3B">
        <w:rPr>
          <w:rFonts w:ascii="David" w:hAnsi="David"/>
          <w:sz w:val="28"/>
          <w:rtl/>
        </w:rPr>
        <w:t>נסיעה המשותפת</w:t>
      </w:r>
      <w:r w:rsidR="00272E83" w:rsidRPr="00134C3B">
        <w:rPr>
          <w:rFonts w:ascii="David" w:hAnsi="David"/>
          <w:sz w:val="28"/>
          <w:rtl/>
        </w:rPr>
        <w:t xml:space="preserve"> הייתה רדומה </w:t>
      </w:r>
      <w:r w:rsidR="00140D89" w:rsidRPr="00134C3B">
        <w:rPr>
          <w:rFonts w:ascii="David" w:hAnsi="David" w:hint="cs"/>
          <w:sz w:val="28"/>
          <w:rtl/>
        </w:rPr>
        <w:t>ו</w:t>
      </w:r>
      <w:r w:rsidR="00272E83" w:rsidRPr="00134C3B">
        <w:rPr>
          <w:rFonts w:ascii="David" w:hAnsi="David"/>
          <w:sz w:val="28"/>
          <w:rtl/>
        </w:rPr>
        <w:t>הורידה את מושבה, ו</w:t>
      </w:r>
      <w:r w:rsidR="00140D89" w:rsidRPr="00134C3B">
        <w:rPr>
          <w:rFonts w:ascii="David" w:hAnsi="David" w:hint="cs"/>
          <w:sz w:val="28"/>
          <w:rtl/>
        </w:rPr>
        <w:t xml:space="preserve">אילו </w:t>
      </w:r>
      <w:r w:rsidR="00272E83" w:rsidRPr="00134C3B">
        <w:rPr>
          <w:rFonts w:ascii="David" w:hAnsi="David"/>
          <w:sz w:val="28"/>
          <w:rtl/>
        </w:rPr>
        <w:t xml:space="preserve">הוא </w:t>
      </w:r>
      <w:r w:rsidR="000F42F3" w:rsidRPr="00134C3B">
        <w:rPr>
          <w:rFonts w:ascii="David" w:hAnsi="David"/>
          <w:sz w:val="28"/>
          <w:rtl/>
        </w:rPr>
        <w:t>תפס אותה בעצם הבריח</w:t>
      </w:r>
      <w:r w:rsidR="007E2EE9">
        <w:rPr>
          <w:rFonts w:ascii="David" w:hAnsi="David" w:hint="cs"/>
          <w:sz w:val="28"/>
          <w:rtl/>
        </w:rPr>
        <w:t>,</w:t>
      </w:r>
      <w:r w:rsidR="000F42F3" w:rsidRPr="00134C3B">
        <w:rPr>
          <w:rFonts w:ascii="David" w:hAnsi="David"/>
          <w:sz w:val="28"/>
          <w:rtl/>
        </w:rPr>
        <w:t xml:space="preserve"> תוך כדי נסיעה</w:t>
      </w:r>
      <w:r w:rsidR="007E2EE9">
        <w:rPr>
          <w:rFonts w:ascii="David" w:hAnsi="David" w:hint="cs"/>
          <w:sz w:val="28"/>
          <w:rtl/>
        </w:rPr>
        <w:t>,</w:t>
      </w:r>
      <w:r w:rsidR="000F42F3" w:rsidRPr="00134C3B">
        <w:rPr>
          <w:rFonts w:ascii="David" w:hAnsi="David"/>
          <w:sz w:val="28"/>
          <w:rtl/>
        </w:rPr>
        <w:t xml:space="preserve"> כדי שתתעורר ותיישר את </w:t>
      </w:r>
      <w:proofErr w:type="spellStart"/>
      <w:r w:rsidR="000F42F3" w:rsidRPr="00134C3B">
        <w:rPr>
          <w:rFonts w:ascii="David" w:hAnsi="David"/>
          <w:sz w:val="28"/>
          <w:rtl/>
        </w:rPr>
        <w:t>הכסא</w:t>
      </w:r>
      <w:proofErr w:type="spellEnd"/>
      <w:r w:rsidR="000F42F3" w:rsidRPr="00134C3B">
        <w:rPr>
          <w:rFonts w:ascii="David" w:hAnsi="David"/>
          <w:sz w:val="28"/>
          <w:rtl/>
        </w:rPr>
        <w:t>.</w:t>
      </w:r>
      <w:r w:rsidR="00134C3B" w:rsidRPr="00134C3B">
        <w:rPr>
          <w:rFonts w:ascii="David" w:hAnsi="David" w:hint="cs"/>
          <w:sz w:val="28"/>
          <w:rtl/>
        </w:rPr>
        <w:t xml:space="preserve"> </w:t>
      </w:r>
      <w:r w:rsidR="00000981" w:rsidRPr="00134C3B">
        <w:rPr>
          <w:rFonts w:ascii="David" w:hAnsi="David"/>
          <w:sz w:val="28"/>
          <w:rtl/>
        </w:rPr>
        <w:t xml:space="preserve">באשר לאירוע השני, מאוגוסט 2022, טען, כי </w:t>
      </w:r>
      <w:r w:rsidR="00893FA8" w:rsidRPr="00134C3B">
        <w:rPr>
          <w:rFonts w:ascii="David" w:hAnsi="David"/>
          <w:sz w:val="28"/>
          <w:rtl/>
        </w:rPr>
        <w:t>כשהגיע</w:t>
      </w:r>
      <w:r w:rsidR="00140D89" w:rsidRPr="00134C3B">
        <w:rPr>
          <w:rFonts w:ascii="David" w:hAnsi="David" w:hint="cs"/>
          <w:sz w:val="28"/>
          <w:rtl/>
        </w:rPr>
        <w:t>ה</w:t>
      </w:r>
      <w:r w:rsidR="00893FA8" w:rsidRPr="00134C3B">
        <w:rPr>
          <w:rFonts w:ascii="David" w:hAnsi="David"/>
          <w:sz w:val="28"/>
          <w:rtl/>
        </w:rPr>
        <w:t xml:space="preserve"> נפגעת העבירה אל האזור בו עבד</w:t>
      </w:r>
      <w:r w:rsidR="00A26642" w:rsidRPr="00134C3B">
        <w:rPr>
          <w:rFonts w:ascii="David" w:hAnsi="David"/>
          <w:sz w:val="28"/>
          <w:rtl/>
        </w:rPr>
        <w:t xml:space="preserve">, חיבק אותה </w:t>
      </w:r>
      <w:r w:rsidR="00134C3B">
        <w:rPr>
          <w:rFonts w:ascii="David" w:hAnsi="David" w:hint="cs"/>
          <w:sz w:val="28"/>
          <w:rtl/>
        </w:rPr>
        <w:t xml:space="preserve">חיבוק ידידותי </w:t>
      </w:r>
      <w:r w:rsidR="00A26642" w:rsidRPr="00134C3B">
        <w:rPr>
          <w:rFonts w:ascii="David" w:hAnsi="David"/>
          <w:sz w:val="28"/>
          <w:rtl/>
        </w:rPr>
        <w:t xml:space="preserve">כפי שעשה פעמים רבות גם בעבר, וכי לא היה דבר מעבר לכך. </w:t>
      </w:r>
      <w:r w:rsidR="00C771C3" w:rsidRPr="00134C3B">
        <w:rPr>
          <w:rFonts w:ascii="David" w:hAnsi="David"/>
          <w:sz w:val="28"/>
          <w:rtl/>
        </w:rPr>
        <w:t xml:space="preserve">כן טען כי </w:t>
      </w:r>
      <w:r w:rsidR="00140D89" w:rsidRPr="00134C3B">
        <w:rPr>
          <w:rFonts w:ascii="David" w:hAnsi="David" w:hint="cs"/>
          <w:sz w:val="28"/>
          <w:rtl/>
        </w:rPr>
        <w:t xml:space="preserve">רס"ל </w:t>
      </w:r>
      <w:r w:rsidR="00C771C3" w:rsidRPr="00134C3B">
        <w:rPr>
          <w:rFonts w:ascii="David" w:hAnsi="David"/>
          <w:sz w:val="28"/>
          <w:rtl/>
        </w:rPr>
        <w:t>ליעד נכח במקום לאורך כל האירוע</w:t>
      </w:r>
      <w:r w:rsidR="00134C3B">
        <w:rPr>
          <w:rFonts w:ascii="David" w:hAnsi="David" w:hint="cs"/>
          <w:sz w:val="28"/>
          <w:rtl/>
        </w:rPr>
        <w:t xml:space="preserve"> ויכול לאשר את דבריו</w:t>
      </w:r>
      <w:r w:rsidR="00C771C3" w:rsidRPr="00134C3B">
        <w:rPr>
          <w:rFonts w:ascii="David" w:hAnsi="David"/>
          <w:sz w:val="28"/>
          <w:rtl/>
        </w:rPr>
        <w:t xml:space="preserve">. </w:t>
      </w:r>
    </w:p>
    <w:p w14:paraId="5940BCA7" w14:textId="77777777" w:rsidR="00B5560E" w:rsidRPr="004D74BF" w:rsidRDefault="00134C3B" w:rsidP="002C0946">
      <w:pPr>
        <w:pStyle w:val="ListParagraph"/>
        <w:numPr>
          <w:ilvl w:val="0"/>
          <w:numId w:val="1"/>
        </w:numPr>
        <w:rPr>
          <w:rFonts w:ascii="David" w:hAnsi="David"/>
          <w:sz w:val="28"/>
        </w:rPr>
      </w:pPr>
      <w:r>
        <w:rPr>
          <w:rFonts w:ascii="David" w:hAnsi="David" w:hint="cs"/>
          <w:sz w:val="28"/>
          <w:rtl/>
        </w:rPr>
        <w:t>רס"ל ליעד, ששירת בעת הרלוונטית כבוחן רכב ביחידה ביחד עם המערער, נכח בשני האירועים</w:t>
      </w:r>
      <w:r w:rsidR="005430B7">
        <w:rPr>
          <w:rFonts w:ascii="David" w:hAnsi="David" w:hint="cs"/>
          <w:sz w:val="28"/>
          <w:rtl/>
        </w:rPr>
        <w:t xml:space="preserve">. בית הדין עמד על כך שרס"ל ליעד </w:t>
      </w:r>
      <w:r w:rsidR="000330E9" w:rsidRPr="004D74BF">
        <w:rPr>
          <w:rFonts w:ascii="David" w:hAnsi="David"/>
          <w:sz w:val="28"/>
          <w:rtl/>
        </w:rPr>
        <w:t>הביע הן ב</w:t>
      </w:r>
      <w:r w:rsidR="00402C52" w:rsidRPr="004D74BF">
        <w:rPr>
          <w:rFonts w:ascii="David" w:hAnsi="David"/>
          <w:sz w:val="28"/>
          <w:rtl/>
        </w:rPr>
        <w:t>חקיר</w:t>
      </w:r>
      <w:r w:rsidR="00FA61BE">
        <w:rPr>
          <w:rFonts w:ascii="David" w:hAnsi="David" w:hint="cs"/>
          <w:sz w:val="28"/>
          <w:rtl/>
        </w:rPr>
        <w:t xml:space="preserve">תו </w:t>
      </w:r>
      <w:r w:rsidR="00402C52" w:rsidRPr="004D74BF">
        <w:rPr>
          <w:rFonts w:ascii="David" w:hAnsi="David"/>
          <w:sz w:val="28"/>
          <w:rtl/>
        </w:rPr>
        <w:t>והן ב</w:t>
      </w:r>
      <w:r w:rsidR="00FA61BE">
        <w:rPr>
          <w:rFonts w:ascii="David" w:hAnsi="David" w:hint="cs"/>
          <w:sz w:val="28"/>
          <w:rtl/>
        </w:rPr>
        <w:t>עדותו ב</w:t>
      </w:r>
      <w:r w:rsidR="00402C52" w:rsidRPr="004D74BF">
        <w:rPr>
          <w:rFonts w:ascii="David" w:hAnsi="David"/>
          <w:sz w:val="28"/>
          <w:rtl/>
        </w:rPr>
        <w:t>פני בית הדין הסתייגות מעצם מתן העדות ומכך שהיא עלולה לפגוע במערער שהוא חברו הטוב</w:t>
      </w:r>
      <w:r w:rsidR="00EF31FB">
        <w:rPr>
          <w:rFonts w:ascii="David" w:hAnsi="David" w:hint="cs"/>
          <w:sz w:val="28"/>
          <w:rtl/>
        </w:rPr>
        <w:t>.</w:t>
      </w:r>
      <w:r w:rsidR="00402C52" w:rsidRPr="004D74BF">
        <w:rPr>
          <w:rFonts w:ascii="David" w:hAnsi="David"/>
          <w:sz w:val="28"/>
          <w:rtl/>
        </w:rPr>
        <w:t xml:space="preserve"> ביחס </w:t>
      </w:r>
      <w:r w:rsidR="005C4880" w:rsidRPr="004D74BF">
        <w:rPr>
          <w:rFonts w:ascii="David" w:hAnsi="David"/>
          <w:sz w:val="28"/>
          <w:rtl/>
        </w:rPr>
        <w:t xml:space="preserve">לאירוע הראשון, טען </w:t>
      </w:r>
      <w:r w:rsidR="00EF31FB">
        <w:rPr>
          <w:rFonts w:ascii="David" w:hAnsi="David" w:hint="cs"/>
          <w:sz w:val="28"/>
          <w:rtl/>
        </w:rPr>
        <w:t xml:space="preserve">רס"ל ליעד </w:t>
      </w:r>
      <w:r w:rsidR="005C4880" w:rsidRPr="004D74BF">
        <w:rPr>
          <w:rFonts w:ascii="David" w:hAnsi="David"/>
          <w:sz w:val="28"/>
          <w:rtl/>
        </w:rPr>
        <w:t xml:space="preserve">כי היה </w:t>
      </w:r>
      <w:r w:rsidR="0009697C" w:rsidRPr="004D74BF">
        <w:rPr>
          <w:rFonts w:ascii="David" w:hAnsi="David"/>
          <w:sz w:val="28"/>
          <w:rtl/>
        </w:rPr>
        <w:t>עייף ולא מרוכז במהלך הנסיעה</w:t>
      </w:r>
      <w:r w:rsidR="00FA61BE">
        <w:rPr>
          <w:rFonts w:ascii="David" w:hAnsi="David" w:hint="cs"/>
          <w:sz w:val="28"/>
          <w:rtl/>
        </w:rPr>
        <w:t xml:space="preserve"> ולא שם לב לכל דבר חריג</w:t>
      </w:r>
      <w:r w:rsidR="0009697C" w:rsidRPr="004D74BF">
        <w:rPr>
          <w:rFonts w:ascii="David" w:hAnsi="David"/>
          <w:sz w:val="28"/>
          <w:rtl/>
        </w:rPr>
        <w:t xml:space="preserve">, אף כי </w:t>
      </w:r>
      <w:r w:rsidR="00CC5D45">
        <w:rPr>
          <w:rFonts w:ascii="David" w:hAnsi="David" w:hint="cs"/>
          <w:sz w:val="28"/>
          <w:rtl/>
        </w:rPr>
        <w:t xml:space="preserve">היה עד לכך </w:t>
      </w:r>
      <w:r w:rsidR="007163DE" w:rsidRPr="004D74BF">
        <w:rPr>
          <w:rFonts w:ascii="David" w:hAnsi="David"/>
          <w:sz w:val="28"/>
          <w:rtl/>
        </w:rPr>
        <w:t>ש</w:t>
      </w:r>
      <w:r w:rsidR="0009697C" w:rsidRPr="004D74BF">
        <w:rPr>
          <w:rFonts w:ascii="David" w:hAnsi="David"/>
          <w:sz w:val="28"/>
          <w:rtl/>
        </w:rPr>
        <w:t>התעורר בין המערער לנפגעת העבירה "שיח יותר חריף"</w:t>
      </w:r>
      <w:r w:rsidR="007163DE" w:rsidRPr="004D74BF">
        <w:rPr>
          <w:rFonts w:ascii="David" w:hAnsi="David"/>
          <w:sz w:val="28"/>
          <w:rtl/>
        </w:rPr>
        <w:t xml:space="preserve">. אשר לאירוע השני, </w:t>
      </w:r>
      <w:r w:rsidR="0029403A" w:rsidRPr="004D74BF">
        <w:rPr>
          <w:rFonts w:ascii="David" w:hAnsi="David"/>
          <w:sz w:val="28"/>
          <w:rtl/>
        </w:rPr>
        <w:t>ציין כי לא היה עד ל</w:t>
      </w:r>
      <w:r w:rsidR="006E5CA5">
        <w:rPr>
          <w:rFonts w:ascii="David" w:hAnsi="David" w:hint="cs"/>
          <w:sz w:val="28"/>
          <w:rtl/>
        </w:rPr>
        <w:t xml:space="preserve">אירוע המתואר על ידי נפגעת העבירה, אך אישר, </w:t>
      </w:r>
      <w:r w:rsidR="0029403A" w:rsidRPr="004D74BF">
        <w:rPr>
          <w:rFonts w:ascii="David" w:hAnsi="David"/>
          <w:sz w:val="28"/>
          <w:rtl/>
        </w:rPr>
        <w:t xml:space="preserve">בניגוד לדברי המערער, כי </w:t>
      </w:r>
      <w:r w:rsidR="000F6B6D">
        <w:rPr>
          <w:rFonts w:ascii="David" w:hAnsi="David" w:hint="cs"/>
          <w:sz w:val="28"/>
          <w:rtl/>
        </w:rPr>
        <w:t xml:space="preserve">המערער ונפגעת העבירה לא שהו כל העת בטווח הראיה שלו. </w:t>
      </w:r>
      <w:r w:rsidR="00E11428">
        <w:rPr>
          <w:rFonts w:ascii="David" w:hAnsi="David" w:hint="cs"/>
          <w:sz w:val="28"/>
          <w:rtl/>
        </w:rPr>
        <w:t>ל</w:t>
      </w:r>
      <w:r w:rsidR="00701CB6">
        <w:rPr>
          <w:rFonts w:ascii="David" w:hAnsi="David" w:hint="cs"/>
          <w:sz w:val="28"/>
          <w:rtl/>
        </w:rPr>
        <w:t xml:space="preserve">אור כל האמור קבע בית הדין קמא כי </w:t>
      </w:r>
      <w:r w:rsidR="00EF31FB" w:rsidRPr="004D74BF">
        <w:rPr>
          <w:rFonts w:ascii="David" w:hAnsi="David"/>
          <w:sz w:val="28"/>
          <w:rtl/>
        </w:rPr>
        <w:t xml:space="preserve">קיים קושי לקבוע ממצאים על פי </w:t>
      </w:r>
      <w:r w:rsidR="00701CB6">
        <w:rPr>
          <w:rFonts w:ascii="David" w:hAnsi="David" w:hint="cs"/>
          <w:sz w:val="28"/>
          <w:rtl/>
        </w:rPr>
        <w:t>עדותו של רס"ל ליעד.</w:t>
      </w:r>
    </w:p>
    <w:p w14:paraId="239233B4" w14:textId="77777777" w:rsidR="00FF3202" w:rsidRPr="004D74BF" w:rsidRDefault="00855B85" w:rsidP="002C0946">
      <w:pPr>
        <w:pStyle w:val="ListParagraph"/>
        <w:numPr>
          <w:ilvl w:val="0"/>
          <w:numId w:val="1"/>
        </w:numPr>
        <w:rPr>
          <w:rFonts w:ascii="David" w:hAnsi="David"/>
          <w:sz w:val="28"/>
        </w:rPr>
      </w:pPr>
      <w:r w:rsidRPr="004D74BF">
        <w:rPr>
          <w:rFonts w:ascii="David" w:hAnsi="David"/>
          <w:sz w:val="28"/>
          <w:rtl/>
        </w:rPr>
        <w:t xml:space="preserve">בית הדין קמא מצא את עדות נפגעת העבירה מהימנה ונתן לה משקל מלא. </w:t>
      </w:r>
      <w:r w:rsidR="00DE08CE">
        <w:rPr>
          <w:rFonts w:ascii="David" w:hAnsi="David" w:hint="cs"/>
          <w:sz w:val="28"/>
          <w:rtl/>
        </w:rPr>
        <w:t>בואר</w:t>
      </w:r>
      <w:r w:rsidR="007F730C" w:rsidRPr="004D74BF">
        <w:rPr>
          <w:rFonts w:ascii="David" w:hAnsi="David"/>
          <w:sz w:val="28"/>
          <w:rtl/>
        </w:rPr>
        <w:t xml:space="preserve"> כי </w:t>
      </w:r>
      <w:r w:rsidR="003E31B6">
        <w:rPr>
          <w:rFonts w:ascii="David" w:hAnsi="David" w:hint="cs"/>
          <w:sz w:val="28"/>
          <w:rtl/>
        </w:rPr>
        <w:t>היא</w:t>
      </w:r>
      <w:r w:rsidR="007F730C" w:rsidRPr="004D74BF">
        <w:rPr>
          <w:rFonts w:ascii="David" w:hAnsi="David"/>
          <w:sz w:val="28"/>
          <w:rtl/>
        </w:rPr>
        <w:t xml:space="preserve"> </w:t>
      </w:r>
      <w:r w:rsidR="00476BA4" w:rsidRPr="004D74BF">
        <w:rPr>
          <w:rFonts w:ascii="David" w:hAnsi="David"/>
          <w:sz w:val="28"/>
          <w:rtl/>
        </w:rPr>
        <w:t>"רהוטה ובעלת מחשבה סדורה. בחלק הארי של העדות הפגינה המתלוננת שליטה עצמית, מעקב אחר הנרשם בפרוטוקול ועמידה איתנה על גרסתה. ההתרשמות הייתה על פי רוב כי המתלוננת אינה מבקשת להחמיר עם ה</w:t>
      </w:r>
      <w:r w:rsidR="00EB1E2B" w:rsidRPr="004D74BF">
        <w:rPr>
          <w:rFonts w:ascii="David" w:hAnsi="David"/>
          <w:sz w:val="28"/>
          <w:rtl/>
        </w:rPr>
        <w:t>[מערער] ומעוניי</w:t>
      </w:r>
      <w:r w:rsidR="00FF3202" w:rsidRPr="004D74BF">
        <w:rPr>
          <w:rFonts w:ascii="David" w:hAnsi="David"/>
          <w:sz w:val="28"/>
          <w:rtl/>
        </w:rPr>
        <w:t>נ</w:t>
      </w:r>
      <w:r w:rsidR="00EB1E2B" w:rsidRPr="004D74BF">
        <w:rPr>
          <w:rFonts w:ascii="David" w:hAnsi="David"/>
          <w:sz w:val="28"/>
          <w:rtl/>
        </w:rPr>
        <w:t xml:space="preserve">ת לספר על האירועים כהווייתם. המתלוננת הקפידה בעדותה שלא לחזור על חלקים שמסרה בעדותה במצ"ח אם אינם זוכרת אותם לבטח גם כשהתביעה ביקשה לרענן את </w:t>
      </w:r>
      <w:proofErr w:type="spellStart"/>
      <w:r w:rsidR="00EB1E2B" w:rsidRPr="004D74BF">
        <w:rPr>
          <w:rFonts w:ascii="David" w:hAnsi="David"/>
          <w:sz w:val="28"/>
          <w:rtl/>
        </w:rPr>
        <w:t>זכרונה</w:t>
      </w:r>
      <w:proofErr w:type="spellEnd"/>
      <w:r w:rsidR="00EB1E2B" w:rsidRPr="004D74BF">
        <w:rPr>
          <w:rFonts w:ascii="David" w:hAnsi="David"/>
          <w:sz w:val="28"/>
          <w:rtl/>
        </w:rPr>
        <w:t xml:space="preserve">". </w:t>
      </w:r>
      <w:r w:rsidR="00FF3202" w:rsidRPr="004D74BF">
        <w:rPr>
          <w:rFonts w:ascii="David" w:hAnsi="David"/>
          <w:sz w:val="28"/>
          <w:rtl/>
        </w:rPr>
        <w:t>כן נקבע כי</w:t>
      </w:r>
      <w:r w:rsidR="00D75AF3" w:rsidRPr="004D74BF">
        <w:rPr>
          <w:rFonts w:ascii="David" w:hAnsi="David"/>
          <w:sz w:val="28"/>
          <w:rtl/>
        </w:rPr>
        <w:t xml:space="preserve"> סתירות שנמצאו בעדותה </w:t>
      </w:r>
      <w:r w:rsidR="00FF3202" w:rsidRPr="004D74BF">
        <w:rPr>
          <w:rFonts w:ascii="David" w:hAnsi="David"/>
          <w:sz w:val="28"/>
          <w:rtl/>
        </w:rPr>
        <w:t>של נפגעת העבירה</w:t>
      </w:r>
      <w:r w:rsidR="004607AF">
        <w:rPr>
          <w:rFonts w:ascii="David" w:hAnsi="David" w:hint="cs"/>
          <w:sz w:val="28"/>
          <w:rtl/>
        </w:rPr>
        <w:t xml:space="preserve"> </w:t>
      </w:r>
      <w:r w:rsidR="00D15947" w:rsidRPr="004D74BF">
        <w:rPr>
          <w:rFonts w:ascii="David" w:hAnsi="David"/>
          <w:sz w:val="28"/>
          <w:rtl/>
        </w:rPr>
        <w:t xml:space="preserve">לא היו מהותיות ולא השפיעו על משקל העדות. </w:t>
      </w:r>
    </w:p>
    <w:p w14:paraId="3AD63C7C" w14:textId="77777777" w:rsidR="00DE2EA3" w:rsidRPr="004D74BF" w:rsidRDefault="004607AF" w:rsidP="002C0946">
      <w:pPr>
        <w:pStyle w:val="ListParagraph"/>
        <w:numPr>
          <w:ilvl w:val="0"/>
          <w:numId w:val="1"/>
        </w:numPr>
        <w:rPr>
          <w:rFonts w:ascii="David" w:hAnsi="David"/>
          <w:sz w:val="28"/>
        </w:rPr>
      </w:pPr>
      <w:r>
        <w:rPr>
          <w:rFonts w:ascii="David" w:hAnsi="David" w:hint="cs"/>
          <w:sz w:val="28"/>
          <w:rtl/>
        </w:rPr>
        <w:t xml:space="preserve">עוד </w:t>
      </w:r>
      <w:r w:rsidR="00D75AF3" w:rsidRPr="004D74BF">
        <w:rPr>
          <w:rFonts w:ascii="David" w:hAnsi="David"/>
          <w:sz w:val="28"/>
          <w:rtl/>
        </w:rPr>
        <w:t>עמד בית הדין על החיזוקים השונים שנמצאו לעדות</w:t>
      </w:r>
      <w:r w:rsidR="00D96BF1">
        <w:rPr>
          <w:rFonts w:ascii="David" w:hAnsi="David" w:hint="cs"/>
          <w:sz w:val="28"/>
          <w:rtl/>
        </w:rPr>
        <w:t>ה</w:t>
      </w:r>
      <w:r w:rsidR="00D75AF3" w:rsidRPr="004D74BF">
        <w:rPr>
          <w:rFonts w:ascii="David" w:hAnsi="David"/>
          <w:sz w:val="28"/>
          <w:rtl/>
        </w:rPr>
        <w:t xml:space="preserve"> </w:t>
      </w:r>
      <w:r w:rsidR="00D96BF1">
        <w:rPr>
          <w:rFonts w:ascii="David" w:hAnsi="David" w:hint="cs"/>
          <w:sz w:val="28"/>
          <w:rtl/>
        </w:rPr>
        <w:t>של</w:t>
      </w:r>
      <w:r w:rsidR="006E5A3B" w:rsidRPr="004D74BF">
        <w:rPr>
          <w:rFonts w:ascii="David" w:hAnsi="David"/>
          <w:sz w:val="28"/>
          <w:rtl/>
        </w:rPr>
        <w:t xml:space="preserve"> נפגעת העבירה. </w:t>
      </w:r>
      <w:r w:rsidR="00DE2EA3" w:rsidRPr="004D74BF">
        <w:rPr>
          <w:rFonts w:ascii="David" w:hAnsi="David"/>
          <w:sz w:val="28"/>
          <w:rtl/>
        </w:rPr>
        <w:t xml:space="preserve">אשר לאירוע הראשון, בואר כי </w:t>
      </w:r>
      <w:r w:rsidR="00D15947" w:rsidRPr="004D74BF">
        <w:rPr>
          <w:rFonts w:ascii="David" w:hAnsi="David"/>
          <w:sz w:val="28"/>
          <w:rtl/>
        </w:rPr>
        <w:t>סמוך לאחר</w:t>
      </w:r>
      <w:r w:rsidR="00DE2EA3" w:rsidRPr="004D74BF">
        <w:rPr>
          <w:rFonts w:ascii="David" w:hAnsi="David"/>
          <w:sz w:val="28"/>
          <w:rtl/>
        </w:rPr>
        <w:t>יו</w:t>
      </w:r>
      <w:r w:rsidR="00D15947" w:rsidRPr="004D74BF">
        <w:rPr>
          <w:rFonts w:ascii="David" w:hAnsi="David"/>
          <w:sz w:val="28"/>
          <w:rtl/>
        </w:rPr>
        <w:t xml:space="preserve"> פנתה </w:t>
      </w:r>
      <w:r w:rsidR="00DE2EA3" w:rsidRPr="004D74BF">
        <w:rPr>
          <w:rFonts w:ascii="David" w:hAnsi="David"/>
          <w:sz w:val="28"/>
          <w:rtl/>
        </w:rPr>
        <w:t xml:space="preserve">נפגעת העבירה </w:t>
      </w:r>
      <w:r w:rsidR="00D15947" w:rsidRPr="004D74BF">
        <w:rPr>
          <w:rFonts w:ascii="David" w:hAnsi="David"/>
          <w:sz w:val="28"/>
          <w:rtl/>
        </w:rPr>
        <w:t>למפקדתה</w:t>
      </w:r>
      <w:r w:rsidR="00BA4700">
        <w:rPr>
          <w:rFonts w:ascii="David" w:hAnsi="David" w:hint="cs"/>
          <w:sz w:val="28"/>
          <w:rtl/>
        </w:rPr>
        <w:t>, סרן</w:t>
      </w:r>
      <w:r w:rsidR="0016137D" w:rsidRPr="004D74BF">
        <w:rPr>
          <w:rFonts w:ascii="David" w:hAnsi="David"/>
          <w:sz w:val="28"/>
          <w:rtl/>
        </w:rPr>
        <w:t xml:space="preserve"> הילה</w:t>
      </w:r>
      <w:r w:rsidR="006E5A3B" w:rsidRPr="004D74BF">
        <w:rPr>
          <w:rFonts w:ascii="David" w:hAnsi="David"/>
          <w:sz w:val="28"/>
          <w:rtl/>
        </w:rPr>
        <w:t xml:space="preserve">, ועל אף שלא ביקשה להתלונן על האירוע </w:t>
      </w:r>
      <w:r w:rsidR="00A71383" w:rsidRPr="004D74BF">
        <w:rPr>
          <w:rFonts w:ascii="David" w:hAnsi="David"/>
          <w:sz w:val="28"/>
          <w:rtl/>
        </w:rPr>
        <w:t>פירטה בפניה את חוסר הנוחות שחשה במפגש עם המערער</w:t>
      </w:r>
      <w:r w:rsidR="008E33A7">
        <w:rPr>
          <w:rFonts w:ascii="David" w:hAnsi="David" w:hint="cs"/>
          <w:sz w:val="28"/>
          <w:rtl/>
        </w:rPr>
        <w:t>.</w:t>
      </w:r>
      <w:r w:rsidR="0016137D" w:rsidRPr="004D74BF">
        <w:rPr>
          <w:rFonts w:ascii="David" w:hAnsi="David"/>
          <w:sz w:val="28"/>
          <w:rtl/>
        </w:rPr>
        <w:t xml:space="preserve"> </w:t>
      </w:r>
      <w:r w:rsidR="0016137D" w:rsidRPr="004D74BF">
        <w:rPr>
          <w:rFonts w:ascii="David" w:hAnsi="David"/>
          <w:sz w:val="28"/>
          <w:rtl/>
        </w:rPr>
        <w:lastRenderedPageBreak/>
        <w:t xml:space="preserve">המפקדת </w:t>
      </w:r>
      <w:r w:rsidR="00F9199F" w:rsidRPr="004D74BF">
        <w:rPr>
          <w:rFonts w:ascii="David" w:hAnsi="David"/>
          <w:sz w:val="28"/>
          <w:rtl/>
        </w:rPr>
        <w:t>הציעה לה להגיש תלונה ו</w:t>
      </w:r>
      <w:r w:rsidR="0016137D" w:rsidRPr="004D74BF">
        <w:rPr>
          <w:rFonts w:ascii="David" w:hAnsi="David"/>
          <w:sz w:val="28"/>
          <w:rtl/>
        </w:rPr>
        <w:t xml:space="preserve">אמרה לה שתערוך שיחה עם הנגדים על המותר והאסור ביחסיהם עם החיילים. </w:t>
      </w:r>
      <w:r w:rsidR="00F9199F" w:rsidRPr="004D74BF">
        <w:rPr>
          <w:rFonts w:ascii="David" w:hAnsi="David"/>
          <w:sz w:val="28"/>
          <w:rtl/>
        </w:rPr>
        <w:t xml:space="preserve">צוין, כי עדותה של </w:t>
      </w:r>
      <w:r w:rsidR="008E33A7">
        <w:rPr>
          <w:rFonts w:ascii="David" w:hAnsi="David" w:hint="cs"/>
          <w:sz w:val="28"/>
          <w:rtl/>
        </w:rPr>
        <w:t xml:space="preserve">סרן </w:t>
      </w:r>
      <w:r w:rsidR="00F9199F" w:rsidRPr="004D74BF">
        <w:rPr>
          <w:rFonts w:ascii="David" w:hAnsi="David"/>
          <w:sz w:val="28"/>
          <w:rtl/>
        </w:rPr>
        <w:t xml:space="preserve">הילה מספקת </w:t>
      </w:r>
      <w:r w:rsidR="00DE2EA3" w:rsidRPr="004D74BF">
        <w:rPr>
          <w:rFonts w:ascii="David" w:hAnsi="David"/>
          <w:sz w:val="28"/>
          <w:rtl/>
        </w:rPr>
        <w:t xml:space="preserve">חיזוק משמעותי לעדות נפגעת העבירה ולכך שלא ביקשה להרע למערער, שכן כאשר הוצעה לה האפשרות להגיש תלונה בחרה </w:t>
      </w:r>
      <w:r w:rsidR="00675F3D">
        <w:rPr>
          <w:rFonts w:ascii="David" w:hAnsi="David" w:hint="cs"/>
          <w:sz w:val="28"/>
          <w:rtl/>
        </w:rPr>
        <w:t xml:space="preserve">כאמור </w:t>
      </w:r>
      <w:r w:rsidR="00DE2EA3" w:rsidRPr="004D74BF">
        <w:rPr>
          <w:rFonts w:ascii="David" w:hAnsi="David"/>
          <w:sz w:val="28"/>
          <w:rtl/>
        </w:rPr>
        <w:t>שלא לעשות כן ואף ביקשה שלא לציין את שמו של המערער</w:t>
      </w:r>
      <w:r w:rsidR="008E33A7">
        <w:rPr>
          <w:rFonts w:ascii="David" w:hAnsi="David" w:hint="cs"/>
          <w:sz w:val="28"/>
          <w:rtl/>
        </w:rPr>
        <w:t xml:space="preserve"> בשיחה שתיערך</w:t>
      </w:r>
      <w:r w:rsidR="00DE2EA3" w:rsidRPr="004D74BF">
        <w:rPr>
          <w:rFonts w:ascii="David" w:hAnsi="David"/>
          <w:sz w:val="28"/>
          <w:rtl/>
        </w:rPr>
        <w:t xml:space="preserve">. </w:t>
      </w:r>
    </w:p>
    <w:p w14:paraId="47DB2E73" w14:textId="77777777" w:rsidR="00727A7B" w:rsidRPr="004D74BF" w:rsidRDefault="00DE2EA3" w:rsidP="002C0946">
      <w:pPr>
        <w:pStyle w:val="ListParagraph"/>
        <w:numPr>
          <w:ilvl w:val="0"/>
          <w:numId w:val="1"/>
        </w:numPr>
        <w:rPr>
          <w:rFonts w:ascii="David" w:hAnsi="David"/>
          <w:sz w:val="28"/>
        </w:rPr>
      </w:pPr>
      <w:r w:rsidRPr="004D74BF">
        <w:rPr>
          <w:rFonts w:ascii="David" w:hAnsi="David"/>
          <w:sz w:val="28"/>
          <w:rtl/>
        </w:rPr>
        <w:t xml:space="preserve">אשר לאירוע השני, </w:t>
      </w:r>
      <w:r w:rsidR="0017355B" w:rsidRPr="004D74BF">
        <w:rPr>
          <w:rFonts w:ascii="David" w:hAnsi="David"/>
          <w:sz w:val="28"/>
          <w:rtl/>
        </w:rPr>
        <w:t xml:space="preserve">עמד בית הדין קמא </w:t>
      </w:r>
      <w:r w:rsidR="008E33A7">
        <w:rPr>
          <w:rFonts w:ascii="David" w:hAnsi="David" w:hint="cs"/>
          <w:sz w:val="28"/>
          <w:rtl/>
        </w:rPr>
        <w:t xml:space="preserve">על כך שבעת התרחשותו </w:t>
      </w:r>
      <w:r w:rsidR="0017355B" w:rsidRPr="004D74BF">
        <w:rPr>
          <w:rFonts w:ascii="David" w:hAnsi="David"/>
          <w:sz w:val="28"/>
          <w:rtl/>
        </w:rPr>
        <w:t xml:space="preserve">התכתבה נפגעת העבירה עם חברתה </w:t>
      </w:r>
      <w:r w:rsidR="009077AB">
        <w:rPr>
          <w:rFonts w:ascii="David" w:hAnsi="David" w:hint="cs"/>
          <w:sz w:val="28"/>
          <w:rtl/>
        </w:rPr>
        <w:t xml:space="preserve">רב"ט </w:t>
      </w:r>
      <w:r w:rsidR="0017355B" w:rsidRPr="004D74BF">
        <w:rPr>
          <w:rFonts w:ascii="David" w:hAnsi="David"/>
          <w:sz w:val="28"/>
          <w:rtl/>
        </w:rPr>
        <w:t xml:space="preserve">שוהם, ותיעדה את המתרחש </w:t>
      </w:r>
      <w:r w:rsidR="008E33A7">
        <w:rPr>
          <w:rFonts w:ascii="David" w:hAnsi="David" w:hint="cs"/>
          <w:sz w:val="28"/>
          <w:rtl/>
        </w:rPr>
        <w:t>"</w:t>
      </w:r>
      <w:r w:rsidR="0017355B" w:rsidRPr="004D74BF">
        <w:rPr>
          <w:rFonts w:ascii="David" w:hAnsi="David"/>
          <w:sz w:val="28"/>
          <w:rtl/>
        </w:rPr>
        <w:t>בזמן אמת</w:t>
      </w:r>
      <w:r w:rsidR="008E33A7">
        <w:rPr>
          <w:rFonts w:ascii="David" w:hAnsi="David" w:hint="cs"/>
          <w:sz w:val="28"/>
          <w:rtl/>
        </w:rPr>
        <w:t>"</w:t>
      </w:r>
      <w:r w:rsidR="0017355B" w:rsidRPr="004D74BF">
        <w:rPr>
          <w:rFonts w:ascii="David" w:hAnsi="David"/>
          <w:sz w:val="28"/>
          <w:rtl/>
        </w:rPr>
        <w:t>, את הבהלה שלה ואת תחושותיה</w:t>
      </w:r>
      <w:r w:rsidR="00C171C7" w:rsidRPr="004D74BF">
        <w:rPr>
          <w:rFonts w:ascii="David" w:hAnsi="David"/>
          <w:sz w:val="28"/>
          <w:rtl/>
        </w:rPr>
        <w:t>, תוך שביקשה את עזרת חברתה ו</w:t>
      </w:r>
      <w:r w:rsidR="00675F3D">
        <w:rPr>
          <w:rFonts w:ascii="David" w:hAnsi="David" w:hint="cs"/>
          <w:sz w:val="28"/>
          <w:rtl/>
        </w:rPr>
        <w:t xml:space="preserve">את הגעתה </w:t>
      </w:r>
      <w:r w:rsidR="00C171C7" w:rsidRPr="004D74BF">
        <w:rPr>
          <w:rFonts w:ascii="David" w:hAnsi="David"/>
          <w:sz w:val="28"/>
          <w:rtl/>
        </w:rPr>
        <w:t>למקום. הוטעם, כי מדובר בתכתובת "אינטואיטיבית מתוך האירוע</w:t>
      </w:r>
      <w:r w:rsidR="00824287" w:rsidRPr="004D74BF">
        <w:rPr>
          <w:rFonts w:ascii="David" w:hAnsi="David"/>
          <w:sz w:val="28"/>
          <w:rtl/>
        </w:rPr>
        <w:t>, ללא תכנון מראש, והיא אמינה ביותר משום שאינה מופנית לגורם חוץ... אלא לגורם שהמתלוננת סבורה שיכול לסייע לה, ובהכרח אינה מתיישבת עם רצון של המתלוננת 'לתפור תיק לנאשם' או להמציא דברים שלא אירעו</w:t>
      </w:r>
      <w:r w:rsidR="00547533" w:rsidRPr="004D74BF">
        <w:rPr>
          <w:rFonts w:ascii="David" w:hAnsi="David"/>
          <w:sz w:val="28"/>
          <w:rtl/>
        </w:rPr>
        <w:t>"</w:t>
      </w:r>
      <w:r w:rsidR="00675F3D">
        <w:rPr>
          <w:rFonts w:ascii="David" w:hAnsi="David" w:hint="cs"/>
          <w:sz w:val="28"/>
          <w:rtl/>
        </w:rPr>
        <w:t xml:space="preserve">. נקבע, </w:t>
      </w:r>
      <w:r w:rsidR="008E33A7">
        <w:rPr>
          <w:rFonts w:ascii="David" w:hAnsi="David" w:hint="cs"/>
          <w:sz w:val="28"/>
          <w:rtl/>
        </w:rPr>
        <w:t xml:space="preserve">כי ההתכתבות האמורה </w:t>
      </w:r>
      <w:r w:rsidR="00547533" w:rsidRPr="004D74BF">
        <w:rPr>
          <w:rFonts w:ascii="David" w:hAnsi="David"/>
          <w:sz w:val="28"/>
          <w:rtl/>
        </w:rPr>
        <w:t xml:space="preserve">תואמת את כללי </w:t>
      </w:r>
      <w:proofErr w:type="spellStart"/>
      <w:r w:rsidR="00547533" w:rsidRPr="004D74BF">
        <w:rPr>
          <w:rFonts w:ascii="David" w:hAnsi="David"/>
          <w:sz w:val="28"/>
          <w:rtl/>
        </w:rPr>
        <w:t>ה"רס</w:t>
      </w:r>
      <w:proofErr w:type="spellEnd"/>
      <w:r w:rsidR="00547533" w:rsidRPr="004D74BF">
        <w:rPr>
          <w:rFonts w:ascii="David" w:hAnsi="David"/>
          <w:sz w:val="28"/>
          <w:rtl/>
        </w:rPr>
        <w:t xml:space="preserve"> </w:t>
      </w:r>
      <w:proofErr w:type="spellStart"/>
      <w:r w:rsidR="00547533" w:rsidRPr="004D74BF">
        <w:rPr>
          <w:rFonts w:ascii="David" w:hAnsi="David"/>
          <w:sz w:val="28"/>
          <w:rtl/>
        </w:rPr>
        <w:t>גסטה</w:t>
      </w:r>
      <w:proofErr w:type="spellEnd"/>
      <w:r w:rsidR="00547533" w:rsidRPr="004D74BF">
        <w:rPr>
          <w:rFonts w:ascii="David" w:hAnsi="David"/>
          <w:sz w:val="28"/>
          <w:rtl/>
        </w:rPr>
        <w:t>" ו</w:t>
      </w:r>
      <w:r w:rsidR="00D96BF1">
        <w:rPr>
          <w:rFonts w:ascii="David" w:hAnsi="David" w:hint="cs"/>
          <w:sz w:val="28"/>
          <w:rtl/>
        </w:rPr>
        <w:t>היא</w:t>
      </w:r>
      <w:r w:rsidR="00547533" w:rsidRPr="004D74BF">
        <w:rPr>
          <w:rFonts w:ascii="David" w:hAnsi="David"/>
          <w:sz w:val="28"/>
          <w:rtl/>
        </w:rPr>
        <w:t xml:space="preserve"> ראיה מחזקת לאמיתות הדברים בהתאם לכלל שנקבע בסעיף 9 לפקודת הראיות [נוסח חדש], תשל"א </w:t>
      </w:r>
      <w:r w:rsidR="00CE4F7B" w:rsidRPr="004D74BF">
        <w:rPr>
          <w:rFonts w:ascii="David" w:hAnsi="David"/>
          <w:sz w:val="28"/>
          <w:rtl/>
        </w:rPr>
        <w:t>-</w:t>
      </w:r>
      <w:r w:rsidR="00547533" w:rsidRPr="004D74BF">
        <w:rPr>
          <w:rFonts w:ascii="David" w:hAnsi="David"/>
          <w:sz w:val="28"/>
          <w:rtl/>
        </w:rPr>
        <w:t xml:space="preserve"> 1971. </w:t>
      </w:r>
      <w:r w:rsidR="00CE4F7B" w:rsidRPr="004D74BF">
        <w:rPr>
          <w:rFonts w:ascii="David" w:hAnsi="David"/>
          <w:sz w:val="28"/>
          <w:rtl/>
        </w:rPr>
        <w:t xml:space="preserve">חיזוקים נוספים </w:t>
      </w:r>
      <w:r w:rsidR="003876BD">
        <w:rPr>
          <w:rFonts w:ascii="David" w:hAnsi="David" w:hint="cs"/>
          <w:sz w:val="28"/>
          <w:rtl/>
        </w:rPr>
        <w:t>שנמנו לעדות נפגעת העבירה עניינם בכך שהיא שלחה</w:t>
      </w:r>
      <w:r w:rsidR="00CE4F7B" w:rsidRPr="004D74BF">
        <w:rPr>
          <w:rFonts w:ascii="David" w:hAnsi="David"/>
          <w:sz w:val="28"/>
          <w:rtl/>
        </w:rPr>
        <w:t xml:space="preserve"> למערער </w:t>
      </w:r>
      <w:r w:rsidR="00580D49">
        <w:rPr>
          <w:rFonts w:ascii="David" w:hAnsi="David" w:hint="cs"/>
          <w:sz w:val="28"/>
          <w:rtl/>
        </w:rPr>
        <w:t>ב</w:t>
      </w:r>
      <w:r w:rsidR="00CE4F7B" w:rsidRPr="004D74BF">
        <w:rPr>
          <w:rFonts w:ascii="David" w:hAnsi="David"/>
          <w:sz w:val="28"/>
          <w:rtl/>
        </w:rPr>
        <w:t xml:space="preserve">סמוך לאחר האירוע הודעה קולית כועסת ביותר שבה הזהירה </w:t>
      </w:r>
      <w:r w:rsidR="008D1804" w:rsidRPr="004D74BF">
        <w:rPr>
          <w:rFonts w:ascii="David" w:hAnsi="David"/>
          <w:sz w:val="28"/>
          <w:rtl/>
        </w:rPr>
        <w:t xml:space="preserve">אותו "לתפוס מרחק" ולא לגעת בה יותר; </w:t>
      </w:r>
      <w:r w:rsidR="00675F3D">
        <w:rPr>
          <w:rFonts w:ascii="David" w:hAnsi="David" w:hint="cs"/>
          <w:sz w:val="28"/>
          <w:rtl/>
        </w:rPr>
        <w:t xml:space="preserve">וכן </w:t>
      </w:r>
      <w:r w:rsidR="008D1804" w:rsidRPr="004D74BF">
        <w:rPr>
          <w:rFonts w:ascii="David" w:hAnsi="David"/>
          <w:sz w:val="28"/>
          <w:rtl/>
        </w:rPr>
        <w:t xml:space="preserve">בשיחתה </w:t>
      </w:r>
      <w:r w:rsidR="00B32B7C" w:rsidRPr="004D74BF">
        <w:rPr>
          <w:rFonts w:ascii="David" w:hAnsi="David"/>
          <w:sz w:val="28"/>
          <w:rtl/>
        </w:rPr>
        <w:t xml:space="preserve">המתועדת </w:t>
      </w:r>
      <w:r w:rsidR="008D1804" w:rsidRPr="004D74BF">
        <w:rPr>
          <w:rFonts w:ascii="David" w:hAnsi="David"/>
          <w:sz w:val="28"/>
          <w:rtl/>
        </w:rPr>
        <w:t xml:space="preserve">של נפגעת העבירה עם </w:t>
      </w:r>
      <w:proofErr w:type="spellStart"/>
      <w:r w:rsidR="008D1804" w:rsidRPr="004D74BF">
        <w:rPr>
          <w:rFonts w:ascii="David" w:hAnsi="David"/>
          <w:sz w:val="28"/>
          <w:rtl/>
        </w:rPr>
        <w:t>ממונת</w:t>
      </w:r>
      <w:proofErr w:type="spellEnd"/>
      <w:r w:rsidR="008D1804" w:rsidRPr="004D74BF">
        <w:rPr>
          <w:rFonts w:ascii="David" w:hAnsi="David"/>
          <w:sz w:val="28"/>
          <w:rtl/>
        </w:rPr>
        <w:t xml:space="preserve"> </w:t>
      </w:r>
      <w:proofErr w:type="spellStart"/>
      <w:r w:rsidR="008D1804" w:rsidRPr="004D74BF">
        <w:rPr>
          <w:rFonts w:ascii="David" w:hAnsi="David"/>
          <w:sz w:val="28"/>
          <w:rtl/>
        </w:rPr>
        <w:t>היהל"ם</w:t>
      </w:r>
      <w:proofErr w:type="spellEnd"/>
      <w:r w:rsidR="008D1804" w:rsidRPr="004D74BF">
        <w:rPr>
          <w:rFonts w:ascii="David" w:hAnsi="David"/>
          <w:sz w:val="28"/>
          <w:rtl/>
        </w:rPr>
        <w:t xml:space="preserve"> היחידתית ס</w:t>
      </w:r>
      <w:r w:rsidR="00580D49">
        <w:rPr>
          <w:rFonts w:ascii="David" w:hAnsi="David" w:hint="cs"/>
          <w:sz w:val="28"/>
          <w:rtl/>
        </w:rPr>
        <w:t>ר</w:t>
      </w:r>
      <w:r w:rsidR="008D1804" w:rsidRPr="004D74BF">
        <w:rPr>
          <w:rFonts w:ascii="David" w:hAnsi="David"/>
          <w:sz w:val="28"/>
          <w:rtl/>
        </w:rPr>
        <w:t xml:space="preserve">ן ירדן, </w:t>
      </w:r>
      <w:r w:rsidR="001555A7" w:rsidRPr="004D74BF">
        <w:rPr>
          <w:rFonts w:ascii="David" w:hAnsi="David"/>
          <w:sz w:val="28"/>
          <w:rtl/>
        </w:rPr>
        <w:t>ובדיווח שלה למפקדתה ס</w:t>
      </w:r>
      <w:r w:rsidR="00580D49">
        <w:rPr>
          <w:rFonts w:ascii="David" w:hAnsi="David" w:hint="cs"/>
          <w:sz w:val="28"/>
          <w:rtl/>
        </w:rPr>
        <w:t>ר</w:t>
      </w:r>
      <w:r w:rsidR="001555A7" w:rsidRPr="004D74BF">
        <w:rPr>
          <w:rFonts w:ascii="David" w:hAnsi="David"/>
          <w:sz w:val="28"/>
          <w:rtl/>
        </w:rPr>
        <w:t>ן הילה על אודות האירוע. לכך התווספו עדויות של חברות</w:t>
      </w:r>
      <w:r w:rsidR="00580D49">
        <w:rPr>
          <w:rFonts w:ascii="David" w:hAnsi="David" w:hint="cs"/>
          <w:sz w:val="28"/>
          <w:rtl/>
        </w:rPr>
        <w:t>יה של</w:t>
      </w:r>
      <w:r w:rsidR="001555A7" w:rsidRPr="004D74BF">
        <w:rPr>
          <w:rFonts w:ascii="David" w:hAnsi="David"/>
          <w:sz w:val="28"/>
          <w:rtl/>
        </w:rPr>
        <w:t xml:space="preserve"> </w:t>
      </w:r>
      <w:r w:rsidR="00DF30D3" w:rsidRPr="004D74BF">
        <w:rPr>
          <w:rFonts w:ascii="David" w:hAnsi="David"/>
          <w:sz w:val="28"/>
          <w:rtl/>
        </w:rPr>
        <w:t>נפגעת העבירה</w:t>
      </w:r>
      <w:r w:rsidR="00675F3D">
        <w:rPr>
          <w:rFonts w:ascii="David" w:hAnsi="David" w:hint="cs"/>
          <w:sz w:val="28"/>
          <w:rtl/>
        </w:rPr>
        <w:t>,</w:t>
      </w:r>
      <w:r w:rsidR="00DF30D3" w:rsidRPr="004D74BF">
        <w:rPr>
          <w:rFonts w:ascii="David" w:hAnsi="David"/>
          <w:sz w:val="28"/>
          <w:rtl/>
        </w:rPr>
        <w:t xml:space="preserve"> שפגשו אותה ביום האירוע </w:t>
      </w:r>
      <w:r w:rsidR="00ED2D61" w:rsidRPr="004D74BF">
        <w:rPr>
          <w:rFonts w:ascii="David" w:hAnsi="David"/>
          <w:sz w:val="28"/>
          <w:rtl/>
        </w:rPr>
        <w:t>והתרשמו באופן בלתי אמצעי מבכי</w:t>
      </w:r>
      <w:r w:rsidR="005F5635">
        <w:rPr>
          <w:rFonts w:ascii="David" w:hAnsi="David" w:hint="cs"/>
          <w:sz w:val="28"/>
          <w:rtl/>
        </w:rPr>
        <w:t>י</w:t>
      </w:r>
      <w:r w:rsidR="00ED2D61" w:rsidRPr="004D74BF">
        <w:rPr>
          <w:rFonts w:ascii="David" w:hAnsi="David"/>
          <w:sz w:val="28"/>
          <w:rtl/>
        </w:rPr>
        <w:t>ה ומסערת הרגשות שחוותה בעקבות האירוע.</w:t>
      </w:r>
      <w:r w:rsidR="00D711D1" w:rsidRPr="004D74BF">
        <w:rPr>
          <w:rFonts w:ascii="David" w:hAnsi="David"/>
          <w:sz w:val="28"/>
          <w:rtl/>
        </w:rPr>
        <w:t xml:space="preserve"> </w:t>
      </w:r>
      <w:r w:rsidR="005F5635">
        <w:rPr>
          <w:rFonts w:ascii="David" w:hAnsi="David" w:hint="cs"/>
          <w:sz w:val="28"/>
          <w:rtl/>
        </w:rPr>
        <w:t xml:space="preserve">עוד נדחו טענות ההגנה בנוגע לסבירות גרסתה של נפגעת העבירה וכן נקבע כי </w:t>
      </w:r>
      <w:r w:rsidR="00A532AC">
        <w:rPr>
          <w:rFonts w:ascii="David" w:hAnsi="David" w:hint="cs"/>
          <w:sz w:val="28"/>
          <w:rtl/>
        </w:rPr>
        <w:t xml:space="preserve">חיזוק נוסף בנסיבות העניין נעוץ בהעדר מניע </w:t>
      </w:r>
      <w:r w:rsidR="00D711D1" w:rsidRPr="004D74BF">
        <w:rPr>
          <w:rFonts w:ascii="David" w:hAnsi="David"/>
          <w:sz w:val="28"/>
          <w:rtl/>
        </w:rPr>
        <w:t>ל</w:t>
      </w:r>
      <w:r w:rsidR="00871445" w:rsidRPr="004D74BF">
        <w:rPr>
          <w:rFonts w:ascii="David" w:hAnsi="David"/>
          <w:sz w:val="28"/>
          <w:rtl/>
        </w:rPr>
        <w:t>נפגעת העבירה</w:t>
      </w:r>
      <w:r w:rsidR="00D711D1" w:rsidRPr="004D74BF">
        <w:rPr>
          <w:rFonts w:ascii="David" w:hAnsi="David"/>
          <w:sz w:val="28"/>
          <w:rtl/>
        </w:rPr>
        <w:t xml:space="preserve"> לטפול אשמת שווא על המערער</w:t>
      </w:r>
      <w:r w:rsidR="00675F3D">
        <w:rPr>
          <w:rFonts w:ascii="David" w:hAnsi="David" w:hint="cs"/>
          <w:sz w:val="28"/>
          <w:rtl/>
        </w:rPr>
        <w:t>,</w:t>
      </w:r>
      <w:r w:rsidR="00D711D1" w:rsidRPr="004D74BF">
        <w:rPr>
          <w:rFonts w:ascii="David" w:hAnsi="David"/>
          <w:sz w:val="28"/>
          <w:rtl/>
        </w:rPr>
        <w:t xml:space="preserve"> </w:t>
      </w:r>
      <w:r w:rsidR="00675F3D">
        <w:rPr>
          <w:rFonts w:ascii="David" w:hAnsi="David" w:hint="cs"/>
          <w:sz w:val="28"/>
          <w:rtl/>
        </w:rPr>
        <w:t xml:space="preserve">לצד </w:t>
      </w:r>
      <w:r w:rsidR="00675F3D" w:rsidRPr="004D74BF">
        <w:rPr>
          <w:rFonts w:ascii="David" w:hAnsi="David"/>
          <w:sz w:val="28"/>
          <w:rtl/>
        </w:rPr>
        <w:t xml:space="preserve">התלבטותה </w:t>
      </w:r>
      <w:r w:rsidR="00D711D1" w:rsidRPr="004D74BF">
        <w:rPr>
          <w:rFonts w:ascii="David" w:hAnsi="David"/>
          <w:sz w:val="28"/>
          <w:rtl/>
        </w:rPr>
        <w:t>הראשונית בעניין הגשת תלונה.</w:t>
      </w:r>
      <w:r w:rsidR="00727A7B" w:rsidRPr="004D74BF">
        <w:rPr>
          <w:rFonts w:ascii="David" w:hAnsi="David"/>
          <w:sz w:val="28"/>
          <w:rtl/>
        </w:rPr>
        <w:t xml:space="preserve"> </w:t>
      </w:r>
    </w:p>
    <w:p w14:paraId="3E91BD9B" w14:textId="405AA774" w:rsidR="00C52527" w:rsidRPr="00F41C19" w:rsidRDefault="007175D4" w:rsidP="00F41C19">
      <w:pPr>
        <w:pStyle w:val="ListParagraph"/>
        <w:numPr>
          <w:ilvl w:val="0"/>
          <w:numId w:val="1"/>
        </w:numPr>
        <w:rPr>
          <w:rFonts w:ascii="David" w:hAnsi="David"/>
          <w:sz w:val="28"/>
        </w:rPr>
      </w:pPr>
      <w:r w:rsidRPr="00227D59">
        <w:rPr>
          <w:rFonts w:ascii="David" w:hAnsi="David"/>
          <w:sz w:val="28"/>
          <w:rtl/>
        </w:rPr>
        <w:t xml:space="preserve">גרסת המערער לעומת זאת לא זכתה לאמון. </w:t>
      </w:r>
      <w:r w:rsidR="00A532AC" w:rsidRPr="00227D59">
        <w:rPr>
          <w:rFonts w:ascii="David" w:hAnsi="David" w:hint="cs"/>
          <w:sz w:val="28"/>
          <w:rtl/>
        </w:rPr>
        <w:t xml:space="preserve">בית הדין קמא התרשם כי </w:t>
      </w:r>
      <w:r w:rsidRPr="00227D59">
        <w:rPr>
          <w:rFonts w:ascii="David" w:hAnsi="David"/>
          <w:sz w:val="28"/>
          <w:rtl/>
        </w:rPr>
        <w:t>היא ה</w:t>
      </w:r>
      <w:r w:rsidR="00370A9C" w:rsidRPr="00227D59">
        <w:rPr>
          <w:rFonts w:ascii="David" w:hAnsi="David" w:hint="cs"/>
          <w:sz w:val="28"/>
          <w:rtl/>
        </w:rPr>
        <w:t>י</w:t>
      </w:r>
      <w:r w:rsidRPr="00227D59">
        <w:rPr>
          <w:rFonts w:ascii="David" w:hAnsi="David"/>
          <w:sz w:val="28"/>
          <w:rtl/>
        </w:rPr>
        <w:t xml:space="preserve">יתה </w:t>
      </w:r>
      <w:r w:rsidR="0058798C" w:rsidRPr="00227D59">
        <w:rPr>
          <w:rFonts w:ascii="David" w:hAnsi="David"/>
          <w:sz w:val="28"/>
          <w:rtl/>
        </w:rPr>
        <w:t xml:space="preserve">דלה ומצומצמת, וכי ביחס להיבטים הנוגעים לאירוע השני </w:t>
      </w:r>
      <w:r w:rsidR="00370A9C" w:rsidRPr="00227D59">
        <w:rPr>
          <w:rFonts w:ascii="David" w:hAnsi="David" w:hint="cs"/>
          <w:sz w:val="28"/>
          <w:rtl/>
        </w:rPr>
        <w:t>היא נטולת הגיון</w:t>
      </w:r>
      <w:r w:rsidR="0058798C" w:rsidRPr="00F41C19">
        <w:rPr>
          <w:rFonts w:ascii="David" w:hAnsi="David"/>
          <w:sz w:val="28"/>
          <w:rtl/>
        </w:rPr>
        <w:t xml:space="preserve"> ואינה מתיישבת עם </w:t>
      </w:r>
      <w:r w:rsidR="003244F8" w:rsidRPr="00F41C19">
        <w:rPr>
          <w:rFonts w:ascii="David" w:hAnsi="David"/>
          <w:sz w:val="28"/>
          <w:rtl/>
        </w:rPr>
        <w:t xml:space="preserve">ראיות נוספות שהובאו. כך </w:t>
      </w:r>
      <w:r w:rsidR="00490D60" w:rsidRPr="00F41C19">
        <w:rPr>
          <w:rFonts w:ascii="David" w:hAnsi="David" w:hint="cs"/>
          <w:sz w:val="28"/>
          <w:rtl/>
        </w:rPr>
        <w:t xml:space="preserve">נקבע </w:t>
      </w:r>
      <w:r w:rsidR="003244F8" w:rsidRPr="00F41C19">
        <w:rPr>
          <w:rFonts w:ascii="David" w:hAnsi="David"/>
          <w:sz w:val="28"/>
          <w:rtl/>
        </w:rPr>
        <w:t>למשל, באשר לטענתו ש</w:t>
      </w:r>
      <w:r w:rsidR="00490D60" w:rsidRPr="00F41C19">
        <w:rPr>
          <w:rFonts w:ascii="David" w:hAnsi="David" w:hint="cs"/>
          <w:sz w:val="28"/>
          <w:rtl/>
        </w:rPr>
        <w:t xml:space="preserve">ל המערער שרס"ל </w:t>
      </w:r>
      <w:r w:rsidR="003244F8" w:rsidRPr="00F41C19">
        <w:rPr>
          <w:rFonts w:ascii="David" w:hAnsi="David"/>
          <w:sz w:val="28"/>
          <w:rtl/>
        </w:rPr>
        <w:t xml:space="preserve">ליעד נכח לצידו לכל אורך האירוע השני, </w:t>
      </w:r>
      <w:r w:rsidR="00490D60" w:rsidRPr="00F41C19">
        <w:rPr>
          <w:rFonts w:ascii="David" w:hAnsi="David" w:hint="cs"/>
          <w:sz w:val="28"/>
          <w:rtl/>
        </w:rPr>
        <w:t xml:space="preserve">בעוד שרס"ל ליעד לא אישר את הדברים על אף רצונו להיטיב עם המערער. </w:t>
      </w:r>
      <w:r w:rsidR="00CF7B5B" w:rsidRPr="00F41C19">
        <w:rPr>
          <w:rFonts w:ascii="David" w:hAnsi="David" w:hint="cs"/>
          <w:sz w:val="28"/>
          <w:rtl/>
        </w:rPr>
        <w:t>כן עמד בית הדין על כך שבמהלך העימות אישר המערער למעשה כי רס"ל ליעד לא היה במקום כל העת, ו</w:t>
      </w:r>
      <w:r w:rsidR="00675F3D" w:rsidRPr="00F41C19">
        <w:rPr>
          <w:rFonts w:ascii="David" w:hAnsi="David" w:hint="cs"/>
          <w:sz w:val="28"/>
          <w:rtl/>
        </w:rPr>
        <w:t xml:space="preserve">אילו </w:t>
      </w:r>
      <w:r w:rsidR="00CF7B5B" w:rsidRPr="00F41C19">
        <w:rPr>
          <w:rFonts w:ascii="David" w:hAnsi="David" w:hint="cs"/>
          <w:sz w:val="28"/>
          <w:rtl/>
        </w:rPr>
        <w:t xml:space="preserve">במהלך עדותו בבית הדין לא </w:t>
      </w:r>
      <w:r w:rsidR="001D1F3C" w:rsidRPr="00F41C19">
        <w:rPr>
          <w:rFonts w:ascii="David" w:hAnsi="David" w:hint="cs"/>
          <w:sz w:val="28"/>
          <w:rtl/>
        </w:rPr>
        <w:t>הצליח להסביר את השוני בגרסה ותלה זאת בלחץ שחש במהלך העימות</w:t>
      </w:r>
      <w:r w:rsidR="00227D59" w:rsidRPr="00F41C19">
        <w:rPr>
          <w:rFonts w:ascii="David" w:hAnsi="David" w:hint="cs"/>
          <w:sz w:val="28"/>
          <w:rtl/>
        </w:rPr>
        <w:t xml:space="preserve">. </w:t>
      </w:r>
    </w:p>
    <w:p w14:paraId="7823B640" w14:textId="77777777" w:rsidR="00FC39ED" w:rsidRPr="00227D59" w:rsidRDefault="00227D59" w:rsidP="002C0946">
      <w:pPr>
        <w:pStyle w:val="ListParagraph"/>
        <w:numPr>
          <w:ilvl w:val="0"/>
          <w:numId w:val="1"/>
        </w:numPr>
        <w:rPr>
          <w:rFonts w:ascii="David" w:hAnsi="David"/>
          <w:sz w:val="28"/>
        </w:rPr>
      </w:pPr>
      <w:r w:rsidRPr="00227D59">
        <w:rPr>
          <w:rFonts w:ascii="David" w:hAnsi="David" w:hint="cs"/>
          <w:sz w:val="28"/>
          <w:rtl/>
        </w:rPr>
        <w:t xml:space="preserve">בית הדין </w:t>
      </w:r>
      <w:r w:rsidR="00D96BF1">
        <w:rPr>
          <w:rFonts w:ascii="David" w:hAnsi="David" w:hint="cs"/>
          <w:sz w:val="28"/>
          <w:rtl/>
        </w:rPr>
        <w:t xml:space="preserve">מנה גם </w:t>
      </w:r>
      <w:r w:rsidRPr="00227D59">
        <w:rPr>
          <w:rFonts w:ascii="David" w:hAnsi="David" w:hint="cs"/>
          <w:sz w:val="28"/>
          <w:rtl/>
        </w:rPr>
        <w:t xml:space="preserve">קשיים נוספים בגרסתו של המערער כגון - </w:t>
      </w:r>
      <w:r w:rsidR="00024AC8" w:rsidRPr="00227D59">
        <w:rPr>
          <w:rFonts w:ascii="David" w:hAnsi="David"/>
          <w:sz w:val="28"/>
          <w:rtl/>
        </w:rPr>
        <w:t>חוסר יכולתו להסביר את תגובתה של נפגעת העבירה</w:t>
      </w:r>
      <w:r>
        <w:rPr>
          <w:rFonts w:ascii="David" w:hAnsi="David" w:hint="cs"/>
          <w:sz w:val="28"/>
          <w:rtl/>
        </w:rPr>
        <w:t>,</w:t>
      </w:r>
      <w:r w:rsidR="00024AC8" w:rsidRPr="00227D59">
        <w:rPr>
          <w:rFonts w:ascii="David" w:hAnsi="David"/>
          <w:sz w:val="28"/>
          <w:rtl/>
        </w:rPr>
        <w:t xml:space="preserve"> ששלחה לו כאמור הודעה מלאת כעס לאחר המפגש באירוע השני; </w:t>
      </w:r>
      <w:r w:rsidR="00264F35" w:rsidRPr="00227D59">
        <w:rPr>
          <w:rFonts w:ascii="David" w:hAnsi="David"/>
          <w:sz w:val="28"/>
          <w:rtl/>
        </w:rPr>
        <w:t>ה</w:t>
      </w:r>
      <w:r w:rsidR="00C52527">
        <w:rPr>
          <w:rFonts w:ascii="David" w:hAnsi="David" w:hint="cs"/>
          <w:sz w:val="28"/>
          <w:rtl/>
        </w:rPr>
        <w:t>עלאת ה</w:t>
      </w:r>
      <w:r w:rsidR="00264F35" w:rsidRPr="00227D59">
        <w:rPr>
          <w:rFonts w:ascii="David" w:hAnsi="David"/>
          <w:sz w:val="28"/>
          <w:rtl/>
        </w:rPr>
        <w:t xml:space="preserve">טענה כי חשב שנפגעת העבירה כעסה עליו אחרי האירוע השני </w:t>
      </w:r>
      <w:r w:rsidR="00C52527">
        <w:rPr>
          <w:rFonts w:ascii="David" w:hAnsi="David" w:hint="cs"/>
          <w:sz w:val="28"/>
          <w:rtl/>
        </w:rPr>
        <w:t xml:space="preserve">מפני שסירב לבקשתה שייקח אותה לאכול, בעוד שהיא לא הגיבה באופן דומה כלפי רס"ל ליעד שסירב אף הוא לבקשתה; </w:t>
      </w:r>
      <w:r w:rsidR="00D96D8D" w:rsidRPr="00227D59">
        <w:rPr>
          <w:rFonts w:ascii="David" w:hAnsi="David"/>
          <w:sz w:val="28"/>
          <w:rtl/>
        </w:rPr>
        <w:t xml:space="preserve">העדר יכולת להסביר מדוע תעליל עליו </w:t>
      </w:r>
      <w:r w:rsidR="00675F3D">
        <w:rPr>
          <w:rFonts w:ascii="David" w:hAnsi="David" w:hint="cs"/>
          <w:sz w:val="28"/>
          <w:rtl/>
        </w:rPr>
        <w:t>ה</w:t>
      </w:r>
      <w:r w:rsidR="00D96D8D" w:rsidRPr="00227D59">
        <w:rPr>
          <w:rFonts w:ascii="David" w:hAnsi="David"/>
          <w:sz w:val="28"/>
          <w:rtl/>
        </w:rPr>
        <w:t xml:space="preserve">נפגעת עלילת שווא, </w:t>
      </w:r>
      <w:r w:rsidR="00687DA5" w:rsidRPr="00227D59">
        <w:rPr>
          <w:rFonts w:ascii="David" w:hAnsi="David"/>
          <w:sz w:val="28"/>
          <w:rtl/>
        </w:rPr>
        <w:t>וניסיון לתלות זאת</w:t>
      </w:r>
      <w:r w:rsidR="00675F3D">
        <w:rPr>
          <w:rFonts w:ascii="David" w:hAnsi="David" w:hint="cs"/>
          <w:sz w:val="28"/>
          <w:rtl/>
        </w:rPr>
        <w:t>,</w:t>
      </w:r>
      <w:r w:rsidR="00687DA5" w:rsidRPr="00227D59">
        <w:rPr>
          <w:rFonts w:ascii="David" w:hAnsi="David"/>
          <w:sz w:val="28"/>
          <w:rtl/>
        </w:rPr>
        <w:t xml:space="preserve"> בלשון רפה</w:t>
      </w:r>
      <w:r w:rsidR="00675F3D">
        <w:rPr>
          <w:rFonts w:ascii="David" w:hAnsi="David" w:hint="cs"/>
          <w:sz w:val="28"/>
          <w:rtl/>
        </w:rPr>
        <w:t>,</w:t>
      </w:r>
      <w:r w:rsidR="00687DA5" w:rsidRPr="00227D59">
        <w:rPr>
          <w:rFonts w:ascii="David" w:hAnsi="David"/>
          <w:sz w:val="28"/>
          <w:rtl/>
        </w:rPr>
        <w:t xml:space="preserve"> ב</w:t>
      </w:r>
      <w:r w:rsidR="00675F3D">
        <w:rPr>
          <w:rFonts w:ascii="David" w:hAnsi="David" w:hint="cs"/>
          <w:sz w:val="28"/>
          <w:rtl/>
        </w:rPr>
        <w:t>"</w:t>
      </w:r>
      <w:r w:rsidR="00687DA5" w:rsidRPr="00227D59">
        <w:rPr>
          <w:rFonts w:ascii="David" w:hAnsi="David"/>
          <w:sz w:val="28"/>
          <w:rtl/>
        </w:rPr>
        <w:t>גזענות</w:t>
      </w:r>
      <w:r w:rsidR="00675F3D">
        <w:rPr>
          <w:rFonts w:ascii="David" w:hAnsi="David" w:hint="cs"/>
          <w:sz w:val="28"/>
          <w:rtl/>
        </w:rPr>
        <w:t>"</w:t>
      </w:r>
      <w:r w:rsidR="00687DA5" w:rsidRPr="00227D59">
        <w:rPr>
          <w:rFonts w:ascii="David" w:hAnsi="David"/>
          <w:sz w:val="28"/>
          <w:rtl/>
        </w:rPr>
        <w:t xml:space="preserve"> שלה כלפיו; מחיקת התכתובות בינו לבין נפגעת העבירה</w:t>
      </w:r>
      <w:r w:rsidR="00442F75" w:rsidRPr="00227D59">
        <w:rPr>
          <w:rFonts w:ascii="David" w:hAnsi="David"/>
          <w:sz w:val="28"/>
          <w:rtl/>
        </w:rPr>
        <w:t xml:space="preserve"> אשר מעלה, כך נקבע "תהיות ממשיות" באשר לבחירתו לפעול באופן זה; וכן התנהלותו לקראת </w:t>
      </w:r>
      <w:r w:rsidR="00442F75" w:rsidRPr="00227D59">
        <w:rPr>
          <w:rFonts w:ascii="David" w:hAnsi="David"/>
          <w:sz w:val="28"/>
          <w:rtl/>
        </w:rPr>
        <w:lastRenderedPageBreak/>
        <w:t xml:space="preserve">החקירה, כאשר פנה לנפגעת העבירה בהודעה </w:t>
      </w:r>
      <w:r w:rsidR="00765879">
        <w:rPr>
          <w:rFonts w:ascii="David" w:hAnsi="David" w:hint="cs"/>
          <w:sz w:val="28"/>
          <w:rtl/>
        </w:rPr>
        <w:t>(שאותה מחק לאחר מכן)</w:t>
      </w:r>
      <w:r w:rsidR="00765879">
        <w:rPr>
          <w:rFonts w:ascii="David" w:hAnsi="David"/>
          <w:sz w:val="28"/>
        </w:rPr>
        <w:t xml:space="preserve"> </w:t>
      </w:r>
      <w:r w:rsidR="00442F75" w:rsidRPr="00227D59">
        <w:rPr>
          <w:rFonts w:ascii="David" w:hAnsi="David"/>
          <w:sz w:val="28"/>
          <w:rtl/>
        </w:rPr>
        <w:t>וביקש ממנה לחזור אליו בדחיפות</w:t>
      </w:r>
      <w:r w:rsidR="0094011E" w:rsidRPr="00227D59">
        <w:rPr>
          <w:rFonts w:ascii="David" w:hAnsi="David"/>
          <w:sz w:val="28"/>
          <w:rtl/>
        </w:rPr>
        <w:t>. נקבע אפוא כי המערער</w:t>
      </w:r>
      <w:r w:rsidR="005E3DC3" w:rsidRPr="00227D59">
        <w:rPr>
          <w:rFonts w:ascii="David" w:hAnsi="David"/>
          <w:sz w:val="28"/>
          <w:rtl/>
        </w:rPr>
        <w:t xml:space="preserve"> מסר "גרסת הכחשה מצומצמת, חזר עלי</w:t>
      </w:r>
      <w:r w:rsidR="00675F3D">
        <w:rPr>
          <w:rFonts w:ascii="David" w:hAnsi="David" w:hint="cs"/>
          <w:sz w:val="28"/>
          <w:rtl/>
        </w:rPr>
        <w:t>ה</w:t>
      </w:r>
      <w:r w:rsidR="005E3DC3" w:rsidRPr="00227D59">
        <w:rPr>
          <w:rFonts w:ascii="David" w:hAnsi="David"/>
          <w:sz w:val="28"/>
          <w:rtl/>
        </w:rPr>
        <w:t xml:space="preserve"> בדווקנות ולא ניסה להתמודד עם הקשיים שהגרסה העלתה או עם ההיבטים החיצוניים אשר לא התיישבו </w:t>
      </w:r>
      <w:r w:rsidR="00675F3D">
        <w:rPr>
          <w:rFonts w:ascii="David" w:hAnsi="David" w:hint="cs"/>
          <w:sz w:val="28"/>
          <w:rtl/>
        </w:rPr>
        <w:t xml:space="preserve">עם </w:t>
      </w:r>
      <w:r w:rsidR="005E3DC3" w:rsidRPr="00227D59">
        <w:rPr>
          <w:rFonts w:ascii="David" w:hAnsi="David"/>
          <w:sz w:val="28"/>
          <w:rtl/>
        </w:rPr>
        <w:t>גרסתו</w:t>
      </w:r>
      <w:r w:rsidR="00FC39ED" w:rsidRPr="00227D59">
        <w:rPr>
          <w:rFonts w:ascii="David" w:hAnsi="David"/>
          <w:sz w:val="28"/>
          <w:rtl/>
        </w:rPr>
        <w:t xml:space="preserve">". </w:t>
      </w:r>
    </w:p>
    <w:p w14:paraId="0D13B861" w14:textId="77777777" w:rsidR="0043025A" w:rsidRPr="004D74BF" w:rsidRDefault="00FC39ED" w:rsidP="002C0946">
      <w:pPr>
        <w:pStyle w:val="ListParagraph"/>
        <w:numPr>
          <w:ilvl w:val="0"/>
          <w:numId w:val="1"/>
        </w:numPr>
        <w:rPr>
          <w:rFonts w:ascii="David" w:hAnsi="David"/>
          <w:sz w:val="28"/>
        </w:rPr>
      </w:pPr>
      <w:r w:rsidRPr="004D74BF">
        <w:rPr>
          <w:rFonts w:ascii="David" w:hAnsi="David"/>
          <w:sz w:val="28"/>
          <w:rtl/>
        </w:rPr>
        <w:t>לאור האמור נקבעו ממצאי העובדה בהתאם לעדות נפגעת העבירה</w:t>
      </w:r>
      <w:r w:rsidR="00990475" w:rsidRPr="004D74BF">
        <w:rPr>
          <w:rFonts w:ascii="David" w:hAnsi="David"/>
          <w:sz w:val="28"/>
          <w:rtl/>
        </w:rPr>
        <w:t>, ולאחר שנקבע כי מעשיו של המערער מבססים את היסודות של עבירת המעשה המגונה הוא הורשע ב</w:t>
      </w:r>
      <w:r w:rsidR="00A653ED">
        <w:rPr>
          <w:rFonts w:ascii="David" w:hAnsi="David" w:hint="cs"/>
          <w:sz w:val="28"/>
          <w:rtl/>
        </w:rPr>
        <w:t xml:space="preserve">שתי עבירות של מעשה מגונה </w:t>
      </w:r>
      <w:r w:rsidR="00576A03" w:rsidRPr="004D74BF">
        <w:rPr>
          <w:rFonts w:ascii="David" w:hAnsi="David"/>
          <w:sz w:val="28"/>
          <w:rtl/>
        </w:rPr>
        <w:t>ובעבירה של התנהגות שאינה הולמת הנגזרת ממעמדו ומדרגתו</w:t>
      </w:r>
      <w:r w:rsidR="00990475" w:rsidRPr="004D74BF">
        <w:rPr>
          <w:rFonts w:ascii="David" w:hAnsi="David"/>
          <w:sz w:val="28"/>
          <w:rtl/>
        </w:rPr>
        <w:t xml:space="preserve">. לצד זאת זוכה </w:t>
      </w:r>
      <w:r w:rsidR="00174B05">
        <w:rPr>
          <w:rFonts w:ascii="David" w:hAnsi="David" w:hint="cs"/>
          <w:sz w:val="28"/>
          <w:rtl/>
        </w:rPr>
        <w:t xml:space="preserve">המערער </w:t>
      </w:r>
      <w:r w:rsidR="00990475" w:rsidRPr="004D74BF">
        <w:rPr>
          <w:rFonts w:ascii="David" w:hAnsi="David"/>
          <w:sz w:val="28"/>
          <w:rtl/>
        </w:rPr>
        <w:t xml:space="preserve">מהעבירה שעניינה שיבוש מהלכי משפט, בגין מחיקת תכתובות </w:t>
      </w:r>
      <w:proofErr w:type="spellStart"/>
      <w:r w:rsidR="00675F3D">
        <w:rPr>
          <w:rFonts w:ascii="David" w:hAnsi="David" w:hint="cs"/>
          <w:sz w:val="28"/>
          <w:rtl/>
        </w:rPr>
        <w:t>ה</w:t>
      </w:r>
      <w:r w:rsidR="00990475" w:rsidRPr="004D74BF">
        <w:rPr>
          <w:rFonts w:ascii="David" w:hAnsi="David"/>
          <w:sz w:val="28"/>
          <w:rtl/>
        </w:rPr>
        <w:t>"ווטסאפ</w:t>
      </w:r>
      <w:proofErr w:type="spellEnd"/>
      <w:r w:rsidR="00990475" w:rsidRPr="004D74BF">
        <w:rPr>
          <w:rFonts w:ascii="David" w:hAnsi="David"/>
          <w:sz w:val="28"/>
          <w:rtl/>
        </w:rPr>
        <w:t xml:space="preserve">" בינו לבין נפגעת העבירה, תוך שנקבע כי </w:t>
      </w:r>
      <w:r w:rsidR="00174B05">
        <w:rPr>
          <w:rFonts w:ascii="David" w:hAnsi="David" w:hint="cs"/>
          <w:sz w:val="28"/>
          <w:rtl/>
        </w:rPr>
        <w:t xml:space="preserve">גרסתו </w:t>
      </w:r>
      <w:r w:rsidR="00675F3D">
        <w:rPr>
          <w:rFonts w:ascii="David" w:hAnsi="David" w:hint="cs"/>
          <w:sz w:val="28"/>
          <w:rtl/>
        </w:rPr>
        <w:t>ש</w:t>
      </w:r>
      <w:r w:rsidR="00174B05">
        <w:rPr>
          <w:rFonts w:ascii="David" w:hAnsi="David" w:hint="cs"/>
          <w:sz w:val="28"/>
          <w:rtl/>
        </w:rPr>
        <w:t xml:space="preserve">לפיה הוא נוהג </w:t>
      </w:r>
      <w:r w:rsidR="00BF2E74" w:rsidRPr="004D74BF">
        <w:rPr>
          <w:rFonts w:ascii="David" w:hAnsi="David"/>
          <w:sz w:val="28"/>
          <w:rtl/>
        </w:rPr>
        <w:t xml:space="preserve">תדיר למחוק תכתובות עם מי </w:t>
      </w:r>
      <w:r w:rsidR="00675F3D">
        <w:rPr>
          <w:rFonts w:ascii="David" w:hAnsi="David" w:hint="cs"/>
          <w:sz w:val="28"/>
          <w:rtl/>
        </w:rPr>
        <w:t xml:space="preserve">שאינו </w:t>
      </w:r>
      <w:r w:rsidR="00BF2E74" w:rsidRPr="004D74BF">
        <w:rPr>
          <w:rFonts w:ascii="David" w:hAnsi="David"/>
          <w:sz w:val="28"/>
          <w:rtl/>
        </w:rPr>
        <w:t xml:space="preserve">שומר עמו על קשר, </w:t>
      </w:r>
      <w:r w:rsidR="00174B05">
        <w:rPr>
          <w:rFonts w:ascii="David" w:hAnsi="David" w:hint="cs"/>
          <w:sz w:val="28"/>
          <w:rtl/>
        </w:rPr>
        <w:t xml:space="preserve">לא נבדקה במהלך החקירה, </w:t>
      </w:r>
      <w:r w:rsidR="0009117C">
        <w:rPr>
          <w:rFonts w:ascii="David" w:hAnsi="David" w:hint="cs"/>
          <w:sz w:val="28"/>
          <w:rtl/>
        </w:rPr>
        <w:t xml:space="preserve">ואף לא נבדק האם מועד המחיקה היה בסמוך </w:t>
      </w:r>
      <w:r w:rsidR="00675F3D">
        <w:rPr>
          <w:rFonts w:ascii="David" w:hAnsi="David" w:hint="cs"/>
          <w:sz w:val="28"/>
          <w:rtl/>
        </w:rPr>
        <w:t xml:space="preserve">לזימונו </w:t>
      </w:r>
      <w:r w:rsidR="0009117C">
        <w:rPr>
          <w:rFonts w:ascii="David" w:hAnsi="David" w:hint="cs"/>
          <w:sz w:val="28"/>
          <w:rtl/>
        </w:rPr>
        <w:t xml:space="preserve">לחקירה. </w:t>
      </w:r>
      <w:r w:rsidR="00682A58" w:rsidRPr="004D74BF">
        <w:rPr>
          <w:rFonts w:ascii="David" w:hAnsi="David"/>
          <w:sz w:val="28"/>
          <w:rtl/>
        </w:rPr>
        <w:t>לכן</w:t>
      </w:r>
      <w:r w:rsidR="00675F3D">
        <w:rPr>
          <w:rFonts w:ascii="David" w:hAnsi="David" w:hint="cs"/>
          <w:sz w:val="28"/>
          <w:rtl/>
        </w:rPr>
        <w:t>,</w:t>
      </w:r>
      <w:r w:rsidR="00682A58" w:rsidRPr="004D74BF">
        <w:rPr>
          <w:rFonts w:ascii="David" w:hAnsi="David"/>
          <w:sz w:val="28"/>
          <w:rtl/>
        </w:rPr>
        <w:t xml:space="preserve"> נקבע כי קיים ספק ביחס לכוונת המערער לשבש את החקירה באמצעות המחיקה. </w:t>
      </w:r>
    </w:p>
    <w:p w14:paraId="48950FEB" w14:textId="77777777" w:rsidR="00682A58" w:rsidRPr="00675F3D" w:rsidRDefault="00682A58" w:rsidP="002C0946">
      <w:pPr>
        <w:rPr>
          <w:rFonts w:ascii="David" w:hAnsi="David"/>
          <w:sz w:val="28"/>
          <w:rtl/>
        </w:rPr>
      </w:pPr>
    </w:p>
    <w:p w14:paraId="591B728E" w14:textId="6D04F3E4" w:rsidR="007267BE" w:rsidRDefault="00682A58" w:rsidP="002C0946">
      <w:pPr>
        <w:rPr>
          <w:rFonts w:ascii="David" w:hAnsi="David"/>
          <w:b/>
          <w:bCs/>
          <w:sz w:val="28"/>
          <w:u w:val="single"/>
          <w:rtl/>
        </w:rPr>
      </w:pPr>
      <w:r w:rsidRPr="004D74BF">
        <w:rPr>
          <w:rFonts w:ascii="David" w:hAnsi="David"/>
          <w:b/>
          <w:bCs/>
          <w:sz w:val="28"/>
          <w:u w:val="single"/>
          <w:rtl/>
        </w:rPr>
        <w:t>טיעוני הצדדים</w:t>
      </w:r>
    </w:p>
    <w:p w14:paraId="720D69A3" w14:textId="77777777" w:rsidR="002C0946" w:rsidRPr="002C0946" w:rsidRDefault="002C0946" w:rsidP="002C0946">
      <w:pPr>
        <w:rPr>
          <w:rFonts w:ascii="David" w:hAnsi="David"/>
          <w:b/>
          <w:bCs/>
          <w:sz w:val="8"/>
          <w:szCs w:val="8"/>
          <w:u w:val="single"/>
        </w:rPr>
      </w:pPr>
    </w:p>
    <w:p w14:paraId="0D068E33" w14:textId="77777777" w:rsidR="003619A7" w:rsidRPr="004D74BF" w:rsidRDefault="00D96BF1" w:rsidP="002C0946">
      <w:pPr>
        <w:pStyle w:val="ListParagraph"/>
        <w:numPr>
          <w:ilvl w:val="0"/>
          <w:numId w:val="1"/>
        </w:numPr>
        <w:rPr>
          <w:rFonts w:ascii="David" w:hAnsi="David"/>
          <w:sz w:val="28"/>
        </w:rPr>
      </w:pPr>
      <w:r>
        <w:rPr>
          <w:rFonts w:ascii="David" w:hAnsi="David" w:hint="cs"/>
          <w:sz w:val="28"/>
          <w:rtl/>
        </w:rPr>
        <w:t>ב</w:t>
      </w:r>
      <w:r w:rsidR="00033AB7" w:rsidRPr="004D74BF">
        <w:rPr>
          <w:rFonts w:ascii="David" w:hAnsi="David"/>
          <w:sz w:val="28"/>
          <w:rtl/>
        </w:rPr>
        <w:t>ערעורה</w:t>
      </w:r>
      <w:r>
        <w:rPr>
          <w:rFonts w:ascii="David" w:hAnsi="David" w:hint="cs"/>
          <w:sz w:val="28"/>
          <w:rtl/>
        </w:rPr>
        <w:t xml:space="preserve">, חזרה </w:t>
      </w:r>
      <w:r w:rsidR="00033AB7" w:rsidRPr="004D74BF">
        <w:rPr>
          <w:rFonts w:ascii="David" w:hAnsi="David"/>
          <w:sz w:val="28"/>
          <w:rtl/>
        </w:rPr>
        <w:t xml:space="preserve">ההגנה, </w:t>
      </w:r>
      <w:r w:rsidR="0009117C">
        <w:rPr>
          <w:rFonts w:ascii="David" w:hAnsi="David" w:hint="cs"/>
          <w:sz w:val="28"/>
          <w:rtl/>
        </w:rPr>
        <w:t xml:space="preserve">על </w:t>
      </w:r>
      <w:r w:rsidR="0088037A">
        <w:rPr>
          <w:rFonts w:ascii="David" w:hAnsi="David" w:hint="cs"/>
          <w:sz w:val="28"/>
          <w:rtl/>
        </w:rPr>
        <w:t xml:space="preserve">סיכומיה הכתובים </w:t>
      </w:r>
      <w:r>
        <w:rPr>
          <w:rFonts w:ascii="David" w:hAnsi="David" w:hint="cs"/>
          <w:sz w:val="28"/>
          <w:rtl/>
        </w:rPr>
        <w:t>שהוצגו ב</w:t>
      </w:r>
      <w:r w:rsidR="0088037A">
        <w:rPr>
          <w:rFonts w:ascii="David" w:hAnsi="David" w:hint="cs"/>
          <w:sz w:val="28"/>
          <w:rtl/>
        </w:rPr>
        <w:t>בית הדין קמא, ובמסגרתו הופנו חיצי</w:t>
      </w:r>
      <w:r>
        <w:rPr>
          <w:rFonts w:ascii="David" w:hAnsi="David" w:hint="cs"/>
          <w:sz w:val="28"/>
          <w:rtl/>
        </w:rPr>
        <w:t>ה</w:t>
      </w:r>
      <w:r w:rsidR="0088037A">
        <w:rPr>
          <w:rFonts w:ascii="David" w:hAnsi="David" w:hint="cs"/>
          <w:sz w:val="28"/>
          <w:rtl/>
        </w:rPr>
        <w:t xml:space="preserve"> בעיקר ל</w:t>
      </w:r>
      <w:r w:rsidR="009E4A61" w:rsidRPr="004D74BF">
        <w:rPr>
          <w:rFonts w:ascii="David" w:hAnsi="David"/>
          <w:sz w:val="28"/>
          <w:rtl/>
        </w:rPr>
        <w:t>עדות נפגעת העבירה</w:t>
      </w:r>
      <w:r w:rsidR="009422BE">
        <w:rPr>
          <w:rFonts w:ascii="David" w:hAnsi="David" w:hint="cs"/>
          <w:sz w:val="28"/>
          <w:rtl/>
        </w:rPr>
        <w:t xml:space="preserve">. נטען, כי </w:t>
      </w:r>
      <w:r w:rsidR="001C5ED6" w:rsidRPr="004D74BF">
        <w:rPr>
          <w:rFonts w:ascii="David" w:hAnsi="David"/>
          <w:sz w:val="28"/>
          <w:rtl/>
        </w:rPr>
        <w:t>מדובר בעדות יחידה, ש</w:t>
      </w:r>
      <w:r w:rsidR="009E4A61" w:rsidRPr="004D74BF">
        <w:rPr>
          <w:rFonts w:ascii="David" w:hAnsi="David"/>
          <w:sz w:val="28"/>
          <w:rtl/>
        </w:rPr>
        <w:t>נמצאו בה סתירות רבות</w:t>
      </w:r>
      <w:r w:rsidR="00AE22E0" w:rsidRPr="004D74BF">
        <w:rPr>
          <w:rFonts w:ascii="David" w:hAnsi="David"/>
          <w:sz w:val="28"/>
          <w:rtl/>
        </w:rPr>
        <w:t xml:space="preserve"> היורדות לשורשם של דברים ופוגעות בליבת העדות, באופן שאינו מאפשר </w:t>
      </w:r>
      <w:r w:rsidR="001C5ED6" w:rsidRPr="004D74BF">
        <w:rPr>
          <w:rFonts w:ascii="David" w:hAnsi="David"/>
          <w:sz w:val="28"/>
          <w:rtl/>
        </w:rPr>
        <w:t xml:space="preserve">לסמוך על גרסתה </w:t>
      </w:r>
      <w:r w:rsidR="00B856C5">
        <w:rPr>
          <w:rFonts w:ascii="David" w:hAnsi="David" w:hint="cs"/>
          <w:sz w:val="28"/>
          <w:rtl/>
        </w:rPr>
        <w:t xml:space="preserve">של הנפגעת </w:t>
      </w:r>
      <w:r w:rsidR="001C5ED6" w:rsidRPr="004D74BF">
        <w:rPr>
          <w:rFonts w:ascii="David" w:hAnsi="David"/>
          <w:sz w:val="28"/>
          <w:rtl/>
        </w:rPr>
        <w:t>ולקבוע על פיה כי אשמתו של המערער הוכחה מעבר לספק סבי</w:t>
      </w:r>
      <w:r w:rsidR="00262979">
        <w:rPr>
          <w:rFonts w:ascii="David" w:hAnsi="David" w:hint="cs"/>
          <w:sz w:val="28"/>
          <w:rtl/>
        </w:rPr>
        <w:t>ר</w:t>
      </w:r>
      <w:r w:rsidR="00B856C5">
        <w:rPr>
          <w:rFonts w:ascii="David" w:hAnsi="David" w:hint="cs"/>
          <w:sz w:val="28"/>
          <w:rtl/>
        </w:rPr>
        <w:t xml:space="preserve">. </w:t>
      </w:r>
      <w:r w:rsidR="00262979">
        <w:rPr>
          <w:rFonts w:ascii="David" w:hAnsi="David" w:hint="cs"/>
          <w:sz w:val="28"/>
          <w:rtl/>
        </w:rPr>
        <w:t>ההגנה תלתה את המניע להגשת התלונה באכזבה ש</w:t>
      </w:r>
      <w:r w:rsidR="00B856C5">
        <w:rPr>
          <w:rFonts w:ascii="David" w:hAnsi="David" w:hint="cs"/>
          <w:sz w:val="28"/>
          <w:rtl/>
        </w:rPr>
        <w:t xml:space="preserve">הנפגעת </w:t>
      </w:r>
      <w:r w:rsidR="00262979">
        <w:rPr>
          <w:rFonts w:ascii="David" w:hAnsi="David" w:hint="cs"/>
          <w:sz w:val="28"/>
          <w:rtl/>
        </w:rPr>
        <w:t xml:space="preserve">חשה מהמערער, לאחר שהוא החל להתרחק ממנה בסמוך לאירוע השני, לאחר שקודם לכן היו הוא ורס"ל ליעד חבריה </w:t>
      </w:r>
      <w:r w:rsidR="007A3A08">
        <w:rPr>
          <w:rFonts w:ascii="David" w:hAnsi="David" w:hint="cs"/>
          <w:sz w:val="28"/>
          <w:rtl/>
        </w:rPr>
        <w:t xml:space="preserve">היחידים בבסיס שבו חשה בודדה. </w:t>
      </w:r>
    </w:p>
    <w:p w14:paraId="4F8A017C" w14:textId="77777777" w:rsidR="00BB3CE6" w:rsidRDefault="006C4E31" w:rsidP="002C0946">
      <w:pPr>
        <w:pStyle w:val="ListParagraph"/>
        <w:numPr>
          <w:ilvl w:val="0"/>
          <w:numId w:val="1"/>
        </w:numPr>
        <w:rPr>
          <w:rFonts w:ascii="David" w:hAnsi="David"/>
          <w:sz w:val="28"/>
        </w:rPr>
      </w:pPr>
      <w:r w:rsidRPr="004D74BF">
        <w:rPr>
          <w:rFonts w:ascii="David" w:hAnsi="David"/>
          <w:sz w:val="28"/>
          <w:rtl/>
        </w:rPr>
        <w:t xml:space="preserve"> </w:t>
      </w:r>
      <w:r w:rsidR="00CD2353">
        <w:rPr>
          <w:rFonts w:ascii="David" w:hAnsi="David" w:hint="cs"/>
          <w:sz w:val="28"/>
          <w:rtl/>
        </w:rPr>
        <w:t xml:space="preserve">ההגנה הפנתה למספר סתירות שהתגלעו, כנטען, בין עדותה של נפגעת העבירה במצ"ח לבין עדותה בבית הדין: </w:t>
      </w:r>
      <w:r w:rsidR="00B66DAE" w:rsidRPr="004D74BF">
        <w:rPr>
          <w:rFonts w:ascii="David" w:hAnsi="David"/>
          <w:sz w:val="28"/>
          <w:rtl/>
        </w:rPr>
        <w:t>האם הצטרפה לנסיע</w:t>
      </w:r>
      <w:r w:rsidR="00D42C8A" w:rsidRPr="004D74BF">
        <w:rPr>
          <w:rFonts w:ascii="David" w:hAnsi="David"/>
          <w:sz w:val="28"/>
          <w:rtl/>
        </w:rPr>
        <w:t>ת החילוץ</w:t>
      </w:r>
      <w:r w:rsidR="00B66DAE" w:rsidRPr="004D74BF">
        <w:rPr>
          <w:rFonts w:ascii="David" w:hAnsi="David"/>
          <w:sz w:val="28"/>
          <w:rtl/>
        </w:rPr>
        <w:t xml:space="preserve"> באירוע הראשון במסגרת חובתה הצבאית או </w:t>
      </w:r>
      <w:r w:rsidR="00FA40EB" w:rsidRPr="004D74BF">
        <w:rPr>
          <w:rFonts w:ascii="David" w:hAnsi="David"/>
          <w:sz w:val="28"/>
          <w:rtl/>
        </w:rPr>
        <w:t>שלא הי</w:t>
      </w:r>
      <w:r w:rsidR="00D96BF1">
        <w:rPr>
          <w:rFonts w:ascii="David" w:hAnsi="David" w:hint="cs"/>
          <w:sz w:val="28"/>
          <w:rtl/>
        </w:rPr>
        <w:t>י</w:t>
      </w:r>
      <w:r w:rsidR="00FA40EB" w:rsidRPr="004D74BF">
        <w:rPr>
          <w:rFonts w:ascii="David" w:hAnsi="David"/>
          <w:sz w:val="28"/>
          <w:rtl/>
        </w:rPr>
        <w:t xml:space="preserve">תה מחויבת </w:t>
      </w:r>
      <w:r w:rsidR="00B856C5">
        <w:rPr>
          <w:rFonts w:ascii="David" w:hAnsi="David" w:hint="cs"/>
          <w:sz w:val="28"/>
          <w:rtl/>
        </w:rPr>
        <w:t xml:space="preserve">לצאת </w:t>
      </w:r>
      <w:r w:rsidR="00FA40EB" w:rsidRPr="004D74BF">
        <w:rPr>
          <w:rFonts w:ascii="David" w:hAnsi="David"/>
          <w:sz w:val="28"/>
          <w:rtl/>
        </w:rPr>
        <w:t xml:space="preserve">אליה, ורצתה בכך (ואף ביקשה את עזרתו של המערער כדי לקבל אישור מהמפקדת שלה לצאת אליה); </w:t>
      </w:r>
      <w:r w:rsidR="00261972">
        <w:rPr>
          <w:rFonts w:ascii="David" w:hAnsi="David" w:hint="cs"/>
          <w:sz w:val="28"/>
          <w:rtl/>
        </w:rPr>
        <w:t xml:space="preserve">סתירה בין עדותה הראשונית בדבר מגע בפניה לעומת המשכם של דברים שבהם הוסיפה את הטענה בדבר מגע ברגלה (וכן נטען כי </w:t>
      </w:r>
      <w:r w:rsidR="00B76903" w:rsidRPr="004D74BF">
        <w:rPr>
          <w:rFonts w:ascii="David" w:hAnsi="David"/>
          <w:sz w:val="28"/>
          <w:rtl/>
        </w:rPr>
        <w:t>המגע האמור לא היה אפשרי</w:t>
      </w:r>
      <w:r w:rsidR="00C53337" w:rsidRPr="004D74BF">
        <w:rPr>
          <w:rFonts w:ascii="David" w:hAnsi="David"/>
          <w:sz w:val="28"/>
          <w:rtl/>
        </w:rPr>
        <w:t xml:space="preserve"> מבחינה פיזית בשעה שהמערער נוהג ברכב</w:t>
      </w:r>
      <w:r w:rsidR="00261972">
        <w:rPr>
          <w:rFonts w:ascii="David" w:hAnsi="David" w:hint="cs"/>
          <w:sz w:val="28"/>
          <w:rtl/>
        </w:rPr>
        <w:t>)</w:t>
      </w:r>
      <w:r w:rsidR="00C53337" w:rsidRPr="004D74BF">
        <w:rPr>
          <w:rFonts w:ascii="David" w:hAnsi="David"/>
          <w:sz w:val="28"/>
          <w:rtl/>
        </w:rPr>
        <w:t xml:space="preserve">; </w:t>
      </w:r>
      <w:r w:rsidR="00A8549F" w:rsidRPr="004D74BF">
        <w:rPr>
          <w:rFonts w:ascii="David" w:hAnsi="David"/>
          <w:sz w:val="28"/>
          <w:rtl/>
        </w:rPr>
        <w:t>שינוי גרסתה ביחס לשאלה אם ב</w:t>
      </w:r>
      <w:r w:rsidR="00DA55A2">
        <w:rPr>
          <w:rFonts w:ascii="David" w:hAnsi="David" w:hint="cs"/>
          <w:sz w:val="28"/>
          <w:rtl/>
        </w:rPr>
        <w:t>מהלך ה</w:t>
      </w:r>
      <w:r w:rsidR="00A8549F" w:rsidRPr="004D74BF">
        <w:rPr>
          <w:rFonts w:ascii="David" w:hAnsi="David"/>
          <w:sz w:val="28"/>
          <w:rtl/>
        </w:rPr>
        <w:t>נסיעה באירוע הראשון ישבה גם במושב האחורי ברכב או רק במושב הקדמי</w:t>
      </w:r>
      <w:r w:rsidR="006C521A" w:rsidRPr="004D74BF">
        <w:rPr>
          <w:rFonts w:ascii="David" w:hAnsi="David"/>
          <w:sz w:val="28"/>
          <w:rtl/>
        </w:rPr>
        <w:t xml:space="preserve">, ובאשר לשאלה מתי היה האירוע ביחס למפגש </w:t>
      </w:r>
      <w:r w:rsidR="00EC035E" w:rsidRPr="004D74BF">
        <w:rPr>
          <w:rFonts w:ascii="David" w:hAnsi="David"/>
          <w:sz w:val="28"/>
          <w:rtl/>
        </w:rPr>
        <w:t>עם חברתה בבסיס אחר</w:t>
      </w:r>
      <w:r w:rsidR="00532ADD" w:rsidRPr="004D74BF">
        <w:rPr>
          <w:rFonts w:ascii="David" w:hAnsi="David"/>
          <w:sz w:val="28"/>
          <w:rtl/>
        </w:rPr>
        <w:t xml:space="preserve">. </w:t>
      </w:r>
    </w:p>
    <w:p w14:paraId="7C67CC68" w14:textId="77777777" w:rsidR="00532ADD" w:rsidRPr="004D74BF" w:rsidRDefault="00532ADD" w:rsidP="002C0946">
      <w:pPr>
        <w:pStyle w:val="ListParagraph"/>
        <w:numPr>
          <w:ilvl w:val="0"/>
          <w:numId w:val="1"/>
        </w:numPr>
        <w:rPr>
          <w:rFonts w:ascii="David" w:hAnsi="David"/>
          <w:sz w:val="28"/>
          <w:rtl/>
        </w:rPr>
      </w:pPr>
      <w:r w:rsidRPr="004D74BF">
        <w:rPr>
          <w:rFonts w:ascii="David" w:hAnsi="David"/>
          <w:sz w:val="28"/>
          <w:rtl/>
        </w:rPr>
        <w:t xml:space="preserve">עוד נטען, כי שגה בית הדין קמא כאשר קבע שלא ניתן להשתית ממצאים על סמך עדותו של </w:t>
      </w:r>
      <w:r w:rsidR="00BB3CE6">
        <w:rPr>
          <w:rFonts w:ascii="David" w:hAnsi="David" w:hint="cs"/>
          <w:sz w:val="28"/>
          <w:rtl/>
        </w:rPr>
        <w:t xml:space="preserve">רס"ל </w:t>
      </w:r>
      <w:r w:rsidRPr="004D74BF">
        <w:rPr>
          <w:rFonts w:ascii="David" w:hAnsi="David"/>
          <w:sz w:val="28"/>
          <w:rtl/>
        </w:rPr>
        <w:t xml:space="preserve">ליעד במהלך האירוע הראשון, שכן על פי עדותו </w:t>
      </w:r>
      <w:r w:rsidR="00BB3CE6">
        <w:rPr>
          <w:rFonts w:ascii="David" w:hAnsi="David" w:hint="cs"/>
          <w:sz w:val="28"/>
          <w:rtl/>
        </w:rPr>
        <w:t xml:space="preserve">הוא </w:t>
      </w:r>
      <w:r w:rsidRPr="004D74BF">
        <w:rPr>
          <w:rFonts w:ascii="David" w:hAnsi="David"/>
          <w:sz w:val="28"/>
          <w:rtl/>
        </w:rPr>
        <w:t xml:space="preserve">היה עירני </w:t>
      </w:r>
      <w:r w:rsidR="00634AEA">
        <w:rPr>
          <w:rFonts w:ascii="David" w:hAnsi="David" w:hint="cs"/>
          <w:sz w:val="28"/>
          <w:rtl/>
        </w:rPr>
        <w:t xml:space="preserve">די הצורך כדי לתאר את התרחשות הדברים בנסיעה, </w:t>
      </w:r>
      <w:r w:rsidRPr="004D74BF">
        <w:rPr>
          <w:rFonts w:ascii="David" w:hAnsi="David"/>
          <w:sz w:val="28"/>
          <w:rtl/>
        </w:rPr>
        <w:t xml:space="preserve">לרבות הוויכוח בין נפגעת העבירה למערער, הלך הרוח, היעדים </w:t>
      </w:r>
      <w:r w:rsidR="00DA55A2">
        <w:rPr>
          <w:rFonts w:ascii="David" w:hAnsi="David" w:hint="cs"/>
          <w:sz w:val="28"/>
          <w:rtl/>
        </w:rPr>
        <w:t>ש</w:t>
      </w:r>
      <w:r w:rsidRPr="004D74BF">
        <w:rPr>
          <w:rFonts w:ascii="David" w:hAnsi="David"/>
          <w:sz w:val="28"/>
          <w:rtl/>
        </w:rPr>
        <w:t xml:space="preserve">אליהם נסעו וכיו"ב. </w:t>
      </w:r>
      <w:r w:rsidR="004712C8" w:rsidRPr="004D74BF">
        <w:rPr>
          <w:rFonts w:ascii="David" w:hAnsi="David"/>
          <w:sz w:val="28"/>
          <w:rtl/>
        </w:rPr>
        <w:t xml:space="preserve">כן נטען, כי </w:t>
      </w:r>
      <w:r w:rsidR="00634AEA">
        <w:rPr>
          <w:rFonts w:ascii="David" w:hAnsi="David" w:hint="cs"/>
          <w:sz w:val="28"/>
          <w:rtl/>
        </w:rPr>
        <w:t xml:space="preserve">רס"ל </w:t>
      </w:r>
      <w:r w:rsidR="004712C8" w:rsidRPr="004D74BF">
        <w:rPr>
          <w:rFonts w:ascii="David" w:hAnsi="David"/>
          <w:sz w:val="28"/>
          <w:rtl/>
        </w:rPr>
        <w:t xml:space="preserve">ליעד ובת זוגו </w:t>
      </w:r>
      <w:r w:rsidR="00634AEA">
        <w:rPr>
          <w:rFonts w:ascii="David" w:hAnsi="David" w:hint="cs"/>
          <w:sz w:val="28"/>
          <w:rtl/>
        </w:rPr>
        <w:t>(</w:t>
      </w:r>
      <w:r w:rsidR="009077AB">
        <w:rPr>
          <w:rFonts w:ascii="David" w:hAnsi="David" w:hint="cs"/>
          <w:sz w:val="28"/>
          <w:rtl/>
        </w:rPr>
        <w:t xml:space="preserve">סמל </w:t>
      </w:r>
      <w:r w:rsidR="007A54FD">
        <w:rPr>
          <w:rFonts w:ascii="David" w:hAnsi="David" w:hint="cs"/>
          <w:sz w:val="28"/>
          <w:rtl/>
        </w:rPr>
        <w:t xml:space="preserve">קסם, אף היא חיילת </w:t>
      </w:r>
      <w:r w:rsidR="007A54FD">
        <w:rPr>
          <w:rFonts w:ascii="David" w:hAnsi="David" w:hint="cs"/>
          <w:sz w:val="28"/>
          <w:rtl/>
        </w:rPr>
        <w:lastRenderedPageBreak/>
        <w:t>שהעידה בבית הדין קמא)</w:t>
      </w:r>
      <w:r w:rsidR="007A54FD">
        <w:rPr>
          <w:rFonts w:ascii="David" w:hAnsi="David"/>
          <w:sz w:val="28"/>
        </w:rPr>
        <w:t xml:space="preserve"> </w:t>
      </w:r>
      <w:r w:rsidR="004712C8" w:rsidRPr="004D74BF">
        <w:rPr>
          <w:rFonts w:ascii="David" w:hAnsi="David"/>
          <w:sz w:val="28"/>
          <w:rtl/>
        </w:rPr>
        <w:t>הם חברים של נפגעת העבירה,</w:t>
      </w:r>
      <w:r w:rsidR="007A54FD">
        <w:rPr>
          <w:rFonts w:ascii="David" w:hAnsi="David" w:hint="cs"/>
          <w:sz w:val="28"/>
          <w:rtl/>
        </w:rPr>
        <w:t xml:space="preserve"> </w:t>
      </w:r>
      <w:r w:rsidR="00BD0533">
        <w:rPr>
          <w:rFonts w:ascii="David" w:hAnsi="David" w:hint="cs"/>
          <w:sz w:val="28"/>
          <w:rtl/>
        </w:rPr>
        <w:t xml:space="preserve">ומכאן </w:t>
      </w:r>
      <w:r w:rsidR="007A54FD">
        <w:rPr>
          <w:rFonts w:ascii="David" w:hAnsi="David" w:hint="cs"/>
          <w:sz w:val="28"/>
          <w:rtl/>
        </w:rPr>
        <w:t xml:space="preserve">שדבריו של רס"ל ליעד </w:t>
      </w:r>
      <w:r w:rsidR="00BD0533">
        <w:rPr>
          <w:rFonts w:ascii="David" w:hAnsi="David" w:hint="cs"/>
          <w:sz w:val="28"/>
          <w:rtl/>
        </w:rPr>
        <w:t>ש</w:t>
      </w:r>
      <w:r w:rsidR="007A54FD">
        <w:rPr>
          <w:rFonts w:ascii="David" w:hAnsi="David" w:hint="cs"/>
          <w:sz w:val="28"/>
          <w:rtl/>
        </w:rPr>
        <w:t xml:space="preserve">לפיהם </w:t>
      </w:r>
      <w:r w:rsidR="00BD0533">
        <w:rPr>
          <w:rFonts w:ascii="David" w:hAnsi="David" w:hint="cs"/>
          <w:sz w:val="28"/>
          <w:rtl/>
        </w:rPr>
        <w:t xml:space="preserve">אינו </w:t>
      </w:r>
      <w:r w:rsidR="007A54FD">
        <w:rPr>
          <w:rFonts w:ascii="David" w:hAnsi="David" w:hint="cs"/>
          <w:sz w:val="28"/>
          <w:rtl/>
        </w:rPr>
        <w:t xml:space="preserve">רוצה לפגוע </w:t>
      </w:r>
      <w:r w:rsidR="00BD0533">
        <w:rPr>
          <w:rFonts w:ascii="David" w:hAnsi="David" w:hint="cs"/>
          <w:sz w:val="28"/>
          <w:rtl/>
        </w:rPr>
        <w:t xml:space="preserve">בעדותו </w:t>
      </w:r>
      <w:r w:rsidR="007A54FD">
        <w:rPr>
          <w:rFonts w:ascii="David" w:hAnsi="David" w:hint="cs"/>
          <w:sz w:val="28"/>
          <w:rtl/>
        </w:rPr>
        <w:t xml:space="preserve">באיש </w:t>
      </w:r>
      <w:r w:rsidR="00BD0533">
        <w:rPr>
          <w:rFonts w:ascii="David" w:hAnsi="David" w:hint="cs"/>
          <w:sz w:val="28"/>
          <w:rtl/>
        </w:rPr>
        <w:t>כוונו ל</w:t>
      </w:r>
      <w:r w:rsidR="004712C8" w:rsidRPr="004D74BF">
        <w:rPr>
          <w:rFonts w:ascii="David" w:hAnsi="David"/>
          <w:sz w:val="28"/>
          <w:rtl/>
        </w:rPr>
        <w:t>נפגעת העבירה דווקא</w:t>
      </w:r>
      <w:r w:rsidR="00BD0533">
        <w:rPr>
          <w:rFonts w:ascii="David" w:hAnsi="David" w:hint="cs"/>
          <w:sz w:val="28"/>
          <w:rtl/>
        </w:rPr>
        <w:t>,</w:t>
      </w:r>
      <w:r w:rsidR="004712C8" w:rsidRPr="004D74BF">
        <w:rPr>
          <w:rFonts w:ascii="David" w:hAnsi="David"/>
          <w:sz w:val="28"/>
          <w:rtl/>
        </w:rPr>
        <w:t xml:space="preserve"> ולא </w:t>
      </w:r>
      <w:r w:rsidR="00BD0533">
        <w:rPr>
          <w:rFonts w:ascii="David" w:hAnsi="David" w:hint="cs"/>
          <w:sz w:val="28"/>
          <w:rtl/>
        </w:rPr>
        <w:t>ל</w:t>
      </w:r>
      <w:r w:rsidR="00BD0533" w:rsidRPr="004D74BF">
        <w:rPr>
          <w:rFonts w:ascii="David" w:hAnsi="David"/>
          <w:sz w:val="28"/>
          <w:rtl/>
        </w:rPr>
        <w:t>מערער</w:t>
      </w:r>
      <w:r w:rsidR="004712C8" w:rsidRPr="004D74BF">
        <w:rPr>
          <w:rFonts w:ascii="David" w:hAnsi="David"/>
          <w:sz w:val="28"/>
          <w:rtl/>
        </w:rPr>
        <w:t xml:space="preserve">. </w:t>
      </w:r>
    </w:p>
    <w:p w14:paraId="3519B43B" w14:textId="77777777" w:rsidR="00E10FB1" w:rsidRPr="002B282F" w:rsidRDefault="00E10FB1" w:rsidP="002C0946">
      <w:pPr>
        <w:pStyle w:val="ListParagraph"/>
        <w:numPr>
          <w:ilvl w:val="0"/>
          <w:numId w:val="1"/>
        </w:numPr>
        <w:rPr>
          <w:rFonts w:ascii="David" w:hAnsi="David"/>
          <w:sz w:val="28"/>
        </w:rPr>
      </w:pPr>
      <w:r w:rsidRPr="002B282F">
        <w:rPr>
          <w:rFonts w:ascii="David" w:hAnsi="David"/>
          <w:sz w:val="28"/>
          <w:rtl/>
        </w:rPr>
        <w:t xml:space="preserve">כן נטען, כי </w:t>
      </w:r>
      <w:r w:rsidR="001E343D" w:rsidRPr="002B282F">
        <w:rPr>
          <w:rFonts w:ascii="David" w:hAnsi="David"/>
          <w:sz w:val="28"/>
          <w:rtl/>
        </w:rPr>
        <w:t>מתחלופת המסרונים בין נפגעת העבירה למערער בזמן שבין האירוע הראשון ל</w:t>
      </w:r>
      <w:r w:rsidR="00BD0533">
        <w:rPr>
          <w:rFonts w:ascii="David" w:hAnsi="David" w:hint="cs"/>
          <w:sz w:val="28"/>
          <w:rtl/>
        </w:rPr>
        <w:t>אירוע ה</w:t>
      </w:r>
      <w:r w:rsidR="001E343D" w:rsidRPr="002B282F">
        <w:rPr>
          <w:rFonts w:ascii="David" w:hAnsi="David"/>
          <w:sz w:val="28"/>
          <w:rtl/>
        </w:rPr>
        <w:t xml:space="preserve">שני </w:t>
      </w:r>
      <w:r w:rsidR="005111E2" w:rsidRPr="002B282F">
        <w:rPr>
          <w:rFonts w:ascii="David" w:hAnsi="David" w:hint="cs"/>
          <w:sz w:val="28"/>
          <w:rtl/>
        </w:rPr>
        <w:t xml:space="preserve">עולה </w:t>
      </w:r>
      <w:r w:rsidR="00BD0533">
        <w:rPr>
          <w:rFonts w:ascii="David" w:hAnsi="David" w:hint="cs"/>
          <w:sz w:val="28"/>
          <w:rtl/>
        </w:rPr>
        <w:t xml:space="preserve">יוזמה </w:t>
      </w:r>
      <w:r w:rsidR="005111E2" w:rsidRPr="002B282F">
        <w:rPr>
          <w:rFonts w:ascii="David" w:hAnsi="David" w:hint="cs"/>
          <w:sz w:val="28"/>
          <w:rtl/>
        </w:rPr>
        <w:t>ש</w:t>
      </w:r>
      <w:r w:rsidR="00BD0533">
        <w:rPr>
          <w:rFonts w:ascii="David" w:hAnsi="David" w:hint="cs"/>
          <w:sz w:val="28"/>
          <w:rtl/>
        </w:rPr>
        <w:t xml:space="preserve">ל </w:t>
      </w:r>
      <w:r w:rsidR="005111E2" w:rsidRPr="002B282F">
        <w:rPr>
          <w:rFonts w:ascii="David" w:hAnsi="David" w:hint="cs"/>
          <w:sz w:val="28"/>
          <w:rtl/>
        </w:rPr>
        <w:t>נפגעת העבירה</w:t>
      </w:r>
      <w:r w:rsidR="00BD0533">
        <w:rPr>
          <w:rFonts w:ascii="David" w:hAnsi="David" w:hint="cs"/>
          <w:sz w:val="28"/>
          <w:rtl/>
        </w:rPr>
        <w:t xml:space="preserve">, </w:t>
      </w:r>
      <w:r w:rsidR="00DA55A2">
        <w:rPr>
          <w:rFonts w:ascii="David" w:hAnsi="David" w:hint="cs"/>
          <w:sz w:val="28"/>
          <w:rtl/>
        </w:rPr>
        <w:t>ש</w:t>
      </w:r>
      <w:r w:rsidR="00BD0533">
        <w:rPr>
          <w:rFonts w:ascii="David" w:hAnsi="David" w:hint="cs"/>
          <w:sz w:val="28"/>
          <w:rtl/>
        </w:rPr>
        <w:t>הצ</w:t>
      </w:r>
      <w:r w:rsidR="00DA55A2">
        <w:rPr>
          <w:rFonts w:ascii="David" w:hAnsi="David" w:hint="cs"/>
          <w:sz w:val="28"/>
          <w:rtl/>
        </w:rPr>
        <w:t>י</w:t>
      </w:r>
      <w:r w:rsidR="00BD0533">
        <w:rPr>
          <w:rFonts w:ascii="David" w:hAnsi="David" w:hint="cs"/>
          <w:sz w:val="28"/>
          <w:rtl/>
        </w:rPr>
        <w:t>ע</w:t>
      </w:r>
      <w:r w:rsidR="00DA55A2">
        <w:rPr>
          <w:rFonts w:ascii="David" w:hAnsi="David" w:hint="cs"/>
          <w:sz w:val="28"/>
          <w:rtl/>
        </w:rPr>
        <w:t>ה</w:t>
      </w:r>
      <w:r w:rsidR="005111E2" w:rsidRPr="002B282F">
        <w:rPr>
          <w:rFonts w:ascii="David" w:hAnsi="David" w:hint="cs"/>
          <w:sz w:val="28"/>
          <w:rtl/>
        </w:rPr>
        <w:t xml:space="preserve"> </w:t>
      </w:r>
      <w:r w:rsidR="001E343D" w:rsidRPr="002B282F">
        <w:rPr>
          <w:rFonts w:ascii="David" w:hAnsi="David"/>
          <w:sz w:val="28"/>
          <w:rtl/>
        </w:rPr>
        <w:t>מפגשים משותפים</w:t>
      </w:r>
      <w:r w:rsidR="001D2C12" w:rsidRPr="002B282F">
        <w:rPr>
          <w:rFonts w:ascii="David" w:hAnsi="David"/>
          <w:sz w:val="28"/>
          <w:rtl/>
        </w:rPr>
        <w:t>.</w:t>
      </w:r>
      <w:r w:rsidR="002B282F" w:rsidRPr="002B282F">
        <w:rPr>
          <w:rFonts w:ascii="David" w:hAnsi="David" w:hint="cs"/>
          <w:sz w:val="28"/>
          <w:rtl/>
        </w:rPr>
        <w:t xml:space="preserve"> בין השאר הפנתה ההגנה לכך ש</w:t>
      </w:r>
      <w:r w:rsidR="001D2C12" w:rsidRPr="002B282F">
        <w:rPr>
          <w:rFonts w:ascii="David" w:hAnsi="David"/>
          <w:sz w:val="28"/>
          <w:rtl/>
        </w:rPr>
        <w:t>נפגעת העבירה</w:t>
      </w:r>
      <w:r w:rsidR="006E1A72" w:rsidRPr="002B282F">
        <w:rPr>
          <w:rFonts w:ascii="David" w:hAnsi="David"/>
          <w:sz w:val="28"/>
          <w:rtl/>
        </w:rPr>
        <w:t xml:space="preserve"> הציעה ל</w:t>
      </w:r>
      <w:r w:rsidR="001D2C12" w:rsidRPr="002B282F">
        <w:rPr>
          <w:rFonts w:ascii="David" w:hAnsi="David"/>
          <w:sz w:val="28"/>
          <w:rtl/>
        </w:rPr>
        <w:t>מערער</w:t>
      </w:r>
      <w:r w:rsidR="006E1A72" w:rsidRPr="002B282F">
        <w:rPr>
          <w:rFonts w:ascii="David" w:hAnsi="David"/>
          <w:sz w:val="28"/>
          <w:rtl/>
        </w:rPr>
        <w:t xml:space="preserve"> שהם יישארו ביחד לשמור באחת השבתות</w:t>
      </w:r>
      <w:r w:rsidR="002B282F">
        <w:rPr>
          <w:rFonts w:ascii="David" w:hAnsi="David" w:hint="cs"/>
          <w:sz w:val="28"/>
          <w:rtl/>
        </w:rPr>
        <w:t>,</w:t>
      </w:r>
      <w:r w:rsidR="00DC0750" w:rsidRPr="002B282F">
        <w:rPr>
          <w:rFonts w:ascii="David" w:hAnsi="David"/>
          <w:sz w:val="28"/>
          <w:rtl/>
        </w:rPr>
        <w:t xml:space="preserve"> ו</w:t>
      </w:r>
      <w:r w:rsidR="002B282F">
        <w:rPr>
          <w:rFonts w:ascii="David" w:hAnsi="David" w:hint="cs"/>
          <w:sz w:val="28"/>
          <w:rtl/>
        </w:rPr>
        <w:t xml:space="preserve">נטען </w:t>
      </w:r>
      <w:r w:rsidR="00440189" w:rsidRPr="002B282F">
        <w:rPr>
          <w:rFonts w:ascii="David" w:hAnsi="David"/>
          <w:sz w:val="28"/>
          <w:rtl/>
        </w:rPr>
        <w:t xml:space="preserve">כי יש סתירות בעדותה באשר לשאלה האם ביקשה להיפגש עם המערער בערב שלפני האירוע השני. </w:t>
      </w:r>
      <w:r w:rsidR="00DC0750" w:rsidRPr="002B282F">
        <w:rPr>
          <w:rFonts w:ascii="David" w:hAnsi="David"/>
          <w:sz w:val="28"/>
          <w:rtl/>
        </w:rPr>
        <w:t xml:space="preserve"> </w:t>
      </w:r>
      <w:r w:rsidR="002B5BEC" w:rsidRPr="002B282F">
        <w:rPr>
          <w:rFonts w:ascii="David" w:hAnsi="David"/>
          <w:sz w:val="28"/>
          <w:rtl/>
        </w:rPr>
        <w:t xml:space="preserve">     </w:t>
      </w:r>
    </w:p>
    <w:p w14:paraId="36241E6A" w14:textId="77777777" w:rsidR="004006D4" w:rsidRPr="004D74BF" w:rsidRDefault="00E90855" w:rsidP="002C0946">
      <w:pPr>
        <w:pStyle w:val="ListParagraph"/>
        <w:numPr>
          <w:ilvl w:val="0"/>
          <w:numId w:val="1"/>
        </w:numPr>
        <w:rPr>
          <w:rFonts w:ascii="David" w:hAnsi="David"/>
          <w:sz w:val="28"/>
        </w:rPr>
      </w:pPr>
      <w:r w:rsidRPr="004D74BF">
        <w:rPr>
          <w:rFonts w:ascii="David" w:hAnsi="David"/>
          <w:sz w:val="28"/>
          <w:rtl/>
        </w:rPr>
        <w:t>אשר לאירוע השני נטען</w:t>
      </w:r>
      <w:r w:rsidR="00526E78">
        <w:rPr>
          <w:rFonts w:ascii="David" w:hAnsi="David" w:hint="cs"/>
          <w:sz w:val="28"/>
          <w:rtl/>
        </w:rPr>
        <w:t xml:space="preserve"> לסתירות </w:t>
      </w:r>
      <w:r w:rsidRPr="004D74BF">
        <w:rPr>
          <w:rFonts w:ascii="David" w:hAnsi="David"/>
          <w:sz w:val="28"/>
          <w:rtl/>
        </w:rPr>
        <w:t xml:space="preserve">בעדות נפגעת העבירה באשר לשאלה האם ידעה שהמערער נמצא באזור </w:t>
      </w:r>
      <w:r w:rsidR="00137C30" w:rsidRPr="004D74BF">
        <w:rPr>
          <w:rFonts w:ascii="David" w:hAnsi="David"/>
          <w:sz w:val="28"/>
          <w:rtl/>
        </w:rPr>
        <w:t xml:space="preserve">הסדנה והמכולות </w:t>
      </w:r>
      <w:r w:rsidRPr="004D74BF">
        <w:rPr>
          <w:rFonts w:ascii="David" w:hAnsi="David"/>
          <w:sz w:val="28"/>
          <w:rtl/>
        </w:rPr>
        <w:t xml:space="preserve">כשהגיעה למקום; </w:t>
      </w:r>
      <w:r w:rsidR="0054356A" w:rsidRPr="004D74BF">
        <w:rPr>
          <w:rFonts w:ascii="David" w:hAnsi="David"/>
          <w:sz w:val="28"/>
          <w:rtl/>
        </w:rPr>
        <w:t xml:space="preserve">באשר לנוכחותו של </w:t>
      </w:r>
      <w:r w:rsidR="00526E78">
        <w:rPr>
          <w:rFonts w:ascii="David" w:hAnsi="David" w:hint="cs"/>
          <w:sz w:val="28"/>
          <w:rtl/>
        </w:rPr>
        <w:t xml:space="preserve">רס"ל </w:t>
      </w:r>
      <w:r w:rsidR="0054356A" w:rsidRPr="004D74BF">
        <w:rPr>
          <w:rFonts w:ascii="David" w:hAnsi="David"/>
          <w:sz w:val="28"/>
          <w:rtl/>
        </w:rPr>
        <w:t xml:space="preserve">ליעד באירוע השני והאפשרות שלו לראות את המתרחש בינה לבין המערער; </w:t>
      </w:r>
      <w:r w:rsidR="00297D78" w:rsidRPr="004D74BF">
        <w:rPr>
          <w:rFonts w:ascii="David" w:hAnsi="David"/>
          <w:sz w:val="28"/>
          <w:rtl/>
        </w:rPr>
        <w:t>סתירות לגבי המיקום המדויק שבו התרחש המעשה המגונה הנטען</w:t>
      </w:r>
      <w:r w:rsidR="002421FD" w:rsidRPr="004D74BF">
        <w:rPr>
          <w:rFonts w:ascii="David" w:hAnsi="David"/>
          <w:sz w:val="28"/>
          <w:rtl/>
        </w:rPr>
        <w:t xml:space="preserve"> באירוע השני; </w:t>
      </w:r>
      <w:r w:rsidR="00CA2031" w:rsidRPr="004D74BF">
        <w:rPr>
          <w:rFonts w:ascii="David" w:hAnsi="David"/>
          <w:sz w:val="28"/>
          <w:rtl/>
        </w:rPr>
        <w:t>חוסר יכולת ל</w:t>
      </w:r>
      <w:r w:rsidR="002A77F4" w:rsidRPr="004D74BF">
        <w:rPr>
          <w:rFonts w:ascii="David" w:hAnsi="David"/>
          <w:sz w:val="28"/>
          <w:rtl/>
        </w:rPr>
        <w:t xml:space="preserve">תאר </w:t>
      </w:r>
      <w:r w:rsidR="00526E78">
        <w:rPr>
          <w:rFonts w:ascii="David" w:hAnsi="David" w:hint="cs"/>
          <w:sz w:val="28"/>
          <w:rtl/>
        </w:rPr>
        <w:t>סוגיות</w:t>
      </w:r>
      <w:r w:rsidR="002A77F4" w:rsidRPr="004D74BF">
        <w:rPr>
          <w:rFonts w:ascii="David" w:hAnsi="David"/>
          <w:sz w:val="28"/>
          <w:rtl/>
        </w:rPr>
        <w:t xml:space="preserve"> </w:t>
      </w:r>
      <w:r w:rsidR="0015064E">
        <w:rPr>
          <w:rFonts w:ascii="David" w:hAnsi="David" w:hint="cs"/>
          <w:sz w:val="28"/>
          <w:rtl/>
        </w:rPr>
        <w:t>משמעותיות כנטען, כגון</w:t>
      </w:r>
      <w:r w:rsidR="002A77F4" w:rsidRPr="004D74BF">
        <w:rPr>
          <w:rFonts w:ascii="David" w:hAnsi="David"/>
          <w:sz w:val="28"/>
          <w:rtl/>
        </w:rPr>
        <w:t xml:space="preserve"> היכן נגע </w:t>
      </w:r>
      <w:r w:rsidR="00BD0533">
        <w:rPr>
          <w:rFonts w:ascii="David" w:hAnsi="David" w:hint="cs"/>
          <w:sz w:val="28"/>
          <w:rtl/>
        </w:rPr>
        <w:t xml:space="preserve">בה </w:t>
      </w:r>
      <w:r w:rsidR="002A77F4" w:rsidRPr="004D74BF">
        <w:rPr>
          <w:rFonts w:ascii="David" w:hAnsi="David"/>
          <w:sz w:val="28"/>
          <w:rtl/>
        </w:rPr>
        <w:t xml:space="preserve">המערער בכל חיבוק, </w:t>
      </w:r>
      <w:r w:rsidR="00532ADD" w:rsidRPr="004D74BF">
        <w:rPr>
          <w:rFonts w:ascii="David" w:hAnsi="David"/>
          <w:sz w:val="28"/>
          <w:rtl/>
        </w:rPr>
        <w:t xml:space="preserve">מתי הציעה למערער ללכת לאכול וכיו"ב. </w:t>
      </w:r>
      <w:r w:rsidR="004006D4" w:rsidRPr="004D74BF">
        <w:rPr>
          <w:rFonts w:ascii="David" w:hAnsi="David"/>
          <w:sz w:val="28"/>
          <w:rtl/>
        </w:rPr>
        <w:t xml:space="preserve">כן נטען כי האירוע השני לא יכול היה להתרחש מבחינה פיזית נוכח </w:t>
      </w:r>
      <w:r w:rsidR="00DC557A" w:rsidRPr="004D74BF">
        <w:rPr>
          <w:rFonts w:ascii="David" w:hAnsi="David"/>
          <w:sz w:val="28"/>
          <w:rtl/>
        </w:rPr>
        <w:t>הבדלי גובה בין נפגעת העבירה למערער, שלא אפשרו מתן נשיקה על ראשה כפי שטענה;</w:t>
      </w:r>
      <w:r w:rsidR="00532ADD" w:rsidRPr="004D74BF">
        <w:rPr>
          <w:rFonts w:ascii="David" w:hAnsi="David"/>
          <w:sz w:val="28"/>
          <w:rtl/>
        </w:rPr>
        <w:t xml:space="preserve"> וכי גם </w:t>
      </w:r>
      <w:r w:rsidR="00E23CC4">
        <w:rPr>
          <w:rFonts w:ascii="David" w:hAnsi="David" w:hint="cs"/>
          <w:sz w:val="28"/>
          <w:rtl/>
        </w:rPr>
        <w:t xml:space="preserve">לא ניתן ליישב את </w:t>
      </w:r>
      <w:r w:rsidR="004C68B8">
        <w:rPr>
          <w:rFonts w:ascii="David" w:hAnsi="David" w:hint="cs"/>
          <w:sz w:val="28"/>
          <w:rtl/>
        </w:rPr>
        <w:t xml:space="preserve">קיומו של האירוע מבחינת הזמנים, נוכח הפער בין ההודעות ששלחה למערער כשיצאה לפגוש אותו לבין ההודעות ששלחה כנטען לחברתה, שוהם, בזמן התרחשות האירוע השני. </w:t>
      </w:r>
      <w:r w:rsidR="0097590B" w:rsidRPr="004D74BF">
        <w:rPr>
          <w:rFonts w:ascii="David" w:hAnsi="David"/>
          <w:sz w:val="28"/>
          <w:rtl/>
        </w:rPr>
        <w:t xml:space="preserve">כן נטען, כי גם </w:t>
      </w:r>
      <w:r w:rsidR="00C44F31">
        <w:rPr>
          <w:rFonts w:ascii="David" w:hAnsi="David" w:hint="cs"/>
          <w:sz w:val="28"/>
          <w:rtl/>
        </w:rPr>
        <w:t xml:space="preserve">רס"ל </w:t>
      </w:r>
      <w:r w:rsidR="0097590B" w:rsidRPr="004D74BF">
        <w:rPr>
          <w:rFonts w:ascii="David" w:hAnsi="David"/>
          <w:sz w:val="28"/>
          <w:rtl/>
        </w:rPr>
        <w:t xml:space="preserve">ליעד תיאר </w:t>
      </w:r>
      <w:r w:rsidR="00C44F31">
        <w:rPr>
          <w:rFonts w:ascii="David" w:hAnsi="David" w:hint="cs"/>
          <w:sz w:val="28"/>
          <w:rtl/>
        </w:rPr>
        <w:t>(</w:t>
      </w:r>
      <w:r w:rsidR="00EC19A8">
        <w:rPr>
          <w:rFonts w:ascii="David" w:hAnsi="David" w:hint="cs"/>
          <w:sz w:val="28"/>
          <w:rtl/>
        </w:rPr>
        <w:t>בעיקר בעדותו במצ"ח)</w:t>
      </w:r>
      <w:r w:rsidR="00EC19A8">
        <w:rPr>
          <w:rFonts w:ascii="David" w:hAnsi="David"/>
          <w:sz w:val="28"/>
        </w:rPr>
        <w:t xml:space="preserve"> </w:t>
      </w:r>
      <w:r w:rsidR="0097590B" w:rsidRPr="004D74BF">
        <w:rPr>
          <w:rFonts w:ascii="David" w:hAnsi="David"/>
          <w:sz w:val="28"/>
          <w:rtl/>
        </w:rPr>
        <w:t xml:space="preserve">פרטים מדויקים של האירוע, </w:t>
      </w:r>
      <w:r w:rsidR="00EC19A8">
        <w:rPr>
          <w:rFonts w:ascii="David" w:hAnsi="David" w:hint="cs"/>
          <w:sz w:val="28"/>
          <w:rtl/>
        </w:rPr>
        <w:t xml:space="preserve">המעידים </w:t>
      </w:r>
      <w:r w:rsidR="00BD0533">
        <w:rPr>
          <w:rFonts w:ascii="David" w:hAnsi="David" w:hint="cs"/>
          <w:sz w:val="28"/>
          <w:rtl/>
        </w:rPr>
        <w:t>ע</w:t>
      </w:r>
      <w:r w:rsidR="00EC19A8">
        <w:rPr>
          <w:rFonts w:ascii="David" w:hAnsi="David" w:hint="cs"/>
          <w:sz w:val="28"/>
          <w:rtl/>
        </w:rPr>
        <w:t>ל</w:t>
      </w:r>
      <w:r w:rsidR="00BD0533">
        <w:rPr>
          <w:rFonts w:ascii="David" w:hAnsi="David" w:hint="cs"/>
          <w:sz w:val="28"/>
          <w:rtl/>
        </w:rPr>
        <w:t xml:space="preserve"> </w:t>
      </w:r>
      <w:r w:rsidR="00EC19A8">
        <w:rPr>
          <w:rFonts w:ascii="David" w:hAnsi="David" w:hint="cs"/>
          <w:sz w:val="28"/>
          <w:rtl/>
        </w:rPr>
        <w:t xml:space="preserve">כך שהיה עד למפגש כולו, באופן הסותר את גרסת נפגעת העבירה. </w:t>
      </w:r>
    </w:p>
    <w:p w14:paraId="22AFA053" w14:textId="77777777" w:rsidR="00570764" w:rsidRPr="004D74BF" w:rsidRDefault="00A90A06" w:rsidP="002C0946">
      <w:pPr>
        <w:pStyle w:val="ListParagraph"/>
        <w:numPr>
          <w:ilvl w:val="0"/>
          <w:numId w:val="1"/>
        </w:numPr>
        <w:rPr>
          <w:rFonts w:ascii="David" w:hAnsi="David"/>
          <w:sz w:val="28"/>
        </w:rPr>
      </w:pPr>
      <w:r>
        <w:rPr>
          <w:rFonts w:ascii="David" w:hAnsi="David" w:hint="cs"/>
          <w:sz w:val="28"/>
          <w:rtl/>
        </w:rPr>
        <w:t>כן טוענת ה</w:t>
      </w:r>
      <w:r w:rsidR="001672D7" w:rsidRPr="004D74BF">
        <w:rPr>
          <w:rFonts w:ascii="David" w:hAnsi="David"/>
          <w:sz w:val="28"/>
          <w:rtl/>
        </w:rPr>
        <w:t>הגנה כי לא ניתן היה ל</w:t>
      </w:r>
      <w:r>
        <w:rPr>
          <w:rFonts w:ascii="David" w:hAnsi="David" w:hint="cs"/>
          <w:sz w:val="28"/>
          <w:rtl/>
        </w:rPr>
        <w:t>קבוע ממצאים</w:t>
      </w:r>
      <w:r w:rsidR="001672D7" w:rsidRPr="004D74BF">
        <w:rPr>
          <w:rFonts w:ascii="David" w:hAnsi="David"/>
          <w:sz w:val="28"/>
          <w:rtl/>
        </w:rPr>
        <w:t xml:space="preserve"> על </w:t>
      </w:r>
      <w:r w:rsidR="00BD0533">
        <w:rPr>
          <w:rFonts w:ascii="David" w:hAnsi="David" w:hint="cs"/>
          <w:sz w:val="28"/>
          <w:rtl/>
        </w:rPr>
        <w:t>סמך ה</w:t>
      </w:r>
      <w:r w:rsidR="001672D7" w:rsidRPr="004D74BF">
        <w:rPr>
          <w:rFonts w:ascii="David" w:hAnsi="David"/>
          <w:sz w:val="28"/>
          <w:rtl/>
        </w:rPr>
        <w:t xml:space="preserve">עדויות </w:t>
      </w:r>
      <w:r w:rsidR="00BD0533">
        <w:rPr>
          <w:rFonts w:ascii="David" w:hAnsi="David" w:hint="cs"/>
          <w:sz w:val="28"/>
          <w:rtl/>
        </w:rPr>
        <w:t xml:space="preserve">של </w:t>
      </w:r>
      <w:r w:rsidR="001672D7" w:rsidRPr="004D74BF">
        <w:rPr>
          <w:rFonts w:ascii="David" w:hAnsi="David"/>
          <w:sz w:val="28"/>
          <w:rtl/>
        </w:rPr>
        <w:t>חברותיה</w:t>
      </w:r>
      <w:r w:rsidR="00BD0533">
        <w:rPr>
          <w:rFonts w:ascii="David" w:hAnsi="David" w:hint="cs"/>
          <w:sz w:val="28"/>
          <w:rtl/>
        </w:rPr>
        <w:t xml:space="preserve"> של הנפגעת</w:t>
      </w:r>
      <w:r>
        <w:rPr>
          <w:rFonts w:ascii="David" w:hAnsi="David" w:hint="cs"/>
          <w:sz w:val="28"/>
          <w:rtl/>
        </w:rPr>
        <w:t xml:space="preserve">, </w:t>
      </w:r>
      <w:proofErr w:type="spellStart"/>
      <w:r>
        <w:rPr>
          <w:rFonts w:ascii="David" w:hAnsi="David" w:hint="cs"/>
          <w:sz w:val="28"/>
          <w:rtl/>
        </w:rPr>
        <w:t>ממונת</w:t>
      </w:r>
      <w:proofErr w:type="spellEnd"/>
      <w:r>
        <w:rPr>
          <w:rFonts w:ascii="David" w:hAnsi="David" w:hint="cs"/>
          <w:sz w:val="28"/>
          <w:rtl/>
        </w:rPr>
        <w:t xml:space="preserve"> </w:t>
      </w:r>
      <w:proofErr w:type="spellStart"/>
      <w:r>
        <w:rPr>
          <w:rFonts w:ascii="David" w:hAnsi="David" w:hint="cs"/>
          <w:sz w:val="28"/>
          <w:rtl/>
        </w:rPr>
        <w:t>היוהל"ם</w:t>
      </w:r>
      <w:proofErr w:type="spellEnd"/>
      <w:r w:rsidR="001672D7" w:rsidRPr="004D74BF">
        <w:rPr>
          <w:rFonts w:ascii="David" w:hAnsi="David"/>
          <w:sz w:val="28"/>
          <w:rtl/>
        </w:rPr>
        <w:t xml:space="preserve"> </w:t>
      </w:r>
      <w:r>
        <w:rPr>
          <w:rFonts w:ascii="David" w:hAnsi="David" w:hint="cs"/>
          <w:sz w:val="28"/>
          <w:rtl/>
        </w:rPr>
        <w:t>ומפקדתה</w:t>
      </w:r>
      <w:r w:rsidR="00BD0533">
        <w:rPr>
          <w:rFonts w:ascii="David" w:hAnsi="David" w:hint="cs"/>
          <w:sz w:val="28"/>
          <w:rtl/>
        </w:rPr>
        <w:t>,</w:t>
      </w:r>
      <w:r>
        <w:rPr>
          <w:rFonts w:ascii="David" w:hAnsi="David" w:hint="cs"/>
          <w:sz w:val="28"/>
          <w:rtl/>
        </w:rPr>
        <w:t xml:space="preserve"> </w:t>
      </w:r>
      <w:r w:rsidR="001672D7" w:rsidRPr="004D74BF">
        <w:rPr>
          <w:rFonts w:ascii="David" w:hAnsi="David"/>
          <w:sz w:val="28"/>
          <w:rtl/>
        </w:rPr>
        <w:t>ששמעו ממנה על האירוע</w:t>
      </w:r>
      <w:r w:rsidR="008F0A20" w:rsidRPr="004D74BF">
        <w:rPr>
          <w:rFonts w:ascii="David" w:hAnsi="David"/>
          <w:sz w:val="28"/>
          <w:rtl/>
        </w:rPr>
        <w:t>ים</w:t>
      </w:r>
      <w:r>
        <w:rPr>
          <w:rFonts w:ascii="David" w:hAnsi="David" w:hint="cs"/>
          <w:sz w:val="28"/>
          <w:rtl/>
        </w:rPr>
        <w:t xml:space="preserve">. נטען כי </w:t>
      </w:r>
      <w:r w:rsidR="00BD0533">
        <w:rPr>
          <w:rFonts w:ascii="David" w:hAnsi="David" w:hint="cs"/>
          <w:sz w:val="28"/>
          <w:rtl/>
        </w:rPr>
        <w:t>המדובר ב</w:t>
      </w:r>
      <w:r w:rsidR="001672D7" w:rsidRPr="004D74BF">
        <w:rPr>
          <w:rFonts w:ascii="David" w:hAnsi="David"/>
          <w:sz w:val="28"/>
          <w:rtl/>
        </w:rPr>
        <w:t>עדויות מפי השמועה</w:t>
      </w:r>
      <w:r>
        <w:rPr>
          <w:rFonts w:ascii="David" w:hAnsi="David" w:hint="cs"/>
          <w:sz w:val="28"/>
          <w:rtl/>
        </w:rPr>
        <w:t xml:space="preserve">, </w:t>
      </w:r>
      <w:r w:rsidR="00BD0533">
        <w:rPr>
          <w:rFonts w:ascii="David" w:hAnsi="David" w:hint="cs"/>
          <w:sz w:val="28"/>
          <w:rtl/>
        </w:rPr>
        <w:t>ש</w:t>
      </w:r>
      <w:r>
        <w:rPr>
          <w:rFonts w:ascii="David" w:hAnsi="David" w:hint="cs"/>
          <w:sz w:val="28"/>
          <w:rtl/>
        </w:rPr>
        <w:t xml:space="preserve">אינן מתיישבות עם האופן </w:t>
      </w:r>
      <w:r w:rsidR="00BD0533">
        <w:rPr>
          <w:rFonts w:ascii="David" w:hAnsi="David" w:hint="cs"/>
          <w:sz w:val="28"/>
          <w:rtl/>
        </w:rPr>
        <w:t>ש</w:t>
      </w:r>
      <w:r>
        <w:rPr>
          <w:rFonts w:ascii="David" w:hAnsi="David" w:hint="cs"/>
          <w:sz w:val="28"/>
          <w:rtl/>
        </w:rPr>
        <w:t xml:space="preserve">בו תואר האירוע על </w:t>
      </w:r>
      <w:r w:rsidR="00BD0533">
        <w:rPr>
          <w:rFonts w:ascii="David" w:hAnsi="David" w:hint="cs"/>
          <w:sz w:val="28"/>
          <w:rtl/>
        </w:rPr>
        <w:t>ידי הנפגעת</w:t>
      </w:r>
      <w:r>
        <w:rPr>
          <w:rFonts w:ascii="David" w:hAnsi="David" w:hint="cs"/>
          <w:sz w:val="28"/>
          <w:rtl/>
        </w:rPr>
        <w:t xml:space="preserve">. </w:t>
      </w:r>
      <w:r w:rsidR="00DF61E6" w:rsidRPr="004D74BF">
        <w:rPr>
          <w:rFonts w:ascii="David" w:hAnsi="David"/>
          <w:sz w:val="28"/>
          <w:rtl/>
        </w:rPr>
        <w:t>בין השאר הפנתה ההגנה לעדויותיהן של סמ"ר עדי, סרן הילה</w:t>
      </w:r>
      <w:r w:rsidR="008F0A20" w:rsidRPr="004D74BF">
        <w:rPr>
          <w:rFonts w:ascii="David" w:hAnsi="David"/>
          <w:sz w:val="28"/>
          <w:rtl/>
        </w:rPr>
        <w:t xml:space="preserve">, </w:t>
      </w:r>
      <w:r>
        <w:rPr>
          <w:rFonts w:ascii="David" w:hAnsi="David" w:hint="cs"/>
          <w:sz w:val="28"/>
          <w:rtl/>
        </w:rPr>
        <w:t xml:space="preserve">סרן ירדן, </w:t>
      </w:r>
      <w:r w:rsidR="00AA71F9">
        <w:rPr>
          <w:rFonts w:ascii="David" w:hAnsi="David" w:hint="cs"/>
          <w:sz w:val="28"/>
          <w:rtl/>
        </w:rPr>
        <w:t xml:space="preserve">סמל </w:t>
      </w:r>
      <w:r w:rsidR="008F0A20" w:rsidRPr="004D74BF">
        <w:rPr>
          <w:rFonts w:ascii="David" w:hAnsi="David"/>
          <w:sz w:val="28"/>
          <w:rtl/>
        </w:rPr>
        <w:t>קסם</w:t>
      </w:r>
      <w:r w:rsidR="00F76837" w:rsidRPr="004D74BF">
        <w:rPr>
          <w:rFonts w:ascii="David" w:hAnsi="David"/>
          <w:sz w:val="28"/>
          <w:rtl/>
        </w:rPr>
        <w:t xml:space="preserve">, </w:t>
      </w:r>
      <w:r w:rsidR="00AA71F9">
        <w:rPr>
          <w:rFonts w:ascii="David" w:hAnsi="David" w:hint="cs"/>
          <w:sz w:val="28"/>
          <w:rtl/>
        </w:rPr>
        <w:t xml:space="preserve">רב"ט </w:t>
      </w:r>
      <w:r w:rsidR="00C507F7" w:rsidRPr="004D74BF">
        <w:rPr>
          <w:rFonts w:ascii="David" w:hAnsi="David"/>
          <w:sz w:val="28"/>
          <w:rtl/>
        </w:rPr>
        <w:t xml:space="preserve">מיה </w:t>
      </w:r>
      <w:r>
        <w:rPr>
          <w:rFonts w:ascii="David" w:hAnsi="David" w:hint="cs"/>
          <w:sz w:val="28"/>
          <w:rtl/>
        </w:rPr>
        <w:t>ו</w:t>
      </w:r>
      <w:r w:rsidR="00AA71F9">
        <w:rPr>
          <w:rFonts w:ascii="David" w:hAnsi="David" w:hint="cs"/>
          <w:sz w:val="28"/>
          <w:rtl/>
        </w:rPr>
        <w:t xml:space="preserve">רב"ט </w:t>
      </w:r>
      <w:r w:rsidR="00C507F7" w:rsidRPr="004D74BF">
        <w:rPr>
          <w:rFonts w:ascii="David" w:hAnsi="David"/>
          <w:sz w:val="28"/>
          <w:rtl/>
        </w:rPr>
        <w:t>שוהם</w:t>
      </w:r>
      <w:r w:rsidR="008649B9">
        <w:rPr>
          <w:rFonts w:ascii="David" w:hAnsi="David" w:hint="cs"/>
          <w:sz w:val="28"/>
          <w:rtl/>
        </w:rPr>
        <w:t xml:space="preserve">, שנטען כי הן "מפוזרות ומבולבלות" ונמסרו זמן רב לאחר האירוע. </w:t>
      </w:r>
      <w:r w:rsidR="003A615E" w:rsidRPr="004D74BF">
        <w:rPr>
          <w:rFonts w:ascii="David" w:hAnsi="David"/>
          <w:sz w:val="28"/>
          <w:rtl/>
        </w:rPr>
        <w:t xml:space="preserve">אשר להתכתבות עם חברתה של נפגעת העבירה, </w:t>
      </w:r>
      <w:r w:rsidR="009077AB">
        <w:rPr>
          <w:rFonts w:ascii="David" w:hAnsi="David" w:hint="cs"/>
          <w:sz w:val="28"/>
          <w:rtl/>
        </w:rPr>
        <w:t xml:space="preserve">רב"ט </w:t>
      </w:r>
      <w:r w:rsidR="003A615E" w:rsidRPr="004D74BF">
        <w:rPr>
          <w:rFonts w:ascii="David" w:hAnsi="David"/>
          <w:sz w:val="28"/>
          <w:rtl/>
        </w:rPr>
        <w:t>שוהם,</w:t>
      </w:r>
      <w:r w:rsidR="00F4635B">
        <w:rPr>
          <w:rFonts w:ascii="David" w:hAnsi="David" w:hint="cs"/>
          <w:sz w:val="28"/>
          <w:rtl/>
        </w:rPr>
        <w:t xml:space="preserve"> בעת התרחשות האירוע,</w:t>
      </w:r>
      <w:r w:rsidR="003A615E" w:rsidRPr="004D74BF">
        <w:rPr>
          <w:rFonts w:ascii="David" w:hAnsi="David"/>
          <w:sz w:val="28"/>
          <w:rtl/>
        </w:rPr>
        <w:t xml:space="preserve"> נטען כי הנפגעת פירטה שם גם אירוע של צביטה</w:t>
      </w:r>
      <w:r w:rsidR="00BD0533">
        <w:rPr>
          <w:rFonts w:ascii="David" w:hAnsi="David" w:hint="cs"/>
          <w:sz w:val="28"/>
          <w:rtl/>
        </w:rPr>
        <w:t>,</w:t>
      </w:r>
      <w:r w:rsidR="003A615E" w:rsidRPr="004D74BF">
        <w:rPr>
          <w:rFonts w:ascii="David" w:hAnsi="David"/>
          <w:sz w:val="28"/>
          <w:rtl/>
        </w:rPr>
        <w:t xml:space="preserve"> שעליו לא חזרה אחר כך בעדותה</w:t>
      </w:r>
      <w:r w:rsidR="00AE22E0" w:rsidRPr="004D74BF">
        <w:rPr>
          <w:rFonts w:ascii="David" w:hAnsi="David"/>
          <w:sz w:val="28"/>
          <w:rtl/>
        </w:rPr>
        <w:t xml:space="preserve">. </w:t>
      </w:r>
    </w:p>
    <w:p w14:paraId="46A6657F" w14:textId="77777777" w:rsidR="00B33258" w:rsidRPr="004D74BF" w:rsidRDefault="00BD0533" w:rsidP="002C0946">
      <w:pPr>
        <w:pStyle w:val="ListParagraph"/>
        <w:numPr>
          <w:ilvl w:val="0"/>
          <w:numId w:val="1"/>
        </w:numPr>
        <w:rPr>
          <w:rFonts w:ascii="David" w:hAnsi="David"/>
          <w:sz w:val="28"/>
        </w:rPr>
      </w:pPr>
      <w:r>
        <w:rPr>
          <w:rFonts w:ascii="David" w:hAnsi="David" w:hint="cs"/>
          <w:sz w:val="28"/>
          <w:rtl/>
        </w:rPr>
        <w:t xml:space="preserve">מנגד, </w:t>
      </w:r>
      <w:r w:rsidR="00B33258" w:rsidRPr="004D74BF">
        <w:rPr>
          <w:rFonts w:ascii="David" w:hAnsi="David"/>
          <w:sz w:val="28"/>
          <w:rtl/>
        </w:rPr>
        <w:t>נטען, כי גרסת המערער הי</w:t>
      </w:r>
      <w:r>
        <w:rPr>
          <w:rFonts w:ascii="David" w:hAnsi="David" w:hint="cs"/>
          <w:sz w:val="28"/>
          <w:rtl/>
        </w:rPr>
        <w:t>י</w:t>
      </w:r>
      <w:r w:rsidR="00B33258" w:rsidRPr="004D74BF">
        <w:rPr>
          <w:rFonts w:ascii="David" w:hAnsi="David"/>
          <w:sz w:val="28"/>
          <w:rtl/>
        </w:rPr>
        <w:t xml:space="preserve">תה סדורה </w:t>
      </w:r>
      <w:r w:rsidR="00EA0977" w:rsidRPr="004D74BF">
        <w:rPr>
          <w:rFonts w:ascii="David" w:hAnsi="David"/>
          <w:sz w:val="28"/>
          <w:rtl/>
        </w:rPr>
        <w:t>וקוהרנטית ו</w:t>
      </w:r>
      <w:r w:rsidR="00F4635B">
        <w:rPr>
          <w:rFonts w:ascii="David" w:hAnsi="David" w:hint="cs"/>
          <w:sz w:val="28"/>
          <w:rtl/>
        </w:rPr>
        <w:t xml:space="preserve">זכתה לתימוכין בעדותו של רס"ל ליעד; </w:t>
      </w:r>
      <w:r w:rsidR="00CC5B18" w:rsidRPr="004D74BF">
        <w:rPr>
          <w:rFonts w:ascii="David" w:hAnsi="David"/>
          <w:sz w:val="28"/>
          <w:rtl/>
        </w:rPr>
        <w:t>וכי זיכויו של המערער מפרט האישום שייחס לו שיבוש מהלכי חקירה מעיד על הלך רוחו</w:t>
      </w:r>
      <w:r w:rsidR="00F4635B">
        <w:rPr>
          <w:rFonts w:ascii="David" w:hAnsi="David" w:hint="cs"/>
          <w:sz w:val="28"/>
          <w:rtl/>
        </w:rPr>
        <w:t xml:space="preserve"> ביחס לכלל האירועים בהם הורשע</w:t>
      </w:r>
      <w:r w:rsidR="00CC5B18" w:rsidRPr="004D74BF">
        <w:rPr>
          <w:rFonts w:ascii="David" w:hAnsi="David"/>
          <w:sz w:val="28"/>
          <w:rtl/>
        </w:rPr>
        <w:t xml:space="preserve">. </w:t>
      </w:r>
    </w:p>
    <w:p w14:paraId="28CEDFEF" w14:textId="4C7E587E" w:rsidR="002C0946" w:rsidRDefault="00242AFA" w:rsidP="002C0946">
      <w:pPr>
        <w:pStyle w:val="ListParagraph"/>
        <w:numPr>
          <w:ilvl w:val="0"/>
          <w:numId w:val="1"/>
        </w:numPr>
        <w:rPr>
          <w:rFonts w:ascii="David" w:hAnsi="David"/>
          <w:sz w:val="28"/>
        </w:rPr>
      </w:pPr>
      <w:r w:rsidRPr="004D74BF">
        <w:rPr>
          <w:rFonts w:ascii="David" w:hAnsi="David"/>
          <w:sz w:val="28"/>
          <w:rtl/>
        </w:rPr>
        <w:t>ה</w:t>
      </w:r>
      <w:r w:rsidR="000F0934" w:rsidRPr="004D74BF">
        <w:rPr>
          <w:rFonts w:ascii="David" w:hAnsi="David"/>
          <w:sz w:val="28"/>
          <w:rtl/>
        </w:rPr>
        <w:t xml:space="preserve">תביעה </w:t>
      </w:r>
      <w:r w:rsidR="00DA55A2">
        <w:rPr>
          <w:rFonts w:ascii="David" w:hAnsi="David" w:hint="cs"/>
          <w:sz w:val="28"/>
          <w:rtl/>
        </w:rPr>
        <w:t xml:space="preserve">מצדה, ביקשה </w:t>
      </w:r>
      <w:r w:rsidR="000F0934" w:rsidRPr="004D74BF">
        <w:rPr>
          <w:rFonts w:ascii="David" w:hAnsi="David"/>
          <w:sz w:val="28"/>
          <w:rtl/>
        </w:rPr>
        <w:t xml:space="preserve">לסמוך ידיה על </w:t>
      </w:r>
      <w:r w:rsidR="004A5561" w:rsidRPr="004D74BF">
        <w:rPr>
          <w:rFonts w:ascii="David" w:hAnsi="David"/>
          <w:sz w:val="28"/>
          <w:rtl/>
        </w:rPr>
        <w:t xml:space="preserve">פסק דינו של בית הדין קמא. נטען כי פסק הדין </w:t>
      </w:r>
      <w:r w:rsidR="00CA5572" w:rsidRPr="004D74BF">
        <w:rPr>
          <w:rFonts w:ascii="David" w:hAnsi="David"/>
          <w:sz w:val="28"/>
          <w:rtl/>
        </w:rPr>
        <w:t>מבוסס על ממצאי מהימנות מובהקים שאין מקום להתערב בהם, וכי הוא בחן את כלל טענות ההגנה בנוגע לעדות נפגעת העבירה, ומצא כי אין בהם כדי לפגוע במהימנותה</w:t>
      </w:r>
      <w:r w:rsidR="00FF337F">
        <w:rPr>
          <w:rFonts w:ascii="David" w:hAnsi="David" w:hint="cs"/>
          <w:sz w:val="28"/>
          <w:rtl/>
        </w:rPr>
        <w:t xml:space="preserve">. כן עמדה התביעה על החיזוקים הרבים לעדות נפגעת העבירה, ובראשם </w:t>
      </w:r>
      <w:r w:rsidR="00793B6E" w:rsidRPr="004D74BF">
        <w:rPr>
          <w:rFonts w:ascii="David" w:hAnsi="David"/>
          <w:sz w:val="28"/>
          <w:rtl/>
        </w:rPr>
        <w:t xml:space="preserve">ההתכתבות "בזמן אמת" עם חברתה שוהם, עת התרחש האירוע השני. </w:t>
      </w:r>
    </w:p>
    <w:p w14:paraId="5BE3D09B" w14:textId="77777777" w:rsidR="002F19F1" w:rsidRDefault="002F19F1" w:rsidP="002C0946">
      <w:pPr>
        <w:pStyle w:val="ListParagraph"/>
        <w:rPr>
          <w:rFonts w:ascii="David" w:hAnsi="David"/>
          <w:b/>
          <w:bCs/>
          <w:sz w:val="28"/>
          <w:u w:val="single"/>
          <w:rtl/>
        </w:rPr>
      </w:pPr>
    </w:p>
    <w:p w14:paraId="38B2F179" w14:textId="72A26AB0" w:rsidR="00B40FFA" w:rsidRPr="002C0946" w:rsidRDefault="00B40FFA" w:rsidP="002C0946">
      <w:pPr>
        <w:pStyle w:val="ListParagraph"/>
        <w:rPr>
          <w:rFonts w:ascii="David" w:hAnsi="David"/>
          <w:sz w:val="28"/>
          <w:rtl/>
        </w:rPr>
      </w:pPr>
      <w:r w:rsidRPr="002C0946">
        <w:rPr>
          <w:rFonts w:ascii="David" w:hAnsi="David"/>
          <w:b/>
          <w:bCs/>
          <w:sz w:val="28"/>
          <w:u w:val="single"/>
          <w:rtl/>
        </w:rPr>
        <w:lastRenderedPageBreak/>
        <w:t xml:space="preserve">דיון והכרעה </w:t>
      </w:r>
    </w:p>
    <w:p w14:paraId="43E66ECC" w14:textId="77777777" w:rsidR="008C5AE8" w:rsidRPr="002C0946" w:rsidRDefault="008C5AE8" w:rsidP="002C0946">
      <w:pPr>
        <w:pStyle w:val="ListParagraph"/>
        <w:rPr>
          <w:rFonts w:ascii="David" w:hAnsi="David"/>
          <w:sz w:val="8"/>
          <w:szCs w:val="8"/>
        </w:rPr>
      </w:pPr>
    </w:p>
    <w:p w14:paraId="7A3558A7" w14:textId="77777777" w:rsidR="008C5AE8" w:rsidRPr="00001D0C" w:rsidRDefault="00BD0533" w:rsidP="002C0946">
      <w:pPr>
        <w:pStyle w:val="ListParagraph"/>
        <w:widowControl w:val="0"/>
        <w:numPr>
          <w:ilvl w:val="0"/>
          <w:numId w:val="1"/>
        </w:numPr>
        <w:contextualSpacing/>
        <w:rPr>
          <w:rFonts w:ascii="David" w:hAnsi="David"/>
          <w:sz w:val="28"/>
          <w:rtl/>
        </w:rPr>
      </w:pPr>
      <w:r>
        <w:rPr>
          <w:rFonts w:ascii="David" w:hAnsi="David" w:hint="cs"/>
          <w:sz w:val="28"/>
          <w:rtl/>
        </w:rPr>
        <w:t>כ</w:t>
      </w:r>
      <w:r w:rsidR="00CE7EEE" w:rsidRPr="00001D0C">
        <w:rPr>
          <w:rFonts w:ascii="David" w:hAnsi="David"/>
          <w:sz w:val="28"/>
          <w:rtl/>
        </w:rPr>
        <w:t>ידוע</w:t>
      </w:r>
      <w:r>
        <w:rPr>
          <w:rFonts w:ascii="David" w:hAnsi="David" w:hint="cs"/>
          <w:sz w:val="28"/>
          <w:rtl/>
        </w:rPr>
        <w:t xml:space="preserve">, </w:t>
      </w:r>
      <w:r w:rsidR="008C5AE8" w:rsidRPr="00001D0C">
        <w:rPr>
          <w:rFonts w:ascii="David" w:hAnsi="David"/>
          <w:sz w:val="28"/>
          <w:rtl/>
        </w:rPr>
        <w:t>אין זו דרכה של ערכאת הערעור להתערב בממצאי עובדה ומהימנות שנקבעו בידי הערכאה הדיונית</w:t>
      </w:r>
      <w:r w:rsidR="009A1736" w:rsidRPr="00001D0C">
        <w:rPr>
          <w:rFonts w:ascii="David" w:hAnsi="David" w:hint="cs"/>
          <w:sz w:val="28"/>
          <w:rtl/>
        </w:rPr>
        <w:t xml:space="preserve">, </w:t>
      </w:r>
      <w:r w:rsidR="008C5AE8" w:rsidRPr="00001D0C">
        <w:rPr>
          <w:rFonts w:ascii="David" w:hAnsi="David"/>
          <w:sz w:val="28"/>
          <w:rtl/>
        </w:rPr>
        <w:t xml:space="preserve">נוכח יתרונה כמי ששמעה והתרשמה ישירות מהעדים שהובאו לפניה </w:t>
      </w:r>
      <w:r w:rsidR="004156E6" w:rsidRPr="00001D0C">
        <w:rPr>
          <w:rFonts w:ascii="David" w:hAnsi="David" w:hint="cs"/>
          <w:sz w:val="28"/>
          <w:rtl/>
        </w:rPr>
        <w:t xml:space="preserve">(ע"פ 8561/22 </w:t>
      </w:r>
      <w:r w:rsidR="006A5A83" w:rsidRPr="00001D0C">
        <w:rPr>
          <w:rFonts w:ascii="David" w:hAnsi="David" w:hint="cs"/>
          <w:b/>
          <w:bCs/>
          <w:sz w:val="28"/>
          <w:rtl/>
        </w:rPr>
        <w:t xml:space="preserve">חורי נ' מדינת ישראל, </w:t>
      </w:r>
      <w:r w:rsidR="006A5A83" w:rsidRPr="00001D0C">
        <w:rPr>
          <w:rFonts w:ascii="David" w:hAnsi="David" w:hint="cs"/>
          <w:sz w:val="28"/>
          <w:rtl/>
        </w:rPr>
        <w:t>פסקה 25 והאסמכתאות שם (25.8.2024))</w:t>
      </w:r>
      <w:r w:rsidR="00FB6282" w:rsidRPr="00001D0C">
        <w:rPr>
          <w:rFonts w:ascii="David" w:hAnsi="David" w:hint="cs"/>
          <w:sz w:val="28"/>
          <w:rtl/>
        </w:rPr>
        <w:t>; ו</w:t>
      </w:r>
      <w:r w:rsidR="00DA55A2">
        <w:rPr>
          <w:rFonts w:ascii="David" w:hAnsi="David" w:hint="cs"/>
          <w:sz w:val="28"/>
          <w:rtl/>
        </w:rPr>
        <w:t xml:space="preserve">הושמעה גם הדעה </w:t>
      </w:r>
      <w:r w:rsidR="00FB6282" w:rsidRPr="00001D0C">
        <w:rPr>
          <w:rFonts w:ascii="David" w:hAnsi="David" w:hint="cs"/>
          <w:sz w:val="28"/>
          <w:rtl/>
        </w:rPr>
        <w:t xml:space="preserve">כי </w:t>
      </w:r>
      <w:r w:rsidR="008C5AE8" w:rsidRPr="00001D0C">
        <w:rPr>
          <w:rFonts w:ascii="David" w:hAnsi="David"/>
          <w:sz w:val="28"/>
          <w:rtl/>
        </w:rPr>
        <w:t xml:space="preserve">לכלל זה יש ליתן משנה תוקף בכל הנוגע לעבירות מין, שבשל טבען, קביעת הממצאים לגביהן מתבססת בעיקרה על עדויות הפוגע והנפגע, ועל העדפת גרסה אחת מבין שתי גרסאות עובדתיות סותרות, כאשר להתרשמותה הבלתי אמצעית של הערכאה הדיונית מטיב העדויות יינתן משקל מכריע (ע"פ </w:t>
      </w:r>
      <w:r w:rsidR="008C5AE8" w:rsidRPr="00001D0C">
        <w:rPr>
          <w:rFonts w:ascii="David" w:hAnsi="David"/>
          <w:sz w:val="28"/>
        </w:rPr>
        <w:t>3082/22</w:t>
      </w:r>
      <w:r w:rsidR="008C5AE8" w:rsidRPr="00001D0C">
        <w:rPr>
          <w:rFonts w:ascii="David" w:hAnsi="David"/>
          <w:sz w:val="28"/>
          <w:rtl/>
        </w:rPr>
        <w:t xml:space="preserve"> </w:t>
      </w:r>
      <w:r w:rsidR="008C5AE8" w:rsidRPr="00001D0C">
        <w:rPr>
          <w:rFonts w:ascii="David" w:hAnsi="David"/>
          <w:b/>
          <w:bCs/>
          <w:sz w:val="28"/>
          <w:rtl/>
        </w:rPr>
        <w:t>פלוני נ' מדינת ישראל</w:t>
      </w:r>
      <w:r w:rsidR="008C5AE8" w:rsidRPr="00001D0C">
        <w:rPr>
          <w:rFonts w:ascii="David" w:hAnsi="David"/>
          <w:sz w:val="28"/>
          <w:rtl/>
        </w:rPr>
        <w:t xml:space="preserve">, פסקה </w:t>
      </w:r>
      <w:r w:rsidR="008C5AE8" w:rsidRPr="00001D0C">
        <w:rPr>
          <w:rFonts w:ascii="David" w:hAnsi="David"/>
          <w:sz w:val="28"/>
        </w:rPr>
        <w:t>30</w:t>
      </w:r>
      <w:r w:rsidR="008C5AE8" w:rsidRPr="00001D0C">
        <w:rPr>
          <w:rFonts w:ascii="David" w:hAnsi="David"/>
          <w:sz w:val="28"/>
          <w:rtl/>
        </w:rPr>
        <w:t xml:space="preserve"> (</w:t>
      </w:r>
      <w:r w:rsidR="008C5AE8" w:rsidRPr="00001D0C">
        <w:rPr>
          <w:rFonts w:ascii="David" w:hAnsi="David"/>
          <w:sz w:val="28"/>
        </w:rPr>
        <w:t>21.2.2023</w:t>
      </w:r>
      <w:r w:rsidR="008C5AE8" w:rsidRPr="00001D0C">
        <w:rPr>
          <w:rFonts w:ascii="David" w:hAnsi="David"/>
          <w:sz w:val="28"/>
          <w:rtl/>
        </w:rPr>
        <w:t>); ע/36</w:t>
      </w:r>
      <w:r w:rsidR="00AA71F9">
        <w:rPr>
          <w:rFonts w:ascii="David" w:hAnsi="David" w:hint="cs"/>
          <w:sz w:val="28"/>
          <w:rtl/>
        </w:rPr>
        <w:t>,37</w:t>
      </w:r>
      <w:r w:rsidR="008C5AE8" w:rsidRPr="00001D0C">
        <w:rPr>
          <w:rFonts w:ascii="David" w:hAnsi="David"/>
          <w:sz w:val="28"/>
          <w:rtl/>
        </w:rPr>
        <w:t xml:space="preserve">/24 </w:t>
      </w:r>
      <w:r w:rsidR="008C5AE8" w:rsidRPr="00001D0C">
        <w:rPr>
          <w:rFonts w:ascii="David" w:hAnsi="David"/>
          <w:b/>
          <w:bCs/>
          <w:sz w:val="28"/>
          <w:rtl/>
        </w:rPr>
        <w:t>סרן אבו סויד נ' התובע הצבאי הראשי</w:t>
      </w:r>
      <w:r w:rsidR="008C5AE8" w:rsidRPr="00001D0C">
        <w:rPr>
          <w:rFonts w:ascii="David" w:hAnsi="David"/>
          <w:sz w:val="28"/>
          <w:rtl/>
        </w:rPr>
        <w:t xml:space="preserve">, פסקה 33 (2024); </w:t>
      </w:r>
      <w:r w:rsidR="00D408A1" w:rsidRPr="00001D0C">
        <w:rPr>
          <w:rFonts w:ascii="David" w:hAnsi="David"/>
          <w:sz w:val="28"/>
          <w:rtl/>
        </w:rPr>
        <w:t>ע/</w:t>
      </w:r>
      <w:r w:rsidR="00D408A1" w:rsidRPr="00001D0C">
        <w:rPr>
          <w:rFonts w:ascii="David" w:hAnsi="David"/>
          <w:sz w:val="28"/>
        </w:rPr>
        <w:t>1,3/23</w:t>
      </w:r>
      <w:r w:rsidR="00D408A1" w:rsidRPr="00001D0C">
        <w:rPr>
          <w:rFonts w:ascii="David" w:hAnsi="David"/>
          <w:sz w:val="28"/>
          <w:rtl/>
        </w:rPr>
        <w:t xml:space="preserve"> </w:t>
      </w:r>
      <w:r w:rsidR="00D408A1" w:rsidRPr="00001D0C">
        <w:rPr>
          <w:rFonts w:ascii="David" w:hAnsi="David"/>
          <w:b/>
          <w:bCs/>
          <w:sz w:val="28"/>
          <w:rtl/>
        </w:rPr>
        <w:t xml:space="preserve">רס"ן </w:t>
      </w:r>
      <w:proofErr w:type="spellStart"/>
      <w:r w:rsidR="00D408A1" w:rsidRPr="00001D0C">
        <w:rPr>
          <w:rFonts w:ascii="David" w:hAnsi="David"/>
          <w:b/>
          <w:bCs/>
          <w:sz w:val="28"/>
          <w:rtl/>
        </w:rPr>
        <w:t>סונגו</w:t>
      </w:r>
      <w:proofErr w:type="spellEnd"/>
      <w:r w:rsidR="00D408A1" w:rsidRPr="00001D0C">
        <w:rPr>
          <w:rFonts w:ascii="David" w:hAnsi="David"/>
          <w:b/>
          <w:bCs/>
          <w:sz w:val="28"/>
          <w:rtl/>
        </w:rPr>
        <w:t xml:space="preserve"> נ' התובע הצבאי הראשי, </w:t>
      </w:r>
      <w:r w:rsidR="00D408A1" w:rsidRPr="00001D0C">
        <w:rPr>
          <w:rFonts w:ascii="David" w:hAnsi="David"/>
          <w:sz w:val="28"/>
          <w:rtl/>
        </w:rPr>
        <w:t xml:space="preserve">פסקה </w:t>
      </w:r>
      <w:r w:rsidR="00D408A1" w:rsidRPr="00001D0C">
        <w:rPr>
          <w:rFonts w:ascii="David" w:hAnsi="David"/>
          <w:sz w:val="28"/>
        </w:rPr>
        <w:t>80</w:t>
      </w:r>
      <w:r w:rsidR="00D408A1" w:rsidRPr="00001D0C">
        <w:rPr>
          <w:rFonts w:ascii="David" w:hAnsi="David"/>
          <w:b/>
          <w:bCs/>
          <w:sz w:val="28"/>
          <w:rtl/>
        </w:rPr>
        <w:t xml:space="preserve"> </w:t>
      </w:r>
      <w:r w:rsidR="00D408A1" w:rsidRPr="00001D0C">
        <w:rPr>
          <w:rFonts w:ascii="David" w:hAnsi="David"/>
          <w:sz w:val="28"/>
          <w:rtl/>
        </w:rPr>
        <w:t xml:space="preserve">(2023); </w:t>
      </w:r>
      <w:r w:rsidR="008C5AE8" w:rsidRPr="00001D0C">
        <w:rPr>
          <w:rFonts w:ascii="David" w:hAnsi="David"/>
          <w:sz w:val="28"/>
          <w:rtl/>
        </w:rPr>
        <w:t>ע/</w:t>
      </w:r>
      <w:r w:rsidR="008C5AE8" w:rsidRPr="00001D0C">
        <w:rPr>
          <w:rFonts w:ascii="David" w:hAnsi="David"/>
          <w:sz w:val="28"/>
        </w:rPr>
        <w:t>20/22</w:t>
      </w:r>
      <w:r w:rsidR="008C5AE8" w:rsidRPr="00001D0C">
        <w:rPr>
          <w:rFonts w:ascii="David" w:hAnsi="David"/>
          <w:sz w:val="28"/>
          <w:rtl/>
        </w:rPr>
        <w:t xml:space="preserve"> </w:t>
      </w:r>
      <w:r w:rsidR="008C5AE8" w:rsidRPr="00001D0C">
        <w:rPr>
          <w:rFonts w:ascii="David" w:hAnsi="David"/>
          <w:b/>
          <w:bCs/>
          <w:sz w:val="28"/>
          <w:rtl/>
        </w:rPr>
        <w:t>סמל יגר נ' התובע הצבאי הראשי</w:t>
      </w:r>
      <w:r w:rsidR="008C5AE8" w:rsidRPr="00001D0C">
        <w:rPr>
          <w:rFonts w:ascii="David" w:hAnsi="David"/>
          <w:sz w:val="28"/>
          <w:rtl/>
        </w:rPr>
        <w:t xml:space="preserve">, פסקה </w:t>
      </w:r>
      <w:r w:rsidR="008C5AE8" w:rsidRPr="00001D0C">
        <w:rPr>
          <w:rFonts w:ascii="David" w:hAnsi="David"/>
          <w:sz w:val="28"/>
        </w:rPr>
        <w:t>98</w:t>
      </w:r>
      <w:r w:rsidR="008C5AE8" w:rsidRPr="00001D0C">
        <w:rPr>
          <w:rFonts w:ascii="David" w:hAnsi="David"/>
          <w:sz w:val="28"/>
          <w:rtl/>
        </w:rPr>
        <w:t xml:space="preserve"> (</w:t>
      </w:r>
      <w:r w:rsidR="008C5AE8" w:rsidRPr="00001D0C">
        <w:rPr>
          <w:rFonts w:ascii="David" w:hAnsi="David"/>
          <w:sz w:val="28"/>
        </w:rPr>
        <w:t>2023</w:t>
      </w:r>
      <w:r w:rsidR="008C5AE8" w:rsidRPr="00001D0C">
        <w:rPr>
          <w:rFonts w:ascii="David" w:hAnsi="David"/>
          <w:sz w:val="28"/>
          <w:rtl/>
        </w:rPr>
        <w:t>)</w:t>
      </w:r>
      <w:r>
        <w:rPr>
          <w:rFonts w:ascii="David" w:hAnsi="David" w:hint="cs"/>
          <w:sz w:val="28"/>
          <w:rtl/>
        </w:rPr>
        <w:t>).</w:t>
      </w:r>
    </w:p>
    <w:p w14:paraId="6B9708FC" w14:textId="77777777" w:rsidR="00755019" w:rsidRPr="00ED43EA" w:rsidRDefault="008C5AE8" w:rsidP="002C0946">
      <w:pPr>
        <w:pStyle w:val="ListParagraph"/>
        <w:widowControl w:val="0"/>
        <w:numPr>
          <w:ilvl w:val="0"/>
          <w:numId w:val="1"/>
        </w:numPr>
        <w:contextualSpacing/>
        <w:rPr>
          <w:rFonts w:ascii="David" w:hAnsi="David"/>
          <w:sz w:val="28"/>
        </w:rPr>
      </w:pPr>
      <w:r w:rsidRPr="00ED43EA">
        <w:rPr>
          <w:rFonts w:ascii="David" w:hAnsi="David"/>
          <w:sz w:val="28"/>
          <w:rtl/>
        </w:rPr>
        <w:t xml:space="preserve">להלכה האמורה </w:t>
      </w:r>
      <w:r w:rsidR="00B5517F" w:rsidRPr="00ED43EA">
        <w:rPr>
          <w:rFonts w:ascii="David" w:hAnsi="David"/>
          <w:sz w:val="28"/>
          <w:rtl/>
        </w:rPr>
        <w:t xml:space="preserve">נקבעו אמנם </w:t>
      </w:r>
      <w:r w:rsidR="00842A20" w:rsidRPr="00ED43EA">
        <w:rPr>
          <w:rFonts w:ascii="David" w:hAnsi="David"/>
          <w:sz w:val="28"/>
          <w:rtl/>
        </w:rPr>
        <w:t xml:space="preserve">גם </w:t>
      </w:r>
      <w:r w:rsidRPr="00ED43EA">
        <w:rPr>
          <w:rFonts w:ascii="David" w:hAnsi="David"/>
          <w:sz w:val="28"/>
          <w:rtl/>
        </w:rPr>
        <w:t>חריגים</w:t>
      </w:r>
      <w:r w:rsidR="00BD0533">
        <w:rPr>
          <w:rFonts w:ascii="David" w:hAnsi="David" w:hint="cs"/>
          <w:sz w:val="28"/>
          <w:rtl/>
        </w:rPr>
        <w:t xml:space="preserve"> - </w:t>
      </w:r>
      <w:r w:rsidRPr="00ED43EA">
        <w:rPr>
          <w:rFonts w:ascii="David" w:hAnsi="David"/>
          <w:sz w:val="28"/>
          <w:rtl/>
        </w:rPr>
        <w:t xml:space="preserve">כאשר ממצאי הערכאה הדיונית מתבססים על שיקולים שבהגיון ובשכל ישר או על סבירות של העדות; כאשר מדובר במסקנות, להבדיל מעובדות; כאשר הערכאה הדיונית התעלמה לחלוטין מראיות או לא שמה לב לפרטים מהותיים בחומר הראיות; כאשר הערכאה הדיונית התעלמה מסתירות מהותיות בעדות שעליה נסמכה או מסתירות בין העדות שעליה נסמכה לבין עדויות אחרות; כאשר הערכאה הדיונית אימצה גרסה מופרכת וחסרת הגיון; כאשר נפלה טעות מהותית או טעות "בולטת לעין" בהערכת המהימנות; כאשר ממצאי הערכאה הדיונית מבוססים על ראיות בכתב, תמליל, קלטת או התרשמות מחפץ; וכן מקום </w:t>
      </w:r>
      <w:r w:rsidR="00BD0533">
        <w:rPr>
          <w:rFonts w:ascii="David" w:hAnsi="David" w:hint="cs"/>
          <w:sz w:val="28"/>
          <w:rtl/>
        </w:rPr>
        <w:t>ש</w:t>
      </w:r>
      <w:r w:rsidRPr="00ED43EA">
        <w:rPr>
          <w:rFonts w:ascii="David" w:hAnsi="David"/>
          <w:sz w:val="28"/>
          <w:rtl/>
        </w:rPr>
        <w:t>בו המסד הראייתי "במבט כולל" אינו מספק את הביטחון הדרוש להרשעת הנאשם (</w:t>
      </w:r>
      <w:r w:rsidR="00D00953" w:rsidRPr="00ED43EA">
        <w:rPr>
          <w:rFonts w:ascii="David" w:hAnsi="David" w:hint="cs"/>
          <w:sz w:val="28"/>
          <w:rtl/>
        </w:rPr>
        <w:t xml:space="preserve">ע"פ 754/23 </w:t>
      </w:r>
      <w:r w:rsidR="001F1A38" w:rsidRPr="00ED43EA">
        <w:rPr>
          <w:rFonts w:ascii="David" w:hAnsi="David" w:hint="cs"/>
          <w:b/>
          <w:bCs/>
          <w:sz w:val="28"/>
          <w:rtl/>
        </w:rPr>
        <w:t>פלוני נ' מדינת ישראל</w:t>
      </w:r>
      <w:r w:rsidR="001F1A38" w:rsidRPr="00ED43EA">
        <w:rPr>
          <w:rFonts w:ascii="David" w:hAnsi="David" w:hint="cs"/>
          <w:sz w:val="28"/>
          <w:rtl/>
        </w:rPr>
        <w:t xml:space="preserve">, </w:t>
      </w:r>
      <w:r w:rsidR="00931744" w:rsidRPr="00ED43EA">
        <w:rPr>
          <w:rFonts w:ascii="David" w:hAnsi="David" w:hint="cs"/>
          <w:sz w:val="28"/>
          <w:rtl/>
        </w:rPr>
        <w:t>פסקה 51 (1.5.2024);</w:t>
      </w:r>
      <w:r w:rsidR="001F1A38" w:rsidRPr="00ED43EA">
        <w:rPr>
          <w:rFonts w:ascii="David" w:hAnsi="David" w:hint="cs"/>
          <w:b/>
          <w:bCs/>
          <w:sz w:val="28"/>
          <w:rtl/>
        </w:rPr>
        <w:t xml:space="preserve"> </w:t>
      </w:r>
      <w:r w:rsidRPr="00ED43EA">
        <w:rPr>
          <w:rFonts w:ascii="David" w:hAnsi="David"/>
          <w:sz w:val="28"/>
          <w:rtl/>
        </w:rPr>
        <w:t xml:space="preserve">ע"פ 8794/20 </w:t>
      </w:r>
      <w:r w:rsidRPr="00ED43EA">
        <w:rPr>
          <w:rFonts w:ascii="David" w:hAnsi="David"/>
          <w:b/>
          <w:bCs/>
          <w:sz w:val="28"/>
          <w:rtl/>
        </w:rPr>
        <w:t>פלוני נ' מדינת ישראל</w:t>
      </w:r>
      <w:r w:rsidRPr="00ED43EA">
        <w:rPr>
          <w:rFonts w:ascii="David" w:hAnsi="David"/>
          <w:sz w:val="28"/>
          <w:rtl/>
        </w:rPr>
        <w:t xml:space="preserve">, פסקה 37 לפסק דינה של השופטת דפנה ברק ארז, והאסמכתאות שם (10.5.2022); </w:t>
      </w:r>
      <w:r w:rsidR="00755019" w:rsidRPr="00ED43EA">
        <w:rPr>
          <w:rFonts w:ascii="David" w:hAnsi="David"/>
          <w:sz w:val="28"/>
          <w:rtl/>
        </w:rPr>
        <w:t xml:space="preserve">ע/55/23 </w:t>
      </w:r>
      <w:r w:rsidR="00755019" w:rsidRPr="00ED43EA">
        <w:rPr>
          <w:rFonts w:ascii="David" w:hAnsi="David"/>
          <w:b/>
          <w:bCs/>
          <w:sz w:val="28"/>
          <w:rtl/>
        </w:rPr>
        <w:t xml:space="preserve">רס"ל </w:t>
      </w:r>
      <w:proofErr w:type="spellStart"/>
      <w:r w:rsidR="00755019" w:rsidRPr="00ED43EA">
        <w:rPr>
          <w:rFonts w:ascii="David" w:hAnsi="David"/>
          <w:b/>
          <w:bCs/>
          <w:sz w:val="28"/>
          <w:rtl/>
        </w:rPr>
        <w:t>ענטנברג</w:t>
      </w:r>
      <w:proofErr w:type="spellEnd"/>
      <w:r w:rsidR="00755019" w:rsidRPr="00ED43EA">
        <w:rPr>
          <w:rFonts w:ascii="David" w:hAnsi="David"/>
          <w:b/>
          <w:bCs/>
          <w:sz w:val="28"/>
          <w:rtl/>
        </w:rPr>
        <w:t xml:space="preserve"> נ' התובע הצבאי הראשי</w:t>
      </w:r>
      <w:r w:rsidR="00755019" w:rsidRPr="00ED43EA">
        <w:rPr>
          <w:rFonts w:ascii="David" w:hAnsi="David"/>
          <w:sz w:val="28"/>
          <w:rtl/>
        </w:rPr>
        <w:t xml:space="preserve">, פסקה </w:t>
      </w:r>
      <w:r w:rsidR="00ED43EA" w:rsidRPr="00ED43EA">
        <w:rPr>
          <w:rFonts w:ascii="David" w:hAnsi="David" w:hint="cs"/>
          <w:sz w:val="28"/>
          <w:rtl/>
        </w:rPr>
        <w:t>31</w:t>
      </w:r>
      <w:r w:rsidR="00755019" w:rsidRPr="00ED43EA">
        <w:rPr>
          <w:rFonts w:ascii="David" w:hAnsi="David"/>
          <w:sz w:val="28"/>
          <w:rtl/>
        </w:rPr>
        <w:t xml:space="preserve"> (2023)</w:t>
      </w:r>
      <w:r w:rsidR="00BD0533">
        <w:rPr>
          <w:rFonts w:ascii="David" w:hAnsi="David" w:hint="cs"/>
          <w:sz w:val="28"/>
          <w:rtl/>
        </w:rPr>
        <w:t>)</w:t>
      </w:r>
      <w:r w:rsidR="00755019" w:rsidRPr="00ED43EA">
        <w:rPr>
          <w:rFonts w:ascii="David" w:hAnsi="David"/>
          <w:sz w:val="28"/>
          <w:rtl/>
        </w:rPr>
        <w:t xml:space="preserve">. </w:t>
      </w:r>
    </w:p>
    <w:p w14:paraId="1C409160" w14:textId="77777777" w:rsidR="008C5AE8" w:rsidRPr="004D74BF" w:rsidRDefault="008C5AE8" w:rsidP="002C0946">
      <w:pPr>
        <w:pStyle w:val="ListParagraph"/>
        <w:numPr>
          <w:ilvl w:val="0"/>
          <w:numId w:val="1"/>
        </w:numPr>
        <w:contextualSpacing/>
        <w:rPr>
          <w:rFonts w:ascii="David" w:hAnsi="David"/>
          <w:sz w:val="28"/>
        </w:rPr>
      </w:pPr>
      <w:r w:rsidRPr="004D74BF">
        <w:rPr>
          <w:rFonts w:ascii="David" w:hAnsi="David"/>
          <w:sz w:val="28"/>
          <w:rtl/>
        </w:rPr>
        <w:t>בראי האמור, בחנו את הכרעת הדין של בית הדין קמא, ומצאנו כי היא מפורטת</w:t>
      </w:r>
      <w:r w:rsidR="00326B93">
        <w:rPr>
          <w:rFonts w:ascii="David" w:hAnsi="David" w:hint="cs"/>
          <w:sz w:val="28"/>
          <w:rtl/>
        </w:rPr>
        <w:t>,</w:t>
      </w:r>
      <w:r w:rsidRPr="004D74BF">
        <w:rPr>
          <w:rFonts w:ascii="David" w:hAnsi="David"/>
          <w:sz w:val="28"/>
          <w:rtl/>
        </w:rPr>
        <w:t xml:space="preserve"> מנומקת ומבוססת על התרשמותה הבלתי אמצעית של הערכאה הדיונית ממהימנות העדים שהופיעו בפניה ועל בחינה מדוקדקת של כלל הראיות. </w:t>
      </w:r>
      <w:r w:rsidR="00DA55A2">
        <w:rPr>
          <w:rFonts w:ascii="David" w:hAnsi="David" w:hint="cs"/>
          <w:sz w:val="28"/>
          <w:rtl/>
        </w:rPr>
        <w:t>החריגים לכלל אי ההתערבות שנמנו לעיל, אינם מתקיימים בעניינ</w:t>
      </w:r>
      <w:r w:rsidR="00DE30BE">
        <w:rPr>
          <w:rFonts w:ascii="David" w:hAnsi="David" w:hint="cs"/>
          <w:sz w:val="28"/>
          <w:rtl/>
        </w:rPr>
        <w:t>נ</w:t>
      </w:r>
      <w:r w:rsidR="00DA55A2">
        <w:rPr>
          <w:rFonts w:ascii="David" w:hAnsi="David" w:hint="cs"/>
          <w:sz w:val="28"/>
          <w:rtl/>
        </w:rPr>
        <w:t>ו ו</w:t>
      </w:r>
      <w:r w:rsidRPr="004D74BF">
        <w:rPr>
          <w:rFonts w:ascii="David" w:hAnsi="David"/>
          <w:sz w:val="28"/>
          <w:rtl/>
        </w:rPr>
        <w:t>לפיכך סברנו כי אין מקום להתערבותנו בה, כפי שיפורט להלן.</w:t>
      </w:r>
      <w:r w:rsidRPr="004D74BF">
        <w:rPr>
          <w:rFonts w:ascii="David" w:hAnsi="David"/>
          <w:sz w:val="28"/>
        </w:rPr>
        <w:t xml:space="preserve"> </w:t>
      </w:r>
    </w:p>
    <w:p w14:paraId="7415E404" w14:textId="77777777" w:rsidR="001128FE" w:rsidRPr="00297B70" w:rsidRDefault="00CC758C" w:rsidP="002C0946">
      <w:pPr>
        <w:pStyle w:val="ListParagraph"/>
        <w:numPr>
          <w:ilvl w:val="0"/>
          <w:numId w:val="1"/>
        </w:numPr>
        <w:contextualSpacing/>
        <w:rPr>
          <w:rFonts w:ascii="David" w:hAnsi="David"/>
          <w:color w:val="000000"/>
          <w:sz w:val="28"/>
        </w:rPr>
      </w:pPr>
      <w:r w:rsidRPr="00297B70">
        <w:rPr>
          <w:rFonts w:ascii="David" w:hAnsi="David" w:hint="cs"/>
          <w:sz w:val="28"/>
          <w:rtl/>
        </w:rPr>
        <w:t xml:space="preserve">כפי שבואר לעיל, </w:t>
      </w:r>
      <w:r w:rsidR="00BE30F4" w:rsidRPr="00297B70">
        <w:rPr>
          <w:rFonts w:ascii="David" w:hAnsi="David"/>
          <w:sz w:val="28"/>
          <w:rtl/>
        </w:rPr>
        <w:t xml:space="preserve">בית הדין קמא התרשם </w:t>
      </w:r>
      <w:r w:rsidRPr="00297B70">
        <w:rPr>
          <w:rFonts w:ascii="David" w:hAnsi="David" w:hint="cs"/>
          <w:sz w:val="28"/>
          <w:rtl/>
        </w:rPr>
        <w:t>באופן חיובי מ</w:t>
      </w:r>
      <w:r w:rsidR="00DA55A2">
        <w:rPr>
          <w:rFonts w:ascii="David" w:hAnsi="David" w:hint="cs"/>
          <w:sz w:val="28"/>
          <w:rtl/>
        </w:rPr>
        <w:t xml:space="preserve">עדותה של </w:t>
      </w:r>
      <w:r w:rsidR="00BE30F4" w:rsidRPr="00297B70">
        <w:rPr>
          <w:rFonts w:ascii="David" w:hAnsi="David"/>
          <w:sz w:val="28"/>
          <w:rtl/>
        </w:rPr>
        <w:t>נפגעת העבירה</w:t>
      </w:r>
      <w:r w:rsidR="003429DA" w:rsidRPr="00297B70">
        <w:rPr>
          <w:rFonts w:ascii="David" w:hAnsi="David" w:hint="cs"/>
          <w:sz w:val="28"/>
          <w:rtl/>
        </w:rPr>
        <w:t>, לאחר ש</w:t>
      </w:r>
      <w:r w:rsidR="00DA55A2">
        <w:rPr>
          <w:rFonts w:ascii="David" w:hAnsi="David" w:hint="cs"/>
          <w:sz w:val="28"/>
          <w:rtl/>
        </w:rPr>
        <w:t>נמסרה באריכות (</w:t>
      </w:r>
      <w:r w:rsidR="003429DA" w:rsidRPr="00297B70">
        <w:rPr>
          <w:rFonts w:ascii="David" w:hAnsi="David" w:hint="cs"/>
          <w:sz w:val="28"/>
          <w:rtl/>
        </w:rPr>
        <w:t>במהלך שתי ישיבות</w:t>
      </w:r>
      <w:r w:rsidR="00DA55A2">
        <w:rPr>
          <w:rFonts w:ascii="David" w:hAnsi="David" w:hint="cs"/>
          <w:sz w:val="28"/>
          <w:rtl/>
        </w:rPr>
        <w:t>)</w:t>
      </w:r>
      <w:r w:rsidRPr="00297B70">
        <w:rPr>
          <w:rFonts w:ascii="David" w:hAnsi="David" w:hint="cs"/>
          <w:sz w:val="28"/>
          <w:rtl/>
        </w:rPr>
        <w:t>.</w:t>
      </w:r>
      <w:r w:rsidR="00BE30F4" w:rsidRPr="00297B70">
        <w:rPr>
          <w:rFonts w:ascii="David" w:hAnsi="David"/>
          <w:sz w:val="28"/>
          <w:rtl/>
        </w:rPr>
        <w:t xml:space="preserve"> </w:t>
      </w:r>
      <w:r w:rsidR="003429DA" w:rsidRPr="00297B70">
        <w:rPr>
          <w:rFonts w:ascii="David" w:hAnsi="David" w:hint="cs"/>
          <w:sz w:val="28"/>
          <w:rtl/>
        </w:rPr>
        <w:t xml:space="preserve">הוטעם, כי נפגעת העבירה </w:t>
      </w:r>
      <w:r w:rsidR="00D1204B" w:rsidRPr="00297B70">
        <w:rPr>
          <w:rFonts w:ascii="David" w:hAnsi="David"/>
          <w:sz w:val="28"/>
          <w:rtl/>
        </w:rPr>
        <w:t>אינה מבקשת להחמיר עם המערער ומבקשת לתאר את האירועים כהווייתם</w:t>
      </w:r>
      <w:r w:rsidR="00BD0533">
        <w:rPr>
          <w:rFonts w:ascii="David" w:hAnsi="David" w:hint="cs"/>
          <w:sz w:val="28"/>
          <w:rtl/>
        </w:rPr>
        <w:t>,</w:t>
      </w:r>
      <w:r w:rsidR="00CE02F3" w:rsidRPr="00297B70">
        <w:rPr>
          <w:rFonts w:ascii="David" w:hAnsi="David" w:hint="cs"/>
          <w:sz w:val="28"/>
          <w:rtl/>
        </w:rPr>
        <w:t xml:space="preserve"> מבלי להפריז או להגזים במידת חומרתם</w:t>
      </w:r>
      <w:r w:rsidR="00297B70" w:rsidRPr="00297B70">
        <w:rPr>
          <w:rFonts w:ascii="David" w:hAnsi="David" w:hint="cs"/>
          <w:sz w:val="28"/>
          <w:rtl/>
        </w:rPr>
        <w:t>.</w:t>
      </w:r>
      <w:r w:rsidR="001478F1" w:rsidRPr="00297B70">
        <w:rPr>
          <w:rFonts w:ascii="David" w:hAnsi="David" w:hint="cs"/>
          <w:sz w:val="28"/>
          <w:rtl/>
        </w:rPr>
        <w:t xml:space="preserve"> </w:t>
      </w:r>
      <w:r w:rsidR="003429DA" w:rsidRPr="00297B70">
        <w:rPr>
          <w:rFonts w:ascii="David" w:hAnsi="David" w:hint="cs"/>
          <w:sz w:val="28"/>
          <w:rtl/>
        </w:rPr>
        <w:t xml:space="preserve">על כך </w:t>
      </w:r>
      <w:r w:rsidR="00D26846" w:rsidRPr="00297B70">
        <w:rPr>
          <w:rFonts w:ascii="David" w:hAnsi="David"/>
          <w:sz w:val="28"/>
          <w:rtl/>
        </w:rPr>
        <w:t xml:space="preserve">נפסק לא אחת, כי </w:t>
      </w:r>
      <w:r w:rsidR="001128FE" w:rsidRPr="00297B70">
        <w:rPr>
          <w:rFonts w:ascii="David" w:hAnsi="David"/>
          <w:sz w:val="28"/>
          <w:rtl/>
        </w:rPr>
        <w:t xml:space="preserve">"לא ניתן להקל ראש בערכה של ההתרשמות הבלתי אמצעית מהעדים העולים על דוכן העדים, מספרים את סיפורם ונחשפים ברגעי חולשה, מבוכה וכאב...", וכי "לא ניתן להשוות בין שופט הערכאה הדיונית... לשופט בית המשפט </w:t>
      </w:r>
      <w:r w:rsidR="001128FE" w:rsidRPr="00297B70">
        <w:rPr>
          <w:rFonts w:ascii="David" w:hAnsi="David"/>
          <w:sz w:val="28"/>
          <w:rtl/>
        </w:rPr>
        <w:lastRenderedPageBreak/>
        <w:t xml:space="preserve">שלערעור, הניזון מן הפרוטוקול בלבד, מן הדף שאין לו קול ואין לו פנים. למראה עיניים ולמשמע אוזניים יש חשיבות" (ע"פ 1442/06 </w:t>
      </w:r>
      <w:r w:rsidR="001128FE" w:rsidRPr="00297B70">
        <w:rPr>
          <w:rFonts w:ascii="David" w:hAnsi="David"/>
          <w:b/>
          <w:bCs/>
          <w:sz w:val="28"/>
          <w:rtl/>
        </w:rPr>
        <w:t>מדינת ישראל נ' פלוני</w:t>
      </w:r>
      <w:r w:rsidR="001128FE" w:rsidRPr="00297B70">
        <w:rPr>
          <w:rFonts w:ascii="David" w:hAnsi="David"/>
          <w:sz w:val="28"/>
          <w:rtl/>
        </w:rPr>
        <w:t xml:space="preserve">, פסקה 23 (1.9.2008); ע"פ 4707/20 </w:t>
      </w:r>
      <w:r w:rsidR="001128FE" w:rsidRPr="00297B70">
        <w:rPr>
          <w:rFonts w:ascii="David" w:hAnsi="David"/>
          <w:b/>
          <w:bCs/>
          <w:sz w:val="28"/>
          <w:rtl/>
        </w:rPr>
        <w:t>פלוני נ' מדינת ישראל</w:t>
      </w:r>
      <w:r w:rsidR="001128FE" w:rsidRPr="00297B70">
        <w:rPr>
          <w:rFonts w:ascii="David" w:hAnsi="David"/>
          <w:sz w:val="28"/>
          <w:rtl/>
        </w:rPr>
        <w:t xml:space="preserve">, פסקה 16 (7.2.2022); ע/18,26/22 </w:t>
      </w:r>
      <w:r w:rsidR="001128FE" w:rsidRPr="00297B70">
        <w:rPr>
          <w:rFonts w:ascii="David" w:hAnsi="David"/>
          <w:b/>
          <w:bCs/>
          <w:sz w:val="28"/>
          <w:rtl/>
        </w:rPr>
        <w:t xml:space="preserve">רס"ן </w:t>
      </w:r>
      <w:proofErr w:type="spellStart"/>
      <w:r w:rsidR="001128FE" w:rsidRPr="00297B70">
        <w:rPr>
          <w:rFonts w:ascii="David" w:hAnsi="David"/>
          <w:b/>
          <w:bCs/>
          <w:sz w:val="28"/>
          <w:rtl/>
        </w:rPr>
        <w:t>קלימי</w:t>
      </w:r>
      <w:proofErr w:type="spellEnd"/>
      <w:r w:rsidR="001128FE" w:rsidRPr="00297B70">
        <w:rPr>
          <w:rFonts w:ascii="David" w:hAnsi="David"/>
          <w:b/>
          <w:bCs/>
          <w:sz w:val="28"/>
          <w:rtl/>
        </w:rPr>
        <w:t xml:space="preserve"> נ' התובע הצבאי הראשי</w:t>
      </w:r>
      <w:r w:rsidR="001128FE" w:rsidRPr="00297B70">
        <w:rPr>
          <w:rFonts w:ascii="David" w:hAnsi="David"/>
          <w:sz w:val="28"/>
          <w:rtl/>
        </w:rPr>
        <w:t>, פסקה 52 (2023)). על כן, משקביעותיו של בית הדין בכל הנוגע למהימנותה של נפגעת העבירה, נטועות עמוק בהתרשמותו הישירה ממנה, יש בכך להוות "דוגמה מובהקת למצב שבו לערכאה הדיונית יתרון ניכר על פני ערכאת הערעור בהערכת העדויות שנשמעו בפניה" (</w:t>
      </w:r>
      <w:r w:rsidR="00935D47" w:rsidRPr="00297B70">
        <w:rPr>
          <w:rFonts w:ascii="David" w:hAnsi="David" w:hint="cs"/>
          <w:sz w:val="28"/>
          <w:rtl/>
        </w:rPr>
        <w:t xml:space="preserve">ע"פ 6722/22 </w:t>
      </w:r>
      <w:r w:rsidR="00935D47" w:rsidRPr="00297B70">
        <w:rPr>
          <w:rFonts w:ascii="David" w:hAnsi="David" w:hint="cs"/>
          <w:b/>
          <w:bCs/>
          <w:sz w:val="28"/>
          <w:rtl/>
        </w:rPr>
        <w:t>פלוני נ' מדינת ישראל</w:t>
      </w:r>
      <w:r w:rsidR="00935D47" w:rsidRPr="00297B70">
        <w:rPr>
          <w:rFonts w:ascii="David" w:hAnsi="David" w:hint="cs"/>
          <w:sz w:val="28"/>
          <w:rtl/>
        </w:rPr>
        <w:t xml:space="preserve">, פסקה 21 (10.9.2023); </w:t>
      </w:r>
      <w:r w:rsidR="001128FE" w:rsidRPr="00297B70">
        <w:rPr>
          <w:rFonts w:ascii="David" w:hAnsi="David"/>
          <w:sz w:val="28"/>
          <w:rtl/>
        </w:rPr>
        <w:t xml:space="preserve">ע"פ 6038/21 </w:t>
      </w:r>
      <w:r w:rsidR="001128FE" w:rsidRPr="00297B70">
        <w:rPr>
          <w:rFonts w:ascii="David" w:hAnsi="David"/>
          <w:b/>
          <w:bCs/>
          <w:sz w:val="28"/>
          <w:rtl/>
        </w:rPr>
        <w:t>פלוני נ' מדינת ישראל</w:t>
      </w:r>
      <w:r w:rsidR="001128FE" w:rsidRPr="00297B70">
        <w:rPr>
          <w:rFonts w:ascii="David" w:hAnsi="David"/>
          <w:sz w:val="28"/>
          <w:rtl/>
        </w:rPr>
        <w:t xml:space="preserve">, פסקה 54 (5.1.2023)). </w:t>
      </w:r>
    </w:p>
    <w:p w14:paraId="06D96CFC" w14:textId="270C986C" w:rsidR="00252C63" w:rsidRDefault="002F1E4E" w:rsidP="002C0946">
      <w:pPr>
        <w:pStyle w:val="ListParagraph"/>
        <w:widowControl w:val="0"/>
        <w:numPr>
          <w:ilvl w:val="0"/>
          <w:numId w:val="1"/>
        </w:numPr>
        <w:contextualSpacing/>
        <w:rPr>
          <w:rFonts w:ascii="David" w:hAnsi="David"/>
          <w:color w:val="000000"/>
          <w:sz w:val="28"/>
        </w:rPr>
      </w:pPr>
      <w:r w:rsidRPr="00252C63">
        <w:rPr>
          <w:rFonts w:ascii="David" w:hAnsi="David" w:hint="cs"/>
          <w:sz w:val="28"/>
          <w:rtl/>
        </w:rPr>
        <w:t>מ</w:t>
      </w:r>
      <w:r w:rsidR="00D11D9B" w:rsidRPr="00252C63">
        <w:rPr>
          <w:rFonts w:ascii="David" w:hAnsi="David"/>
          <w:sz w:val="28"/>
          <w:rtl/>
        </w:rPr>
        <w:t xml:space="preserve">עבר להתרשמותו הבלתי אמצעית </w:t>
      </w:r>
      <w:r w:rsidR="007856C3" w:rsidRPr="00252C63">
        <w:rPr>
          <w:rFonts w:ascii="David" w:hAnsi="David" w:hint="cs"/>
          <w:sz w:val="28"/>
          <w:rtl/>
        </w:rPr>
        <w:t xml:space="preserve">של בית הדין קמא </w:t>
      </w:r>
      <w:r w:rsidR="00D11D9B" w:rsidRPr="00252C63">
        <w:rPr>
          <w:rFonts w:ascii="David" w:hAnsi="David"/>
          <w:sz w:val="28"/>
          <w:rtl/>
        </w:rPr>
        <w:t xml:space="preserve">מעדותה של נפגעת העבירה, הוא גם ערך השוואה מדוקדקת בין </w:t>
      </w:r>
      <w:r w:rsidR="001C3AEC">
        <w:rPr>
          <w:rFonts w:ascii="David" w:hAnsi="David" w:hint="cs"/>
          <w:sz w:val="28"/>
          <w:rtl/>
        </w:rPr>
        <w:t>דבריה כפי שנמסרו ב</w:t>
      </w:r>
      <w:r w:rsidR="0017197B" w:rsidRPr="00252C63">
        <w:rPr>
          <w:rFonts w:ascii="David" w:hAnsi="David"/>
          <w:sz w:val="28"/>
          <w:rtl/>
        </w:rPr>
        <w:t xml:space="preserve">דיווח שכתבה במפגש הראשון עם </w:t>
      </w:r>
      <w:proofErr w:type="spellStart"/>
      <w:r w:rsidR="0017197B" w:rsidRPr="00252C63">
        <w:rPr>
          <w:rFonts w:ascii="David" w:hAnsi="David"/>
          <w:sz w:val="28"/>
          <w:rtl/>
        </w:rPr>
        <w:t>ממונת</w:t>
      </w:r>
      <w:proofErr w:type="spellEnd"/>
      <w:r w:rsidR="0017197B" w:rsidRPr="00252C63">
        <w:rPr>
          <w:rFonts w:ascii="David" w:hAnsi="David"/>
          <w:sz w:val="28"/>
          <w:rtl/>
        </w:rPr>
        <w:t xml:space="preserve"> </w:t>
      </w:r>
      <w:proofErr w:type="spellStart"/>
      <w:r w:rsidR="0017197B" w:rsidRPr="00252C63">
        <w:rPr>
          <w:rFonts w:ascii="David" w:hAnsi="David"/>
          <w:sz w:val="28"/>
          <w:rtl/>
        </w:rPr>
        <w:t>היוהל"ם</w:t>
      </w:r>
      <w:proofErr w:type="spellEnd"/>
      <w:r w:rsidR="00E01E7C">
        <w:rPr>
          <w:rFonts w:ascii="David" w:hAnsi="David" w:hint="cs"/>
          <w:sz w:val="28"/>
          <w:rtl/>
        </w:rPr>
        <w:t>,</w:t>
      </w:r>
      <w:r w:rsidR="0017197B" w:rsidRPr="00252C63">
        <w:rPr>
          <w:rFonts w:ascii="David" w:hAnsi="David"/>
          <w:sz w:val="28"/>
          <w:rtl/>
        </w:rPr>
        <w:t xml:space="preserve"> </w:t>
      </w:r>
      <w:r w:rsidR="00BD0533">
        <w:rPr>
          <w:rFonts w:ascii="David" w:hAnsi="David" w:hint="cs"/>
          <w:sz w:val="28"/>
          <w:rtl/>
        </w:rPr>
        <w:t>הודעותיה</w:t>
      </w:r>
      <w:r w:rsidR="00BD0533" w:rsidRPr="00252C63">
        <w:rPr>
          <w:rFonts w:ascii="David" w:hAnsi="David"/>
          <w:sz w:val="28"/>
          <w:rtl/>
        </w:rPr>
        <w:t xml:space="preserve"> </w:t>
      </w:r>
      <w:r w:rsidR="0017197B" w:rsidRPr="00252C63">
        <w:rPr>
          <w:rFonts w:ascii="David" w:hAnsi="David"/>
          <w:sz w:val="28"/>
          <w:rtl/>
        </w:rPr>
        <w:t>במצ"ח</w:t>
      </w:r>
      <w:r w:rsidR="00E01E7C">
        <w:rPr>
          <w:rFonts w:ascii="David" w:hAnsi="David" w:hint="cs"/>
          <w:sz w:val="28"/>
          <w:rtl/>
        </w:rPr>
        <w:t xml:space="preserve"> ועדותה בבית הדין. נקבע כי </w:t>
      </w:r>
      <w:r w:rsidR="00F17662" w:rsidRPr="00252C63">
        <w:rPr>
          <w:rFonts w:ascii="David" w:hAnsi="David"/>
          <w:sz w:val="28"/>
          <w:rtl/>
        </w:rPr>
        <w:t xml:space="preserve">אמנם </w:t>
      </w:r>
      <w:r w:rsidR="008650CB" w:rsidRPr="00252C63">
        <w:rPr>
          <w:rFonts w:ascii="David" w:hAnsi="David"/>
          <w:sz w:val="28"/>
          <w:rtl/>
        </w:rPr>
        <w:t xml:space="preserve">ב"היבטים מסוימים" </w:t>
      </w:r>
      <w:r w:rsidR="00926C72" w:rsidRPr="00252C63">
        <w:rPr>
          <w:rFonts w:ascii="David" w:hAnsi="David"/>
          <w:sz w:val="28"/>
          <w:rtl/>
        </w:rPr>
        <w:t xml:space="preserve">עלו </w:t>
      </w:r>
      <w:r w:rsidR="00BD0533">
        <w:rPr>
          <w:rFonts w:ascii="David" w:hAnsi="David" w:hint="cs"/>
          <w:sz w:val="28"/>
          <w:rtl/>
        </w:rPr>
        <w:t xml:space="preserve">בדבריה </w:t>
      </w:r>
      <w:r w:rsidR="00926C72" w:rsidRPr="00252C63">
        <w:rPr>
          <w:rFonts w:ascii="David" w:hAnsi="David"/>
          <w:sz w:val="28"/>
          <w:rtl/>
        </w:rPr>
        <w:t xml:space="preserve">"אי דיוקים ואף סתירות" </w:t>
      </w:r>
      <w:r w:rsidR="009077AB">
        <w:rPr>
          <w:rFonts w:ascii="David" w:hAnsi="David" w:hint="cs"/>
          <w:sz w:val="28"/>
          <w:rtl/>
        </w:rPr>
        <w:t>-</w:t>
      </w:r>
      <w:r w:rsidR="00CD10E4">
        <w:rPr>
          <w:rFonts w:ascii="David" w:hAnsi="David" w:hint="cs"/>
          <w:sz w:val="28"/>
          <w:rtl/>
        </w:rPr>
        <w:t xml:space="preserve"> אך אלה נמצאו ביחס ל</w:t>
      </w:r>
      <w:r w:rsidR="00CD10E4" w:rsidRPr="00252C63">
        <w:rPr>
          <w:rFonts w:ascii="David" w:hAnsi="David" w:hint="cs"/>
          <w:sz w:val="28"/>
          <w:rtl/>
        </w:rPr>
        <w:t>עניינים</w:t>
      </w:r>
      <w:r w:rsidR="00CD10E4" w:rsidRPr="00252C63">
        <w:rPr>
          <w:rFonts w:ascii="David" w:hAnsi="David"/>
          <w:sz w:val="28"/>
          <w:rtl/>
        </w:rPr>
        <w:t xml:space="preserve"> שהם ב"פריפריה" של האירועים ואינם בעלי חשיבות בפני עצמם</w:t>
      </w:r>
      <w:r w:rsidR="00CD10E4">
        <w:rPr>
          <w:rFonts w:ascii="David" w:hAnsi="David" w:hint="cs"/>
          <w:sz w:val="28"/>
          <w:rtl/>
        </w:rPr>
        <w:t>, בעוד ש</w:t>
      </w:r>
      <w:r w:rsidR="00E01E7C">
        <w:rPr>
          <w:rFonts w:ascii="David" w:hAnsi="David" w:hint="cs"/>
          <w:sz w:val="28"/>
          <w:rtl/>
        </w:rPr>
        <w:t>לוז עדותה לא השתנה</w:t>
      </w:r>
      <w:r w:rsidR="00C70856">
        <w:rPr>
          <w:rFonts w:ascii="David" w:hAnsi="David" w:hint="cs"/>
          <w:sz w:val="28"/>
          <w:rtl/>
        </w:rPr>
        <w:t xml:space="preserve"> ואף נתמך בחיזוקים רבים</w:t>
      </w:r>
      <w:r w:rsidR="00CD10E4">
        <w:rPr>
          <w:rFonts w:ascii="David" w:hAnsi="David" w:hint="cs"/>
          <w:sz w:val="28"/>
          <w:rtl/>
        </w:rPr>
        <w:t>.</w:t>
      </w:r>
      <w:r w:rsidR="00C70856">
        <w:rPr>
          <w:rFonts w:ascii="David" w:hAnsi="David" w:hint="cs"/>
          <w:sz w:val="28"/>
          <w:rtl/>
        </w:rPr>
        <w:t xml:space="preserve"> </w:t>
      </w:r>
      <w:r w:rsidR="00BD0533">
        <w:rPr>
          <w:rFonts w:ascii="David" w:hAnsi="David" w:hint="cs"/>
          <w:sz w:val="28"/>
          <w:rtl/>
        </w:rPr>
        <w:t xml:space="preserve">שבנו ובחנו את </w:t>
      </w:r>
      <w:r w:rsidR="004B5327">
        <w:rPr>
          <w:rFonts w:ascii="David" w:hAnsi="David" w:hint="cs"/>
          <w:sz w:val="28"/>
          <w:rtl/>
        </w:rPr>
        <w:t xml:space="preserve">המסד הראייתי שהובא בפני בית הדין קמא בראי טיעוני ההגנה בערעור, </w:t>
      </w:r>
      <w:r w:rsidR="00BD0533">
        <w:rPr>
          <w:rFonts w:ascii="David" w:hAnsi="David" w:hint="cs"/>
          <w:sz w:val="28"/>
          <w:rtl/>
        </w:rPr>
        <w:t>ו</w:t>
      </w:r>
      <w:r w:rsidR="002F0D76" w:rsidRPr="00252C63">
        <w:rPr>
          <w:rFonts w:ascii="David" w:hAnsi="David" w:hint="cs"/>
          <w:sz w:val="28"/>
          <w:rtl/>
        </w:rPr>
        <w:t>מצאנו כי אין מקום להתערב במסקנ</w:t>
      </w:r>
      <w:r w:rsidR="00BD0533">
        <w:rPr>
          <w:rFonts w:ascii="David" w:hAnsi="David" w:hint="cs"/>
          <w:sz w:val="28"/>
          <w:rtl/>
        </w:rPr>
        <w:t>תו של בית הדין קמא</w:t>
      </w:r>
      <w:r w:rsidR="00C22F8D">
        <w:rPr>
          <w:rFonts w:ascii="David" w:hAnsi="David" w:hint="cs"/>
          <w:sz w:val="28"/>
          <w:rtl/>
        </w:rPr>
        <w:t xml:space="preserve">, וכי אכן לא חל שינוי ב"גרעין הקשה" של עדות נפגעת העבירה ביחס לתיאור האירועים. </w:t>
      </w:r>
      <w:r w:rsidR="00EC78C8">
        <w:rPr>
          <w:rFonts w:ascii="David" w:hAnsi="David" w:hint="cs"/>
          <w:sz w:val="28"/>
          <w:rtl/>
        </w:rPr>
        <w:t xml:space="preserve">נתייחס </w:t>
      </w:r>
      <w:r w:rsidR="00BD0533">
        <w:rPr>
          <w:rFonts w:ascii="David" w:hAnsi="David" w:hint="cs"/>
          <w:sz w:val="28"/>
          <w:rtl/>
        </w:rPr>
        <w:t xml:space="preserve">בהקשר זה </w:t>
      </w:r>
      <w:r w:rsidR="00EC78C8">
        <w:rPr>
          <w:rFonts w:ascii="David" w:hAnsi="David" w:hint="cs"/>
          <w:sz w:val="28"/>
          <w:rtl/>
        </w:rPr>
        <w:t xml:space="preserve">למספר סתירות </w:t>
      </w:r>
      <w:r w:rsidR="003E251F">
        <w:rPr>
          <w:rFonts w:ascii="David" w:hAnsi="David" w:hint="cs"/>
          <w:sz w:val="28"/>
          <w:rtl/>
        </w:rPr>
        <w:t>כ</w:t>
      </w:r>
      <w:r w:rsidR="00352526">
        <w:rPr>
          <w:rFonts w:ascii="David" w:hAnsi="David" w:hint="cs"/>
          <w:sz w:val="28"/>
          <w:rtl/>
        </w:rPr>
        <w:t>פ</w:t>
      </w:r>
      <w:r w:rsidR="003E251F">
        <w:rPr>
          <w:rFonts w:ascii="David" w:hAnsi="David" w:hint="cs"/>
          <w:sz w:val="28"/>
          <w:rtl/>
        </w:rPr>
        <w:t xml:space="preserve">י </w:t>
      </w:r>
      <w:r w:rsidR="00EC78C8">
        <w:rPr>
          <w:rFonts w:ascii="David" w:hAnsi="David" w:hint="cs"/>
          <w:sz w:val="28"/>
          <w:rtl/>
        </w:rPr>
        <w:t>שנטענו על ידי ההגנה</w:t>
      </w:r>
      <w:r w:rsidR="00352526">
        <w:rPr>
          <w:rFonts w:ascii="David" w:hAnsi="David" w:hint="cs"/>
          <w:sz w:val="28"/>
          <w:rtl/>
        </w:rPr>
        <w:t xml:space="preserve"> ו</w:t>
      </w:r>
      <w:r w:rsidR="00BD0533">
        <w:rPr>
          <w:rFonts w:ascii="David" w:hAnsi="David" w:hint="cs"/>
          <w:sz w:val="28"/>
          <w:rtl/>
        </w:rPr>
        <w:t>ל</w:t>
      </w:r>
      <w:r w:rsidR="00352526">
        <w:rPr>
          <w:rFonts w:ascii="David" w:hAnsi="David" w:hint="cs"/>
          <w:sz w:val="28"/>
          <w:rtl/>
        </w:rPr>
        <w:t>משמעותן ביחס ל</w:t>
      </w:r>
      <w:r w:rsidR="00EF52B1">
        <w:rPr>
          <w:rFonts w:ascii="David" w:hAnsi="David" w:hint="cs"/>
          <w:sz w:val="28"/>
          <w:rtl/>
        </w:rPr>
        <w:t>בחינת עדותה של נפגעת העבירה</w:t>
      </w:r>
      <w:r w:rsidR="00EC78C8">
        <w:rPr>
          <w:rFonts w:ascii="David" w:hAnsi="David" w:hint="cs"/>
          <w:sz w:val="28"/>
          <w:rtl/>
        </w:rPr>
        <w:t xml:space="preserve">. </w:t>
      </w:r>
    </w:p>
    <w:p w14:paraId="29402F9E" w14:textId="77777777" w:rsidR="00F41C19" w:rsidRPr="009F380A" w:rsidRDefault="00F41C19" w:rsidP="00F41C19">
      <w:pPr>
        <w:pStyle w:val="ListParagraph"/>
        <w:widowControl w:val="0"/>
        <w:contextualSpacing/>
        <w:rPr>
          <w:rFonts w:ascii="David" w:hAnsi="David"/>
          <w:color w:val="000000"/>
          <w:sz w:val="10"/>
          <w:szCs w:val="10"/>
        </w:rPr>
      </w:pPr>
    </w:p>
    <w:p w14:paraId="5E36B904" w14:textId="77777777" w:rsidR="006A43D6" w:rsidRPr="006A43D6" w:rsidRDefault="002F1BC2" w:rsidP="002C0946">
      <w:pPr>
        <w:pStyle w:val="ListParagraph"/>
        <w:widowControl w:val="0"/>
        <w:numPr>
          <w:ilvl w:val="0"/>
          <w:numId w:val="1"/>
        </w:numPr>
        <w:contextualSpacing/>
        <w:rPr>
          <w:rFonts w:ascii="David" w:hAnsi="David"/>
          <w:color w:val="000000"/>
          <w:sz w:val="28"/>
        </w:rPr>
      </w:pPr>
      <w:r w:rsidRPr="006A43D6">
        <w:rPr>
          <w:rFonts w:ascii="David" w:hAnsi="David" w:hint="cs"/>
          <w:sz w:val="28"/>
          <w:u w:val="single"/>
          <w:rtl/>
        </w:rPr>
        <w:t>האירוע הראשון</w:t>
      </w:r>
      <w:r w:rsidR="006A43D6">
        <w:rPr>
          <w:rFonts w:ascii="David" w:hAnsi="David" w:hint="cs"/>
          <w:sz w:val="28"/>
          <w:rtl/>
        </w:rPr>
        <w:t xml:space="preserve">  - </w:t>
      </w:r>
    </w:p>
    <w:p w14:paraId="7464B481" w14:textId="77777777" w:rsidR="00D165CE" w:rsidRDefault="003E251F" w:rsidP="002C0946">
      <w:pPr>
        <w:pStyle w:val="ListParagraph"/>
        <w:widowControl w:val="0"/>
        <w:contextualSpacing/>
        <w:rPr>
          <w:rFonts w:ascii="David" w:hAnsi="David"/>
          <w:sz w:val="28"/>
          <w:rtl/>
        </w:rPr>
      </w:pPr>
      <w:r>
        <w:rPr>
          <w:rFonts w:ascii="David" w:hAnsi="David" w:hint="cs"/>
          <w:sz w:val="28"/>
          <w:rtl/>
        </w:rPr>
        <w:t xml:space="preserve">כאמור, </w:t>
      </w:r>
      <w:r w:rsidR="00352526">
        <w:rPr>
          <w:rFonts w:ascii="David" w:hAnsi="David" w:hint="cs"/>
          <w:sz w:val="28"/>
          <w:rtl/>
        </w:rPr>
        <w:t xml:space="preserve">נטען כי ישנה </w:t>
      </w:r>
      <w:r w:rsidR="00C86146">
        <w:rPr>
          <w:rFonts w:ascii="David" w:hAnsi="David" w:hint="cs"/>
          <w:sz w:val="28"/>
          <w:rtl/>
        </w:rPr>
        <w:t>סתירה בעדות נפגעת העבירה באשר לסיבה שבגינה יצאה לחילוץ</w:t>
      </w:r>
      <w:r w:rsidR="00D165CE">
        <w:rPr>
          <w:rFonts w:ascii="David" w:hAnsi="David" w:hint="cs"/>
          <w:sz w:val="28"/>
          <w:rtl/>
        </w:rPr>
        <w:t xml:space="preserve"> - האם הדבר היה בשל בקשתה או בשל צורך מקצועי</w:t>
      </w:r>
      <w:r w:rsidR="00C86146">
        <w:rPr>
          <w:rFonts w:ascii="David" w:hAnsi="David" w:hint="cs"/>
          <w:sz w:val="28"/>
          <w:rtl/>
        </w:rPr>
        <w:t xml:space="preserve">. </w:t>
      </w:r>
      <w:r w:rsidR="00D165CE">
        <w:rPr>
          <w:rFonts w:ascii="David" w:hAnsi="David" w:hint="cs"/>
          <w:sz w:val="28"/>
          <w:rtl/>
        </w:rPr>
        <w:t xml:space="preserve">נבאר, כי </w:t>
      </w:r>
      <w:r w:rsidR="00123AC3" w:rsidRPr="00252C63">
        <w:rPr>
          <w:rFonts w:ascii="David" w:hAnsi="David" w:hint="cs"/>
          <w:sz w:val="28"/>
          <w:rtl/>
        </w:rPr>
        <w:t>נפגעת העבירה עצמה היא זו ש</w:t>
      </w:r>
      <w:r w:rsidR="00D165CE">
        <w:rPr>
          <w:rFonts w:ascii="David" w:hAnsi="David" w:hint="cs"/>
          <w:sz w:val="28"/>
          <w:rtl/>
        </w:rPr>
        <w:t>סיפרה מיוזמתה</w:t>
      </w:r>
      <w:r w:rsidR="00123AC3" w:rsidRPr="00252C63">
        <w:rPr>
          <w:rFonts w:ascii="David" w:hAnsi="David" w:hint="cs"/>
          <w:sz w:val="28"/>
          <w:rtl/>
        </w:rPr>
        <w:t xml:space="preserve"> בעדותה </w:t>
      </w:r>
      <w:r w:rsidR="00666962" w:rsidRPr="00252C63">
        <w:rPr>
          <w:rFonts w:ascii="David" w:hAnsi="David" w:hint="cs"/>
          <w:sz w:val="28"/>
          <w:rtl/>
        </w:rPr>
        <w:t xml:space="preserve">במצ"ח כי המערער עזר לה </w:t>
      </w:r>
      <w:r w:rsidR="00EF52B1">
        <w:rPr>
          <w:rFonts w:ascii="David" w:hAnsi="David" w:hint="cs"/>
          <w:sz w:val="28"/>
          <w:rtl/>
        </w:rPr>
        <w:t>ל</w:t>
      </w:r>
      <w:r w:rsidR="00666962" w:rsidRPr="00252C63">
        <w:rPr>
          <w:rFonts w:ascii="David" w:hAnsi="David" w:hint="cs"/>
          <w:sz w:val="28"/>
          <w:rtl/>
        </w:rPr>
        <w:t xml:space="preserve">שכנע את מפקדתה שתצטרף לחילוץ כלי רכב, </w:t>
      </w:r>
      <w:r w:rsidR="00D165CE">
        <w:rPr>
          <w:rFonts w:ascii="David" w:hAnsi="David" w:hint="cs"/>
          <w:sz w:val="28"/>
          <w:rtl/>
        </w:rPr>
        <w:t xml:space="preserve">וכי </w:t>
      </w:r>
      <w:r w:rsidR="00666962" w:rsidRPr="00252C63">
        <w:rPr>
          <w:rFonts w:ascii="David" w:hAnsi="David" w:hint="cs"/>
          <w:sz w:val="28"/>
          <w:rtl/>
        </w:rPr>
        <w:t xml:space="preserve">עניין </w:t>
      </w:r>
      <w:r w:rsidR="00D165CE">
        <w:rPr>
          <w:rFonts w:ascii="David" w:hAnsi="David" w:hint="cs"/>
          <w:sz w:val="28"/>
          <w:rtl/>
        </w:rPr>
        <w:t xml:space="preserve">זה </w:t>
      </w:r>
      <w:r w:rsidR="00666962" w:rsidRPr="00252C63">
        <w:rPr>
          <w:rFonts w:ascii="David" w:hAnsi="David" w:hint="cs"/>
          <w:sz w:val="28"/>
          <w:rtl/>
        </w:rPr>
        <w:t>עשוי להועיל להכשרתה בתקופת הסיפוח</w:t>
      </w:r>
      <w:r w:rsidR="00EF52B1">
        <w:rPr>
          <w:rFonts w:ascii="David" w:hAnsi="David" w:hint="cs"/>
          <w:sz w:val="28"/>
          <w:rtl/>
        </w:rPr>
        <w:t xml:space="preserve">; וכי </w:t>
      </w:r>
      <w:r w:rsidR="00D165CE">
        <w:rPr>
          <w:rFonts w:ascii="David" w:hAnsi="David" w:hint="cs"/>
          <w:sz w:val="28"/>
          <w:rtl/>
        </w:rPr>
        <w:t>כך</w:t>
      </w:r>
      <w:r w:rsidR="00883541" w:rsidRPr="00252C63">
        <w:rPr>
          <w:rFonts w:ascii="David" w:hAnsi="David" w:hint="cs"/>
          <w:sz w:val="28"/>
          <w:rtl/>
        </w:rPr>
        <w:t xml:space="preserve"> או כך </w:t>
      </w:r>
      <w:r w:rsidR="00EF52B1">
        <w:rPr>
          <w:rFonts w:ascii="David" w:hAnsi="David" w:hint="cs"/>
          <w:sz w:val="28"/>
          <w:rtl/>
        </w:rPr>
        <w:t>אין רלוונטיות</w:t>
      </w:r>
      <w:r w:rsidR="005A21BC">
        <w:rPr>
          <w:rFonts w:ascii="David" w:hAnsi="David" w:hint="cs"/>
          <w:sz w:val="28"/>
          <w:rtl/>
        </w:rPr>
        <w:t xml:space="preserve"> לסוגיה זו, </w:t>
      </w:r>
      <w:r w:rsidR="00883541" w:rsidRPr="00252C63">
        <w:rPr>
          <w:rFonts w:ascii="David" w:hAnsi="David" w:hint="cs"/>
          <w:sz w:val="28"/>
          <w:rtl/>
        </w:rPr>
        <w:t>שעה שנפגעת העבירה אישרה כי בינה לבין המערער היו יחסים חבריים קרובים ומפגשים רבים בעת שהותה ביחידה בסיפוח</w:t>
      </w:r>
      <w:r w:rsidR="00D165CE">
        <w:rPr>
          <w:rFonts w:ascii="David" w:hAnsi="David" w:hint="cs"/>
          <w:sz w:val="28"/>
          <w:rtl/>
        </w:rPr>
        <w:t>, ולא ניסתה להסתיר זאת בשום שלב</w:t>
      </w:r>
      <w:r w:rsidR="00883541" w:rsidRPr="00252C63">
        <w:rPr>
          <w:rFonts w:ascii="David" w:hAnsi="David" w:hint="cs"/>
          <w:sz w:val="28"/>
          <w:rtl/>
        </w:rPr>
        <w:t>.</w:t>
      </w:r>
    </w:p>
    <w:p w14:paraId="566DA1D6" w14:textId="77777777" w:rsidR="00D55A1E" w:rsidRDefault="005A21BC" w:rsidP="002C0946">
      <w:pPr>
        <w:pStyle w:val="ListParagraph"/>
        <w:widowControl w:val="0"/>
        <w:contextualSpacing/>
        <w:rPr>
          <w:rFonts w:ascii="David" w:hAnsi="David"/>
          <w:sz w:val="28"/>
          <w:rtl/>
        </w:rPr>
      </w:pPr>
      <w:r>
        <w:rPr>
          <w:rFonts w:ascii="David" w:hAnsi="David" w:hint="cs"/>
          <w:sz w:val="28"/>
          <w:rtl/>
        </w:rPr>
        <w:t xml:space="preserve">אשר לשאלה </w:t>
      </w:r>
      <w:r w:rsidR="00291C94">
        <w:rPr>
          <w:rFonts w:ascii="David" w:hAnsi="David" w:hint="cs"/>
          <w:sz w:val="28"/>
          <w:rtl/>
        </w:rPr>
        <w:t xml:space="preserve">האם ישבה </w:t>
      </w:r>
      <w:r w:rsidR="00D617D5" w:rsidRPr="00252C63">
        <w:rPr>
          <w:rFonts w:ascii="David" w:hAnsi="David" w:hint="cs"/>
          <w:sz w:val="28"/>
          <w:rtl/>
        </w:rPr>
        <w:t xml:space="preserve">נפגעת העבירה גם </w:t>
      </w:r>
      <w:r w:rsidR="00B47695">
        <w:rPr>
          <w:rFonts w:ascii="David" w:hAnsi="David" w:hint="cs"/>
          <w:sz w:val="28"/>
          <w:rtl/>
        </w:rPr>
        <w:t xml:space="preserve">במושב האחורי </w:t>
      </w:r>
      <w:r w:rsidR="00D617D5" w:rsidRPr="00252C63">
        <w:rPr>
          <w:rFonts w:ascii="David" w:hAnsi="David" w:hint="cs"/>
          <w:sz w:val="28"/>
          <w:rtl/>
        </w:rPr>
        <w:t>במהלך הנסיעה</w:t>
      </w:r>
      <w:r w:rsidR="00B47695">
        <w:rPr>
          <w:rFonts w:ascii="David" w:hAnsi="David" w:hint="cs"/>
          <w:sz w:val="28"/>
          <w:rtl/>
        </w:rPr>
        <w:t xml:space="preserve"> או רק ב</w:t>
      </w:r>
      <w:r w:rsidR="00B64623">
        <w:rPr>
          <w:rFonts w:ascii="David" w:hAnsi="David" w:hint="cs"/>
          <w:sz w:val="28"/>
          <w:rtl/>
        </w:rPr>
        <w:t>מושב ה</w:t>
      </w:r>
      <w:r w:rsidR="00B47695">
        <w:rPr>
          <w:rFonts w:ascii="David" w:hAnsi="David" w:hint="cs"/>
          <w:sz w:val="28"/>
          <w:rtl/>
        </w:rPr>
        <w:t>קדמי</w:t>
      </w:r>
      <w:r w:rsidR="00B64623">
        <w:rPr>
          <w:rFonts w:ascii="David" w:hAnsi="David" w:hint="cs"/>
          <w:sz w:val="28"/>
          <w:rtl/>
        </w:rPr>
        <w:t xml:space="preserve"> (עניין שעליו עמדה בעדותה עד לשלב מתקדם בחקירה הנגדית, אז אישרה כי ישבה גם מאחור)</w:t>
      </w:r>
      <w:r>
        <w:rPr>
          <w:rFonts w:ascii="David" w:hAnsi="David" w:hint="cs"/>
          <w:sz w:val="28"/>
          <w:rtl/>
        </w:rPr>
        <w:t xml:space="preserve"> </w:t>
      </w:r>
      <w:r w:rsidR="00627E62">
        <w:rPr>
          <w:rFonts w:ascii="David" w:hAnsi="David" w:hint="cs"/>
          <w:sz w:val="28"/>
          <w:rtl/>
        </w:rPr>
        <w:t>-</w:t>
      </w:r>
      <w:r>
        <w:rPr>
          <w:rFonts w:ascii="David" w:hAnsi="David" w:hint="cs"/>
          <w:sz w:val="28"/>
          <w:rtl/>
        </w:rPr>
        <w:t xml:space="preserve"> </w:t>
      </w:r>
      <w:r w:rsidR="001F0916">
        <w:rPr>
          <w:rFonts w:ascii="David" w:hAnsi="David" w:hint="cs"/>
          <w:sz w:val="28"/>
          <w:rtl/>
        </w:rPr>
        <w:t xml:space="preserve">סברנו כי אף לסוגיה זו אין משמעות רבה, </w:t>
      </w:r>
      <w:r w:rsidR="00B47695">
        <w:rPr>
          <w:rFonts w:ascii="David" w:hAnsi="David" w:hint="cs"/>
          <w:sz w:val="28"/>
          <w:rtl/>
        </w:rPr>
        <w:t xml:space="preserve">שכן אין מחלוקת כי </w:t>
      </w:r>
      <w:r w:rsidR="00D617D5" w:rsidRPr="00252C63">
        <w:rPr>
          <w:rFonts w:ascii="David" w:hAnsi="David" w:hint="cs"/>
          <w:sz w:val="28"/>
          <w:rtl/>
        </w:rPr>
        <w:t xml:space="preserve">נפגעת העבירה ישבה </w:t>
      </w:r>
      <w:r w:rsidR="00BD0533">
        <w:rPr>
          <w:rFonts w:ascii="David" w:hAnsi="David" w:hint="cs"/>
          <w:sz w:val="28"/>
          <w:rtl/>
        </w:rPr>
        <w:t xml:space="preserve">בקדמת הרכב </w:t>
      </w:r>
      <w:r w:rsidR="00B47695">
        <w:rPr>
          <w:rFonts w:ascii="David" w:hAnsi="David" w:hint="cs"/>
          <w:sz w:val="28"/>
          <w:rtl/>
        </w:rPr>
        <w:t xml:space="preserve">לפחות בחלקה </w:t>
      </w:r>
      <w:r w:rsidR="00B64623">
        <w:rPr>
          <w:rFonts w:ascii="David" w:hAnsi="David" w:hint="cs"/>
          <w:sz w:val="28"/>
          <w:rtl/>
        </w:rPr>
        <w:t xml:space="preserve">של הנסיעה המשותפת, </w:t>
      </w:r>
      <w:r w:rsidR="00D617D5" w:rsidRPr="00252C63">
        <w:rPr>
          <w:rFonts w:ascii="David" w:hAnsi="David" w:hint="cs"/>
          <w:sz w:val="28"/>
          <w:rtl/>
        </w:rPr>
        <w:t xml:space="preserve">באופן שאפשר </w:t>
      </w:r>
      <w:r w:rsidR="00BD0533">
        <w:rPr>
          <w:rFonts w:ascii="David" w:hAnsi="David" w:hint="cs"/>
          <w:sz w:val="28"/>
          <w:rtl/>
        </w:rPr>
        <w:t>את המגע בה - בין זה המיוחס בכתב האישום, ובין זה שתואר בגרסת המערער</w:t>
      </w:r>
      <w:r w:rsidR="00627E62">
        <w:rPr>
          <w:rFonts w:ascii="David" w:hAnsi="David" w:hint="cs"/>
          <w:sz w:val="28"/>
          <w:rtl/>
        </w:rPr>
        <w:t xml:space="preserve">; אולם מעבר לכך ראוי לציין, כי </w:t>
      </w:r>
      <w:r w:rsidR="00DA3A55">
        <w:rPr>
          <w:rFonts w:ascii="David" w:hAnsi="David" w:hint="cs"/>
          <w:sz w:val="28"/>
          <w:rtl/>
        </w:rPr>
        <w:t xml:space="preserve">כבר כשהוצגה לנפגעת העבירה בחקירתה במצ"ח עדותו של רס"ל ליעד על כך שהיה פרק זמן שבו ישבה מאחור, אישרה כי יתכן </w:t>
      </w:r>
      <w:r w:rsidR="00DE30BE">
        <w:rPr>
          <w:rFonts w:ascii="David" w:hAnsi="David" w:hint="cs"/>
          <w:sz w:val="28"/>
          <w:rtl/>
        </w:rPr>
        <w:t>ש</w:t>
      </w:r>
      <w:r w:rsidR="00351AF3">
        <w:rPr>
          <w:rFonts w:ascii="David" w:hAnsi="David" w:hint="cs"/>
          <w:sz w:val="28"/>
          <w:rtl/>
        </w:rPr>
        <w:t xml:space="preserve">כך היה. </w:t>
      </w:r>
      <w:r w:rsidR="00BD0533">
        <w:rPr>
          <w:rFonts w:ascii="David" w:hAnsi="David" w:hint="cs"/>
          <w:sz w:val="28"/>
          <w:rtl/>
        </w:rPr>
        <w:t>כפי ש</w:t>
      </w:r>
      <w:r w:rsidR="00B64623">
        <w:rPr>
          <w:rFonts w:ascii="David" w:hAnsi="David" w:hint="cs"/>
          <w:sz w:val="28"/>
          <w:rtl/>
        </w:rPr>
        <w:t>הבהירה</w:t>
      </w:r>
      <w:r w:rsidR="00BD0533">
        <w:rPr>
          <w:rFonts w:ascii="David" w:hAnsi="David" w:hint="cs"/>
          <w:sz w:val="28"/>
          <w:rtl/>
        </w:rPr>
        <w:t xml:space="preserve">, </w:t>
      </w:r>
      <w:r w:rsidR="00B64623">
        <w:rPr>
          <w:rFonts w:ascii="David" w:hAnsi="David" w:hint="cs"/>
          <w:sz w:val="28"/>
          <w:rtl/>
        </w:rPr>
        <w:t xml:space="preserve">לא ייחסה לסוגיה זו </w:t>
      </w:r>
      <w:r w:rsidR="00D55A1E">
        <w:rPr>
          <w:rFonts w:ascii="David" w:hAnsi="David" w:hint="cs"/>
          <w:sz w:val="28"/>
          <w:rtl/>
        </w:rPr>
        <w:t>כל חשיבות במהלך עדותה.</w:t>
      </w:r>
      <w:r w:rsidR="00FB0D5A">
        <w:rPr>
          <w:rFonts w:ascii="David" w:hAnsi="David" w:hint="cs"/>
          <w:sz w:val="28"/>
          <w:rtl/>
        </w:rPr>
        <w:t xml:space="preserve"> דברים אלה יפים גם לשאלה מתי </w:t>
      </w:r>
      <w:r w:rsidR="00093250">
        <w:rPr>
          <w:rFonts w:ascii="David" w:hAnsi="David" w:hint="cs"/>
          <w:sz w:val="28"/>
          <w:rtl/>
        </w:rPr>
        <w:t xml:space="preserve">בדיוק </w:t>
      </w:r>
      <w:r w:rsidR="00FB0D5A">
        <w:rPr>
          <w:rFonts w:ascii="David" w:hAnsi="David" w:hint="cs"/>
          <w:sz w:val="28"/>
          <w:rtl/>
        </w:rPr>
        <w:t xml:space="preserve">במהלך הנסיעה התקיימה עצירה </w:t>
      </w:r>
      <w:r w:rsidR="00FB0D5A">
        <w:rPr>
          <w:rFonts w:ascii="David" w:hAnsi="David" w:hint="cs"/>
          <w:sz w:val="28"/>
          <w:rtl/>
        </w:rPr>
        <w:lastRenderedPageBreak/>
        <w:t>לצורך מפגש עם חברתה של נפגעת העבירה</w:t>
      </w:r>
      <w:r w:rsidR="00093250">
        <w:rPr>
          <w:rFonts w:ascii="David" w:hAnsi="David" w:hint="cs"/>
          <w:sz w:val="28"/>
          <w:rtl/>
        </w:rPr>
        <w:t>; ויוזכר כי נפגעת העבירה מסרה עדותה ביחס לאירוע זה מספר חודשים לאחר התרחשותו, שכן לא ביקשה ל</w:t>
      </w:r>
      <w:r w:rsidR="00397FBE">
        <w:rPr>
          <w:rFonts w:ascii="David" w:hAnsi="David" w:hint="cs"/>
          <w:sz w:val="28"/>
          <w:rtl/>
        </w:rPr>
        <w:t xml:space="preserve">הגיש תלונה כנגד </w:t>
      </w:r>
      <w:r w:rsidR="00093250">
        <w:rPr>
          <w:rFonts w:ascii="David" w:hAnsi="David" w:hint="cs"/>
          <w:sz w:val="28"/>
          <w:rtl/>
        </w:rPr>
        <w:t>המערער עד לאחר האירוע השני</w:t>
      </w:r>
      <w:r w:rsidR="00397FBE">
        <w:rPr>
          <w:rFonts w:ascii="David" w:hAnsi="David" w:hint="cs"/>
          <w:sz w:val="28"/>
          <w:rtl/>
        </w:rPr>
        <w:t>. מכאן ש</w:t>
      </w:r>
      <w:r w:rsidR="00D5102C">
        <w:rPr>
          <w:rFonts w:ascii="David" w:hAnsi="David" w:hint="cs"/>
          <w:sz w:val="28"/>
          <w:rtl/>
        </w:rPr>
        <w:t xml:space="preserve">אין </w:t>
      </w:r>
      <w:r w:rsidR="00397FBE">
        <w:rPr>
          <w:rFonts w:ascii="David" w:hAnsi="David" w:hint="cs"/>
          <w:sz w:val="28"/>
          <w:rtl/>
        </w:rPr>
        <w:t>תמה</w:t>
      </w:r>
      <w:r w:rsidR="00D5102C">
        <w:rPr>
          <w:rFonts w:ascii="David" w:hAnsi="David" w:hint="cs"/>
          <w:sz w:val="28"/>
          <w:rtl/>
        </w:rPr>
        <w:t xml:space="preserve"> שלא זכרה פרט </w:t>
      </w:r>
      <w:r w:rsidR="00BD0533">
        <w:rPr>
          <w:rFonts w:ascii="David" w:hAnsi="David" w:hint="cs"/>
          <w:sz w:val="28"/>
          <w:rtl/>
        </w:rPr>
        <w:t xml:space="preserve">שהוא </w:t>
      </w:r>
      <w:r w:rsidR="00D5102C">
        <w:rPr>
          <w:rFonts w:ascii="David" w:hAnsi="David" w:hint="cs"/>
          <w:sz w:val="28"/>
          <w:rtl/>
        </w:rPr>
        <w:t xml:space="preserve">פריפריאלי לאירוע. </w:t>
      </w:r>
    </w:p>
    <w:p w14:paraId="46E67B03" w14:textId="7CDB7A36" w:rsidR="0043233A" w:rsidRDefault="00C53321" w:rsidP="002C0946">
      <w:pPr>
        <w:pStyle w:val="ListParagraph"/>
        <w:widowControl w:val="0"/>
        <w:contextualSpacing/>
        <w:rPr>
          <w:rFonts w:ascii="David" w:hAnsi="David"/>
          <w:sz w:val="28"/>
          <w:rtl/>
        </w:rPr>
      </w:pPr>
      <w:r>
        <w:rPr>
          <w:rFonts w:ascii="David" w:hAnsi="David" w:hint="cs"/>
          <w:sz w:val="28"/>
          <w:rtl/>
        </w:rPr>
        <w:t>גם בטע</w:t>
      </w:r>
      <w:r w:rsidR="00897BB8">
        <w:rPr>
          <w:rFonts w:ascii="David" w:hAnsi="David" w:hint="cs"/>
          <w:sz w:val="28"/>
          <w:rtl/>
        </w:rPr>
        <w:t xml:space="preserve">נת ההגנה כי </w:t>
      </w:r>
      <w:r w:rsidR="00D74DA3">
        <w:rPr>
          <w:rFonts w:ascii="David" w:hAnsi="David" w:hint="cs"/>
          <w:sz w:val="28"/>
          <w:rtl/>
        </w:rPr>
        <w:t xml:space="preserve">נפגעת העבירה לא העלתה </w:t>
      </w:r>
      <w:r w:rsidR="00773BEB">
        <w:rPr>
          <w:rFonts w:ascii="David" w:hAnsi="David" w:hint="cs"/>
          <w:sz w:val="28"/>
          <w:rtl/>
        </w:rPr>
        <w:t xml:space="preserve">באופן </w:t>
      </w:r>
      <w:proofErr w:type="spellStart"/>
      <w:r w:rsidR="00773BEB">
        <w:rPr>
          <w:rFonts w:ascii="David" w:hAnsi="David" w:hint="cs"/>
          <w:sz w:val="28"/>
          <w:rtl/>
        </w:rPr>
        <w:t>מיידי</w:t>
      </w:r>
      <w:proofErr w:type="spellEnd"/>
      <w:r w:rsidR="00773BEB">
        <w:rPr>
          <w:rFonts w:ascii="David" w:hAnsi="David" w:hint="cs"/>
          <w:sz w:val="28"/>
          <w:rtl/>
        </w:rPr>
        <w:t xml:space="preserve"> בחקירתה </w:t>
      </w:r>
      <w:r w:rsidR="00D74DA3">
        <w:rPr>
          <w:rFonts w:ascii="David" w:hAnsi="David" w:hint="cs"/>
          <w:sz w:val="28"/>
          <w:rtl/>
        </w:rPr>
        <w:t xml:space="preserve">את הטענה כי המערער נגע גם ברגלה באירוע הראשון </w:t>
      </w:r>
      <w:r>
        <w:rPr>
          <w:rFonts w:ascii="David" w:hAnsi="David" w:hint="cs"/>
          <w:sz w:val="28"/>
          <w:rtl/>
        </w:rPr>
        <w:t xml:space="preserve">אין ממש, שכן </w:t>
      </w:r>
      <w:r w:rsidR="000E2625">
        <w:rPr>
          <w:rFonts w:ascii="David" w:hAnsi="David" w:hint="cs"/>
          <w:sz w:val="28"/>
          <w:rtl/>
        </w:rPr>
        <w:t>מעיון בהודעתה</w:t>
      </w:r>
      <w:r w:rsidR="00752288">
        <w:rPr>
          <w:rFonts w:ascii="David" w:hAnsi="David" w:hint="cs"/>
          <w:sz w:val="28"/>
          <w:rtl/>
        </w:rPr>
        <w:t xml:space="preserve"> הראשונה במצ"ח</w:t>
      </w:r>
      <w:r w:rsidR="000E2625">
        <w:rPr>
          <w:rFonts w:ascii="David" w:hAnsi="David" w:hint="cs"/>
          <w:sz w:val="28"/>
          <w:rtl/>
        </w:rPr>
        <w:t xml:space="preserve"> עולה שבעוד שבראשית הדברים תיארה את קיומו של האירוע באופן כללי, הרי שבהמשך החקירה, עת התבקשה לפרט את כל אשר אירע </w:t>
      </w:r>
      <w:r w:rsidR="0074224E">
        <w:rPr>
          <w:rFonts w:ascii="David" w:hAnsi="David" w:hint="cs"/>
          <w:sz w:val="28"/>
          <w:rtl/>
        </w:rPr>
        <w:t xml:space="preserve">באופן ספציפי וקונקרטי, תיארה את המגע האמור. כמו כן </w:t>
      </w:r>
      <w:r w:rsidR="007040E4">
        <w:rPr>
          <w:rFonts w:ascii="David" w:hAnsi="David" w:hint="cs"/>
          <w:sz w:val="28"/>
          <w:rtl/>
        </w:rPr>
        <w:t xml:space="preserve">לא </w:t>
      </w:r>
      <w:r w:rsidR="0045023E" w:rsidRPr="00252C63">
        <w:rPr>
          <w:rFonts w:ascii="David" w:hAnsi="David" w:hint="cs"/>
          <w:sz w:val="28"/>
          <w:rtl/>
        </w:rPr>
        <w:t>הוצג</w:t>
      </w:r>
      <w:r w:rsidR="00A73A79" w:rsidRPr="00252C63">
        <w:rPr>
          <w:rFonts w:ascii="David" w:hAnsi="David" w:hint="cs"/>
          <w:sz w:val="28"/>
          <w:rtl/>
        </w:rPr>
        <w:t xml:space="preserve">ו תימוכין לטענת ההגנה כי </w:t>
      </w:r>
      <w:r w:rsidR="007040E4">
        <w:rPr>
          <w:rFonts w:ascii="David" w:hAnsi="David" w:hint="cs"/>
          <w:sz w:val="28"/>
          <w:rtl/>
        </w:rPr>
        <w:t>אין אפשרות פיזית לכך</w:t>
      </w:r>
      <w:r w:rsidR="005054CB" w:rsidRPr="00252C63">
        <w:rPr>
          <w:rFonts w:ascii="David" w:hAnsi="David" w:hint="cs"/>
          <w:sz w:val="28"/>
          <w:rtl/>
        </w:rPr>
        <w:t xml:space="preserve"> ש</w:t>
      </w:r>
      <w:r w:rsidR="0045023E" w:rsidRPr="00252C63">
        <w:rPr>
          <w:rFonts w:ascii="David" w:hAnsi="David" w:hint="cs"/>
          <w:sz w:val="28"/>
          <w:rtl/>
        </w:rPr>
        <w:t>המערער</w:t>
      </w:r>
      <w:r w:rsidR="00BD0533">
        <w:rPr>
          <w:rFonts w:ascii="David" w:hAnsi="David" w:hint="cs"/>
          <w:sz w:val="28"/>
          <w:rtl/>
        </w:rPr>
        <w:t>,</w:t>
      </w:r>
      <w:r w:rsidR="0045023E" w:rsidRPr="00252C63">
        <w:rPr>
          <w:rFonts w:ascii="David" w:hAnsi="David" w:hint="cs"/>
          <w:sz w:val="28"/>
          <w:rtl/>
        </w:rPr>
        <w:t xml:space="preserve"> אשר נהג בצידו השמאלי של הרכב יניח למספר שניות את ידו הימנית על רגלה השמאלית </w:t>
      </w:r>
      <w:r w:rsidR="00824EF8" w:rsidRPr="00252C63">
        <w:rPr>
          <w:rFonts w:ascii="David" w:hAnsi="David" w:hint="cs"/>
          <w:sz w:val="28"/>
          <w:rtl/>
        </w:rPr>
        <w:t xml:space="preserve">של נפגעת העבירה שיושבת לימינו. </w:t>
      </w:r>
    </w:p>
    <w:p w14:paraId="0AEC51D9" w14:textId="77777777" w:rsidR="00F41C19" w:rsidRPr="009F380A" w:rsidRDefault="00F41C19" w:rsidP="002C0946">
      <w:pPr>
        <w:pStyle w:val="ListParagraph"/>
        <w:widowControl w:val="0"/>
        <w:contextualSpacing/>
        <w:rPr>
          <w:rFonts w:ascii="David" w:hAnsi="David"/>
          <w:sz w:val="10"/>
          <w:szCs w:val="10"/>
          <w:rtl/>
        </w:rPr>
      </w:pPr>
    </w:p>
    <w:p w14:paraId="130A0DFD" w14:textId="77777777" w:rsidR="001333C5" w:rsidRDefault="001333C5" w:rsidP="002C0946">
      <w:pPr>
        <w:pStyle w:val="ListParagraph"/>
        <w:widowControl w:val="0"/>
        <w:numPr>
          <w:ilvl w:val="0"/>
          <w:numId w:val="1"/>
        </w:numPr>
        <w:contextualSpacing/>
        <w:rPr>
          <w:rFonts w:ascii="David" w:hAnsi="David"/>
          <w:color w:val="000000"/>
          <w:sz w:val="28"/>
        </w:rPr>
      </w:pPr>
      <w:r>
        <w:rPr>
          <w:rFonts w:ascii="David" w:hAnsi="David" w:hint="cs"/>
          <w:color w:val="000000"/>
          <w:sz w:val="28"/>
          <w:u w:val="single"/>
          <w:rtl/>
        </w:rPr>
        <w:t>האירוע השני</w:t>
      </w:r>
      <w:r w:rsidR="0045023E" w:rsidRPr="002D1B3C">
        <w:rPr>
          <w:rFonts w:ascii="David" w:hAnsi="David" w:hint="cs"/>
          <w:color w:val="000000"/>
          <w:sz w:val="28"/>
          <w:rtl/>
        </w:rPr>
        <w:t xml:space="preserve"> </w:t>
      </w:r>
      <w:r w:rsidR="0075571B" w:rsidRPr="002D1B3C">
        <w:rPr>
          <w:rFonts w:ascii="David" w:hAnsi="David"/>
          <w:color w:val="000000"/>
          <w:sz w:val="28"/>
          <w:rtl/>
        </w:rPr>
        <w:t>–</w:t>
      </w:r>
      <w:r w:rsidR="0045023E" w:rsidRPr="002D1B3C">
        <w:rPr>
          <w:rFonts w:ascii="David" w:hAnsi="David" w:hint="cs"/>
          <w:color w:val="000000"/>
          <w:sz w:val="28"/>
          <w:rtl/>
        </w:rPr>
        <w:t xml:space="preserve"> </w:t>
      </w:r>
    </w:p>
    <w:p w14:paraId="03C76BF8" w14:textId="77777777" w:rsidR="00ED7F92" w:rsidRDefault="001E3115" w:rsidP="002C0946">
      <w:pPr>
        <w:pStyle w:val="ListParagraph"/>
        <w:rPr>
          <w:rFonts w:ascii="David" w:hAnsi="David"/>
          <w:sz w:val="28"/>
          <w:rtl/>
        </w:rPr>
      </w:pPr>
      <w:r>
        <w:rPr>
          <w:rFonts w:ascii="David" w:hAnsi="David" w:hint="cs"/>
          <w:sz w:val="28"/>
          <w:rtl/>
        </w:rPr>
        <w:t xml:space="preserve">לא מצאנו תימוכין לטענת ההגנה </w:t>
      </w:r>
      <w:r w:rsidR="00BD0533">
        <w:rPr>
          <w:rFonts w:ascii="David" w:hAnsi="David" w:hint="cs"/>
          <w:sz w:val="28"/>
          <w:rtl/>
        </w:rPr>
        <w:t>ש</w:t>
      </w:r>
      <w:r>
        <w:rPr>
          <w:rFonts w:ascii="David" w:hAnsi="David" w:hint="cs"/>
          <w:sz w:val="28"/>
          <w:rtl/>
        </w:rPr>
        <w:t xml:space="preserve">לפיה התגלעו </w:t>
      </w:r>
      <w:r w:rsidR="00030992">
        <w:rPr>
          <w:rFonts w:ascii="David" w:hAnsi="David" w:hint="cs"/>
          <w:sz w:val="28"/>
          <w:rtl/>
        </w:rPr>
        <w:t xml:space="preserve">סתירות בעדות נפגעת העבירה באשר לשאלה האם ידעה </w:t>
      </w:r>
      <w:r w:rsidR="00BD0533">
        <w:rPr>
          <w:rFonts w:ascii="David" w:hAnsi="David" w:hint="cs"/>
          <w:sz w:val="28"/>
          <w:rtl/>
        </w:rPr>
        <w:t xml:space="preserve">כי </w:t>
      </w:r>
      <w:r w:rsidRPr="004D74BF">
        <w:rPr>
          <w:rFonts w:ascii="David" w:hAnsi="David"/>
          <w:sz w:val="28"/>
          <w:rtl/>
        </w:rPr>
        <w:t>המערער נמצא באזור סדנ</w:t>
      </w:r>
      <w:r w:rsidR="00464C52">
        <w:rPr>
          <w:rFonts w:ascii="David" w:hAnsi="David" w:hint="cs"/>
          <w:sz w:val="28"/>
          <w:rtl/>
        </w:rPr>
        <w:t>ת הרכב כשהגיעה למקום. נהפוך הוא, מכלל עדויותיה עולה כי לא הסתירה את העובדה שהגיע</w:t>
      </w:r>
      <w:r w:rsidR="00995142">
        <w:rPr>
          <w:rFonts w:ascii="David" w:hAnsi="David" w:hint="cs"/>
          <w:sz w:val="28"/>
          <w:rtl/>
        </w:rPr>
        <w:t>ה</w:t>
      </w:r>
      <w:r w:rsidR="00464C52">
        <w:rPr>
          <w:rFonts w:ascii="David" w:hAnsi="David" w:hint="cs"/>
          <w:sz w:val="28"/>
          <w:rtl/>
        </w:rPr>
        <w:t xml:space="preserve"> למקום כדי לפגוש בו</w:t>
      </w:r>
      <w:r w:rsidR="00995142">
        <w:rPr>
          <w:rFonts w:ascii="David" w:hAnsi="David" w:hint="cs"/>
          <w:sz w:val="28"/>
          <w:rtl/>
        </w:rPr>
        <w:t>.</w:t>
      </w:r>
      <w:r w:rsidR="00ED7F92">
        <w:rPr>
          <w:rFonts w:ascii="David" w:hAnsi="David" w:hint="cs"/>
          <w:sz w:val="28"/>
          <w:rtl/>
        </w:rPr>
        <w:t xml:space="preserve"> המקטע </w:t>
      </w:r>
      <w:r w:rsidR="00995142">
        <w:rPr>
          <w:rFonts w:ascii="David" w:hAnsi="David" w:hint="cs"/>
          <w:sz w:val="28"/>
          <w:rtl/>
        </w:rPr>
        <w:t>ש</w:t>
      </w:r>
      <w:r w:rsidR="00ED7F92">
        <w:rPr>
          <w:rFonts w:ascii="David" w:hAnsi="David" w:hint="cs"/>
          <w:sz w:val="28"/>
          <w:rtl/>
        </w:rPr>
        <w:t xml:space="preserve">אליו הפנתה ההגנה כדי להוכיח את טענתה עוסק באמירה של נפגעת העבירה </w:t>
      </w:r>
      <w:r w:rsidR="00995142">
        <w:rPr>
          <w:rFonts w:ascii="David" w:hAnsi="David" w:hint="cs"/>
          <w:sz w:val="28"/>
          <w:rtl/>
        </w:rPr>
        <w:t xml:space="preserve">בעדותה </w:t>
      </w:r>
      <w:r w:rsidR="00ED7F92">
        <w:rPr>
          <w:rFonts w:ascii="David" w:hAnsi="David" w:hint="cs"/>
          <w:sz w:val="28"/>
          <w:rtl/>
        </w:rPr>
        <w:t xml:space="preserve">על כך שלא </w:t>
      </w:r>
      <w:r w:rsidR="00FB1A54">
        <w:rPr>
          <w:rFonts w:ascii="David" w:hAnsi="David" w:hint="cs"/>
          <w:sz w:val="28"/>
          <w:rtl/>
        </w:rPr>
        <w:t xml:space="preserve">ידעה </w:t>
      </w:r>
      <w:r w:rsidR="00D37384" w:rsidRPr="009077AB">
        <w:rPr>
          <w:rFonts w:ascii="David" w:hAnsi="David" w:hint="cs"/>
          <w:b/>
          <w:bCs/>
          <w:sz w:val="28"/>
          <w:rtl/>
        </w:rPr>
        <w:t>בימים שקדמו לכך</w:t>
      </w:r>
      <w:r w:rsidR="00D37384">
        <w:rPr>
          <w:rFonts w:ascii="David" w:hAnsi="David" w:hint="cs"/>
          <w:sz w:val="28"/>
          <w:rtl/>
        </w:rPr>
        <w:t xml:space="preserve"> שה</w:t>
      </w:r>
      <w:r w:rsidR="00FB1A54">
        <w:rPr>
          <w:rFonts w:ascii="David" w:hAnsi="David" w:hint="cs"/>
          <w:sz w:val="28"/>
          <w:rtl/>
        </w:rPr>
        <w:t xml:space="preserve">וא הגיע למוצב </w:t>
      </w:r>
      <w:r w:rsidR="00D37384">
        <w:rPr>
          <w:rFonts w:ascii="David" w:hAnsi="David" w:hint="cs"/>
          <w:sz w:val="28"/>
          <w:rtl/>
        </w:rPr>
        <w:t xml:space="preserve">שבו שהתה, </w:t>
      </w:r>
      <w:r w:rsidR="00FB1A54">
        <w:rPr>
          <w:rFonts w:ascii="David" w:hAnsi="David" w:hint="cs"/>
          <w:sz w:val="28"/>
          <w:rtl/>
        </w:rPr>
        <w:t xml:space="preserve">ולא על ידיעתה </w:t>
      </w:r>
      <w:r w:rsidR="00FB1A54" w:rsidRPr="009077AB">
        <w:rPr>
          <w:rFonts w:ascii="David" w:hAnsi="David" w:hint="cs"/>
          <w:b/>
          <w:bCs/>
          <w:sz w:val="28"/>
          <w:rtl/>
        </w:rPr>
        <w:t>באותו הבוקר</w:t>
      </w:r>
      <w:r w:rsidR="00FB1A54">
        <w:rPr>
          <w:rFonts w:ascii="David" w:hAnsi="David" w:hint="cs"/>
          <w:sz w:val="28"/>
          <w:rtl/>
        </w:rPr>
        <w:t xml:space="preserve"> לגבי נוכחותו בסדנה. </w:t>
      </w:r>
      <w:r w:rsidR="00C1769E">
        <w:rPr>
          <w:rFonts w:ascii="David" w:hAnsi="David" w:hint="cs"/>
          <w:sz w:val="28"/>
          <w:rtl/>
        </w:rPr>
        <w:t>לא מצאנו גם כי נפגעת העבירה ניסתה להסתיר את נוכחותו של רס"ל ליעד במקום, אלא היא הסבירה כי סברה שממקום הימצאו (בעבודה מתחת לרכב)</w:t>
      </w:r>
      <w:r w:rsidR="00C1769E">
        <w:rPr>
          <w:rFonts w:ascii="David" w:hAnsi="David"/>
          <w:sz w:val="28"/>
        </w:rPr>
        <w:t xml:space="preserve"> </w:t>
      </w:r>
      <w:r w:rsidR="00C1769E">
        <w:rPr>
          <w:rFonts w:ascii="David" w:hAnsi="David" w:hint="cs"/>
          <w:sz w:val="28"/>
          <w:rtl/>
        </w:rPr>
        <w:t xml:space="preserve">לא יכול היה לראות את המתרחש. </w:t>
      </w:r>
    </w:p>
    <w:p w14:paraId="1485C065" w14:textId="77777777" w:rsidR="00E7640E" w:rsidRDefault="00417CCC" w:rsidP="002C0946">
      <w:pPr>
        <w:pStyle w:val="ListParagraph"/>
        <w:rPr>
          <w:rFonts w:ascii="David" w:hAnsi="David"/>
          <w:sz w:val="28"/>
          <w:rtl/>
        </w:rPr>
      </w:pPr>
      <w:r>
        <w:rPr>
          <w:rFonts w:ascii="David" w:hAnsi="David" w:hint="cs"/>
          <w:sz w:val="28"/>
          <w:rtl/>
        </w:rPr>
        <w:t>אשר ל</w:t>
      </w:r>
      <w:r w:rsidR="00E7640E">
        <w:rPr>
          <w:rFonts w:ascii="David" w:hAnsi="David" w:hint="cs"/>
          <w:sz w:val="28"/>
          <w:rtl/>
        </w:rPr>
        <w:t>טענת ההגנה כי המערער לא יכול היה לנשק את נפגעת העבירה בראשה, בשל הבדלי גובה ביניהם</w:t>
      </w:r>
      <w:r>
        <w:rPr>
          <w:rFonts w:ascii="David" w:hAnsi="David" w:hint="cs"/>
          <w:sz w:val="28"/>
          <w:rtl/>
        </w:rPr>
        <w:t xml:space="preserve">, הרי שלא הוצגה כל </w:t>
      </w:r>
      <w:r w:rsidR="00E7640E">
        <w:rPr>
          <w:rFonts w:ascii="David" w:hAnsi="David" w:hint="cs"/>
          <w:sz w:val="28"/>
          <w:rtl/>
        </w:rPr>
        <w:t>ראיה אובייקטיבית בנוגע לגובהם של השניים או הדגמה שתתמוך בטענה</w:t>
      </w:r>
      <w:r>
        <w:rPr>
          <w:rFonts w:ascii="David" w:hAnsi="David" w:hint="cs"/>
          <w:sz w:val="28"/>
          <w:rtl/>
        </w:rPr>
        <w:t xml:space="preserve"> (נפגעת העבירה אף טענה כי המערער גבוה ממנה)</w:t>
      </w:r>
      <w:r w:rsidR="00A2640B">
        <w:rPr>
          <w:rFonts w:ascii="David" w:hAnsi="David" w:hint="cs"/>
          <w:sz w:val="28"/>
          <w:rtl/>
        </w:rPr>
        <w:t xml:space="preserve">. </w:t>
      </w:r>
    </w:p>
    <w:p w14:paraId="6A32981D" w14:textId="77777777" w:rsidR="00A2640B" w:rsidRDefault="00A2640B" w:rsidP="002C0946">
      <w:pPr>
        <w:pStyle w:val="ListParagraph"/>
        <w:rPr>
          <w:rFonts w:ascii="David" w:hAnsi="David"/>
          <w:sz w:val="28"/>
          <w:rtl/>
        </w:rPr>
      </w:pPr>
      <w:r>
        <w:rPr>
          <w:rFonts w:ascii="David" w:hAnsi="David" w:hint="cs"/>
          <w:sz w:val="28"/>
          <w:rtl/>
        </w:rPr>
        <w:t>ב</w:t>
      </w:r>
      <w:r w:rsidR="00A4633B">
        <w:rPr>
          <w:rFonts w:ascii="David" w:hAnsi="David" w:hint="cs"/>
          <w:sz w:val="28"/>
          <w:rtl/>
        </w:rPr>
        <w:t xml:space="preserve">חנו גם את </w:t>
      </w:r>
      <w:r>
        <w:rPr>
          <w:rFonts w:ascii="David" w:hAnsi="David" w:hint="cs"/>
          <w:sz w:val="28"/>
          <w:rtl/>
        </w:rPr>
        <w:t>טענות של ההגנה בדבר סתירות בנוגע למיקום המדויק שבו התרחש האירוע</w:t>
      </w:r>
      <w:r w:rsidR="00FE47D6">
        <w:rPr>
          <w:rFonts w:ascii="David" w:hAnsi="David" w:hint="cs"/>
          <w:sz w:val="28"/>
          <w:rtl/>
        </w:rPr>
        <w:t xml:space="preserve"> באזור המכולות</w:t>
      </w:r>
      <w:r>
        <w:rPr>
          <w:rFonts w:ascii="David" w:hAnsi="David" w:hint="cs"/>
          <w:sz w:val="28"/>
          <w:rtl/>
        </w:rPr>
        <w:t xml:space="preserve">, </w:t>
      </w:r>
      <w:r w:rsidR="00FE47D6">
        <w:rPr>
          <w:rFonts w:ascii="David" w:hAnsi="David" w:hint="cs"/>
          <w:sz w:val="28"/>
          <w:rtl/>
        </w:rPr>
        <w:t>באיזו נקודה מדויקת בגופה נגע בה המערער ומתי הציע</w:t>
      </w:r>
      <w:r w:rsidR="00793DE0">
        <w:rPr>
          <w:rFonts w:ascii="David" w:hAnsi="David" w:hint="cs"/>
          <w:sz w:val="28"/>
          <w:rtl/>
        </w:rPr>
        <w:t>ה לו ללכת</w:t>
      </w:r>
      <w:r w:rsidR="00FE47D6">
        <w:rPr>
          <w:rFonts w:ascii="David" w:hAnsi="David" w:hint="cs"/>
          <w:sz w:val="28"/>
          <w:rtl/>
        </w:rPr>
        <w:t xml:space="preserve"> לאכול, </w:t>
      </w:r>
      <w:r w:rsidR="00A4633B">
        <w:rPr>
          <w:rFonts w:ascii="David" w:hAnsi="David" w:hint="cs"/>
          <w:sz w:val="28"/>
          <w:rtl/>
        </w:rPr>
        <w:t>אולם סברנו כי מדו</w:t>
      </w:r>
      <w:r w:rsidR="00FE47D6">
        <w:rPr>
          <w:rFonts w:ascii="David" w:hAnsi="David" w:hint="cs"/>
          <w:sz w:val="28"/>
          <w:rtl/>
        </w:rPr>
        <w:t xml:space="preserve">בר בעניינים שוליים ופריפריאליים </w:t>
      </w:r>
      <w:r w:rsidR="009B1064">
        <w:rPr>
          <w:rFonts w:ascii="David" w:hAnsi="David" w:hint="cs"/>
          <w:sz w:val="28"/>
          <w:rtl/>
        </w:rPr>
        <w:t xml:space="preserve">שאין בהם כדי לפגוע בלוז העדות. </w:t>
      </w:r>
      <w:r w:rsidR="00BF33A0">
        <w:rPr>
          <w:rFonts w:ascii="David" w:hAnsi="David" w:hint="cs"/>
          <w:sz w:val="28"/>
          <w:rtl/>
        </w:rPr>
        <w:t xml:space="preserve">כך גם ביחס לטענה כי נפגעת העבירה לא תיארה בעדותה שהמערער צבט אותה כפי שכתבה לחברתה שוהם (לעניין זה הסבירה בעדותה, כי במילה </w:t>
      </w:r>
      <w:r w:rsidR="00ED696B">
        <w:rPr>
          <w:rFonts w:ascii="David" w:hAnsi="David" w:hint="cs"/>
          <w:sz w:val="28"/>
          <w:rtl/>
        </w:rPr>
        <w:t>"</w:t>
      </w:r>
      <w:r w:rsidR="00BF33A0">
        <w:rPr>
          <w:rFonts w:ascii="David" w:hAnsi="David" w:hint="cs"/>
          <w:sz w:val="28"/>
          <w:rtl/>
        </w:rPr>
        <w:t>צביטה</w:t>
      </w:r>
      <w:r w:rsidR="00ED696B">
        <w:rPr>
          <w:rFonts w:ascii="David" w:hAnsi="David" w:hint="cs"/>
          <w:sz w:val="28"/>
          <w:rtl/>
        </w:rPr>
        <w:t>"</w:t>
      </w:r>
      <w:r w:rsidR="00BF33A0">
        <w:rPr>
          <w:rFonts w:ascii="David" w:hAnsi="David" w:hint="cs"/>
          <w:sz w:val="28"/>
          <w:rtl/>
        </w:rPr>
        <w:t xml:space="preserve"> התכוונה לאחיזה איתנה שהכאיבה לה במותנה, שעליה אכן העידה). </w:t>
      </w:r>
      <w:r w:rsidR="00793DE0">
        <w:rPr>
          <w:rFonts w:ascii="David" w:hAnsi="David" w:hint="cs"/>
          <w:sz w:val="28"/>
          <w:rtl/>
        </w:rPr>
        <w:t xml:space="preserve">לא סברנו גם כי </w:t>
      </w:r>
      <w:r w:rsidR="00A4633B">
        <w:rPr>
          <w:rFonts w:ascii="David" w:hAnsi="David" w:hint="cs"/>
          <w:sz w:val="28"/>
          <w:rtl/>
        </w:rPr>
        <w:t xml:space="preserve">יש ממש בטענה שסד הזמנים שתואר אינו מתיישב עם ההודעות שנשלחו </w:t>
      </w:r>
      <w:r w:rsidR="00BA1168">
        <w:rPr>
          <w:rFonts w:ascii="David" w:hAnsi="David" w:hint="cs"/>
          <w:sz w:val="28"/>
          <w:rtl/>
        </w:rPr>
        <w:t>על ידי נפגעת העבירה</w:t>
      </w:r>
      <w:r w:rsidR="0072551C">
        <w:rPr>
          <w:rFonts w:ascii="David" w:hAnsi="David" w:hint="cs"/>
          <w:sz w:val="28"/>
          <w:rtl/>
        </w:rPr>
        <w:t xml:space="preserve"> למערער ולשוהם</w:t>
      </w:r>
      <w:r w:rsidR="00BA1168">
        <w:rPr>
          <w:rFonts w:ascii="David" w:hAnsi="David" w:hint="cs"/>
          <w:sz w:val="28"/>
          <w:rtl/>
        </w:rPr>
        <w:t xml:space="preserve">. </w:t>
      </w:r>
      <w:r w:rsidR="00A4633B">
        <w:rPr>
          <w:rFonts w:ascii="David" w:hAnsi="David" w:hint="cs"/>
          <w:sz w:val="28"/>
          <w:rtl/>
        </w:rPr>
        <w:t xml:space="preserve"> </w:t>
      </w:r>
    </w:p>
    <w:p w14:paraId="32027DEE" w14:textId="77777777" w:rsidR="000A2552" w:rsidRDefault="000A2552" w:rsidP="002C0946">
      <w:pPr>
        <w:pStyle w:val="ListParagraph"/>
        <w:widowControl w:val="0"/>
        <w:numPr>
          <w:ilvl w:val="0"/>
          <w:numId w:val="1"/>
        </w:numPr>
        <w:contextualSpacing/>
        <w:rPr>
          <w:rFonts w:ascii="David" w:hAnsi="David"/>
          <w:sz w:val="28"/>
          <w:rtl/>
        </w:rPr>
      </w:pPr>
      <w:r w:rsidRPr="004D74BF">
        <w:rPr>
          <w:rFonts w:ascii="David" w:hAnsi="David"/>
          <w:sz w:val="28"/>
          <w:rtl/>
        </w:rPr>
        <w:t xml:space="preserve">כידוע נפסק לא אחת כי: "אין לצפות מאדם כי יזכור פרטי אירוע טראומטי כאילו תיעד אותו בזמן אמת, בייחוד כאשר מדובר בקורבן עבירת מין. לפיכך השאלה איננה האם קיימים אי דיוקים ואי התאמות בפרטים, אלא אם המקשה כולה היא אמינה ואם הגרעין הקשה של האירועים והתמונה הכוללת המתקבלת מן העדות והחיזוקים לה מאפשרת מסקנה בדבר </w:t>
      </w:r>
      <w:r w:rsidRPr="004D74BF">
        <w:rPr>
          <w:rFonts w:ascii="David" w:hAnsi="David"/>
          <w:sz w:val="28"/>
          <w:rtl/>
        </w:rPr>
        <w:lastRenderedPageBreak/>
        <w:t xml:space="preserve">אשמת הנאשם מעל לכל ספק" (ע"פ 993/00 </w:t>
      </w:r>
      <w:r w:rsidRPr="004D74BF">
        <w:rPr>
          <w:rFonts w:ascii="David" w:hAnsi="David"/>
          <w:b/>
          <w:bCs/>
          <w:sz w:val="28"/>
          <w:rtl/>
        </w:rPr>
        <w:t>נור נ' מדינת ישראל</w:t>
      </w:r>
      <w:r w:rsidRPr="004D74BF">
        <w:rPr>
          <w:rFonts w:ascii="David" w:hAnsi="David"/>
          <w:sz w:val="28"/>
          <w:rtl/>
        </w:rPr>
        <w:t>, פ"ד נו(6)</w:t>
      </w:r>
      <w:r w:rsidRPr="004D74BF">
        <w:rPr>
          <w:rFonts w:ascii="David" w:hAnsi="David"/>
          <w:sz w:val="28"/>
        </w:rPr>
        <w:t xml:space="preserve"> </w:t>
      </w:r>
      <w:r w:rsidRPr="004D74BF">
        <w:rPr>
          <w:rFonts w:ascii="David" w:hAnsi="David"/>
          <w:sz w:val="28"/>
          <w:rtl/>
        </w:rPr>
        <w:t xml:space="preserve">205 (2002); ע"פ 8978/18 </w:t>
      </w:r>
      <w:r w:rsidRPr="004D74BF">
        <w:rPr>
          <w:rFonts w:ascii="David" w:hAnsi="David"/>
          <w:b/>
          <w:bCs/>
          <w:sz w:val="28"/>
          <w:rtl/>
        </w:rPr>
        <w:t>פלוני נ' מדינת ישראל</w:t>
      </w:r>
      <w:r w:rsidRPr="004D74BF">
        <w:rPr>
          <w:rFonts w:ascii="David" w:hAnsi="David"/>
          <w:sz w:val="28"/>
          <w:rtl/>
        </w:rPr>
        <w:t>, פסקה 29 (4.2.2020))</w:t>
      </w:r>
      <w:r w:rsidR="00BD0533">
        <w:rPr>
          <w:rFonts w:ascii="David" w:hAnsi="David" w:hint="cs"/>
          <w:sz w:val="28"/>
          <w:rtl/>
        </w:rPr>
        <w:t xml:space="preserve">. </w:t>
      </w:r>
      <w:r w:rsidRPr="004D74BF">
        <w:rPr>
          <w:rFonts w:ascii="David" w:hAnsi="David"/>
          <w:sz w:val="28"/>
          <w:rtl/>
        </w:rPr>
        <w:t xml:space="preserve">לצורך התערבות בממצאי מהימנות שקבעה הערכאה הדיונית, אין די להצביע על שורה של תמיהות, אלא נדרש שתהיינה עובדות "המראות בעליל שלא יכול היה השופט להתרשם כפי שהתרשם" (ע"פ 6038/21 </w:t>
      </w:r>
      <w:r w:rsidRPr="004D74BF">
        <w:rPr>
          <w:rFonts w:ascii="David" w:hAnsi="David"/>
          <w:b/>
          <w:bCs/>
          <w:sz w:val="28"/>
          <w:rtl/>
        </w:rPr>
        <w:t xml:space="preserve">פלוני </w:t>
      </w:r>
      <w:r w:rsidRPr="004D74BF">
        <w:rPr>
          <w:rFonts w:ascii="David" w:hAnsi="David"/>
          <w:sz w:val="28"/>
          <w:rtl/>
        </w:rPr>
        <w:t xml:space="preserve">הנ"ל, פסקה 59). עובדות שכאלה לא הוצגו בפנינו.  </w:t>
      </w:r>
    </w:p>
    <w:p w14:paraId="24A5F4CB" w14:textId="77777777" w:rsidR="00007AF1" w:rsidRDefault="00555F87" w:rsidP="002C0946">
      <w:pPr>
        <w:pStyle w:val="ListParagraph"/>
        <w:numPr>
          <w:ilvl w:val="0"/>
          <w:numId w:val="1"/>
        </w:numPr>
        <w:rPr>
          <w:rFonts w:ascii="David" w:hAnsi="David"/>
          <w:sz w:val="28"/>
        </w:rPr>
      </w:pPr>
      <w:r>
        <w:rPr>
          <w:rFonts w:ascii="David" w:hAnsi="David" w:hint="cs"/>
          <w:sz w:val="28"/>
          <w:rtl/>
        </w:rPr>
        <w:t>אף בטענות ההגנה על כך ש</w:t>
      </w:r>
      <w:r w:rsidR="002C1585">
        <w:rPr>
          <w:rFonts w:ascii="David" w:hAnsi="David" w:hint="cs"/>
          <w:sz w:val="28"/>
          <w:rtl/>
        </w:rPr>
        <w:t>נפגעת העבירה הי</w:t>
      </w:r>
      <w:r w:rsidR="00BD0533">
        <w:rPr>
          <w:rFonts w:ascii="David" w:hAnsi="David" w:hint="cs"/>
          <w:sz w:val="28"/>
          <w:rtl/>
        </w:rPr>
        <w:t>י</w:t>
      </w:r>
      <w:r w:rsidR="002C1585">
        <w:rPr>
          <w:rFonts w:ascii="David" w:hAnsi="David" w:hint="cs"/>
          <w:sz w:val="28"/>
          <w:rtl/>
        </w:rPr>
        <w:t xml:space="preserve">תה פעילה ויוזמת בקשר עם המערער </w:t>
      </w:r>
      <w:r w:rsidR="004B5C1F">
        <w:rPr>
          <w:rFonts w:ascii="David" w:hAnsi="David" w:hint="cs"/>
          <w:sz w:val="28"/>
          <w:rtl/>
        </w:rPr>
        <w:t>יותר מכפי שהציגה בעדותה, כנלמד מהמסרונים בינה לבין המערער</w:t>
      </w:r>
      <w:r>
        <w:rPr>
          <w:rFonts w:ascii="David" w:hAnsi="David" w:hint="cs"/>
          <w:sz w:val="28"/>
          <w:rtl/>
        </w:rPr>
        <w:t>, אין כדי להועיל לטיעוניה</w:t>
      </w:r>
      <w:r w:rsidR="004B5C1F">
        <w:rPr>
          <w:rFonts w:ascii="David" w:hAnsi="David" w:hint="cs"/>
          <w:sz w:val="28"/>
          <w:rtl/>
        </w:rPr>
        <w:t>. נפגעת העבירה ציינה</w:t>
      </w:r>
      <w:r w:rsidR="00BD0533">
        <w:rPr>
          <w:rFonts w:ascii="David" w:hAnsi="David" w:hint="cs"/>
          <w:sz w:val="28"/>
          <w:rtl/>
        </w:rPr>
        <w:t>,</w:t>
      </w:r>
      <w:r w:rsidR="004B5C1F">
        <w:rPr>
          <w:rFonts w:ascii="David" w:hAnsi="David" w:hint="cs"/>
          <w:sz w:val="28"/>
          <w:rtl/>
        </w:rPr>
        <w:t xml:space="preserve"> למן ראשית </w:t>
      </w:r>
      <w:r w:rsidR="00A67ADA">
        <w:rPr>
          <w:rFonts w:ascii="David" w:hAnsi="David" w:hint="cs"/>
          <w:sz w:val="28"/>
          <w:rtl/>
        </w:rPr>
        <w:t>עדותה</w:t>
      </w:r>
      <w:r w:rsidR="00BD0533">
        <w:rPr>
          <w:rFonts w:ascii="David" w:hAnsi="David" w:hint="cs"/>
          <w:sz w:val="28"/>
          <w:rtl/>
        </w:rPr>
        <w:t>,</w:t>
      </w:r>
      <w:r w:rsidR="004B5C1F">
        <w:rPr>
          <w:rFonts w:ascii="David" w:hAnsi="David" w:hint="cs"/>
          <w:sz w:val="28"/>
          <w:rtl/>
        </w:rPr>
        <w:t xml:space="preserve"> כי </w:t>
      </w:r>
      <w:r w:rsidR="008D6737">
        <w:rPr>
          <w:rFonts w:ascii="David" w:hAnsi="David" w:hint="cs"/>
          <w:sz w:val="28"/>
          <w:rtl/>
        </w:rPr>
        <w:t xml:space="preserve">בתקופה שבה שהתה בסיפוח ביחידה ופגשה את המערער היא חוותה תקופה קשה והמערער </w:t>
      </w:r>
      <w:r w:rsidR="00BD0533">
        <w:rPr>
          <w:rFonts w:ascii="David" w:hAnsi="David" w:hint="cs"/>
          <w:sz w:val="28"/>
          <w:rtl/>
        </w:rPr>
        <w:t xml:space="preserve">שימש </w:t>
      </w:r>
      <w:r w:rsidR="008D6737">
        <w:rPr>
          <w:rFonts w:ascii="David" w:hAnsi="David" w:hint="cs"/>
          <w:sz w:val="28"/>
          <w:rtl/>
        </w:rPr>
        <w:t>עבורה מעין "אח גדול" שעזר לה מבחינה חברתית ומקצועית</w:t>
      </w:r>
      <w:r w:rsidR="00BD0533">
        <w:rPr>
          <w:rFonts w:ascii="David" w:hAnsi="David" w:hint="cs"/>
          <w:sz w:val="28"/>
          <w:rtl/>
        </w:rPr>
        <w:t>.</w:t>
      </w:r>
      <w:r w:rsidR="008D6737">
        <w:rPr>
          <w:rFonts w:ascii="David" w:hAnsi="David" w:hint="cs"/>
          <w:sz w:val="28"/>
          <w:rtl/>
        </w:rPr>
        <w:t xml:space="preserve"> הם נהגו להיפגש לעיתים מזומנות והיה ביניהם קשר חברי טוב שבמסגרתו חשה בנוח גם "לפרוק" את הקשיים שחוותה. החברות ביניהם </w:t>
      </w:r>
      <w:r w:rsidR="0033699E">
        <w:rPr>
          <w:rFonts w:ascii="David" w:hAnsi="David" w:hint="cs"/>
          <w:sz w:val="28"/>
          <w:rtl/>
        </w:rPr>
        <w:t xml:space="preserve">היא זו שהובילה אותה שלא להגיש </w:t>
      </w:r>
      <w:r w:rsidR="00B82B0A">
        <w:rPr>
          <w:rFonts w:ascii="David" w:hAnsi="David" w:hint="cs"/>
          <w:sz w:val="28"/>
          <w:rtl/>
        </w:rPr>
        <w:t xml:space="preserve">תלונה בגין האירוע הראשון. </w:t>
      </w:r>
      <w:r w:rsidR="00BD1835">
        <w:rPr>
          <w:rFonts w:ascii="David" w:hAnsi="David" w:hint="cs"/>
          <w:sz w:val="28"/>
          <w:rtl/>
        </w:rPr>
        <w:t xml:space="preserve">לצד זאת הטעימה </w:t>
      </w:r>
      <w:r w:rsidR="0033699E">
        <w:rPr>
          <w:rFonts w:ascii="David" w:hAnsi="David" w:hint="cs"/>
          <w:sz w:val="28"/>
          <w:rtl/>
        </w:rPr>
        <w:t xml:space="preserve">נפגעת העבירה, כי הקשר היה חברי בלבד, וכך עולה מהמסרונים כי השניים התכתבו ביניהם </w:t>
      </w:r>
      <w:r w:rsidR="00BD0533">
        <w:rPr>
          <w:rFonts w:ascii="David" w:hAnsi="David" w:hint="cs"/>
          <w:sz w:val="28"/>
          <w:rtl/>
        </w:rPr>
        <w:t xml:space="preserve">כידידים, </w:t>
      </w:r>
      <w:r w:rsidR="0033699E">
        <w:rPr>
          <w:rFonts w:ascii="David" w:hAnsi="David" w:hint="cs"/>
          <w:sz w:val="28"/>
          <w:rtl/>
        </w:rPr>
        <w:t>עם הצעות להיפגש, לשתות קפה וכיו"ב</w:t>
      </w:r>
      <w:r w:rsidR="00BD0533">
        <w:rPr>
          <w:rFonts w:ascii="David" w:hAnsi="David" w:hint="cs"/>
          <w:sz w:val="28"/>
          <w:rtl/>
        </w:rPr>
        <w:t xml:space="preserve"> בלבד</w:t>
      </w:r>
      <w:r w:rsidR="0033699E">
        <w:rPr>
          <w:rFonts w:ascii="David" w:hAnsi="David" w:hint="cs"/>
          <w:sz w:val="28"/>
          <w:rtl/>
        </w:rPr>
        <w:t xml:space="preserve">, תוך שנפגעת העבירה אף יידעה את המערער בכך שיש לה בן זוג. </w:t>
      </w:r>
    </w:p>
    <w:p w14:paraId="0DACE7B7" w14:textId="77777777" w:rsidR="00702CB5" w:rsidRPr="00155CDA" w:rsidRDefault="00CD332D" w:rsidP="002C0946">
      <w:pPr>
        <w:pStyle w:val="ListParagraph"/>
        <w:numPr>
          <w:ilvl w:val="0"/>
          <w:numId w:val="1"/>
        </w:numPr>
        <w:rPr>
          <w:rFonts w:ascii="David" w:hAnsi="David"/>
          <w:color w:val="000000"/>
          <w:sz w:val="28"/>
        </w:rPr>
      </w:pPr>
      <w:r w:rsidRPr="00155CDA">
        <w:rPr>
          <w:rFonts w:ascii="David" w:hAnsi="David" w:hint="cs"/>
          <w:sz w:val="28"/>
          <w:rtl/>
        </w:rPr>
        <w:t>עדותה של נפגעת העבירה ה</w:t>
      </w:r>
      <w:r w:rsidR="00C1449B" w:rsidRPr="00155CDA">
        <w:rPr>
          <w:rFonts w:ascii="David" w:hAnsi="David" w:hint="cs"/>
          <w:sz w:val="28"/>
          <w:rtl/>
        </w:rPr>
        <w:t>י</w:t>
      </w:r>
      <w:r w:rsidRPr="00155CDA">
        <w:rPr>
          <w:rFonts w:ascii="David" w:hAnsi="David" w:hint="cs"/>
          <w:sz w:val="28"/>
          <w:rtl/>
        </w:rPr>
        <w:t xml:space="preserve">יתה </w:t>
      </w:r>
      <w:r w:rsidR="00BD0533">
        <w:rPr>
          <w:rFonts w:ascii="David" w:hAnsi="David" w:hint="cs"/>
          <w:sz w:val="28"/>
          <w:rtl/>
        </w:rPr>
        <w:t xml:space="preserve">אכן </w:t>
      </w:r>
      <w:r w:rsidRPr="00155CDA">
        <w:rPr>
          <w:rFonts w:ascii="David" w:hAnsi="David" w:hint="cs"/>
          <w:sz w:val="28"/>
          <w:rtl/>
        </w:rPr>
        <w:t>מדודה מאוד, תוך שפירטה את שלבי הקשר השונים עם המערער כהווייתם ולא נראה כי ביקשה להרע ל</w:t>
      </w:r>
      <w:r w:rsidR="00D7303F" w:rsidRPr="00155CDA">
        <w:rPr>
          <w:rFonts w:ascii="David" w:hAnsi="David" w:hint="cs"/>
          <w:sz w:val="28"/>
          <w:rtl/>
        </w:rPr>
        <w:t>ו</w:t>
      </w:r>
      <w:r w:rsidRPr="00155CDA">
        <w:rPr>
          <w:rFonts w:ascii="David" w:hAnsi="David" w:hint="cs"/>
          <w:sz w:val="28"/>
          <w:rtl/>
        </w:rPr>
        <w:t>. כך</w:t>
      </w:r>
      <w:r w:rsidR="00BD0533">
        <w:rPr>
          <w:rFonts w:ascii="David" w:hAnsi="David" w:hint="cs"/>
          <w:sz w:val="28"/>
          <w:rtl/>
        </w:rPr>
        <w:t>,</w:t>
      </w:r>
      <w:r w:rsidRPr="00155CDA">
        <w:rPr>
          <w:rFonts w:ascii="David" w:hAnsi="David" w:hint="cs"/>
          <w:sz w:val="28"/>
          <w:rtl/>
        </w:rPr>
        <w:t xml:space="preserve"> </w:t>
      </w:r>
      <w:r w:rsidR="00BD0533">
        <w:rPr>
          <w:rFonts w:ascii="David" w:hAnsi="David" w:hint="cs"/>
          <w:sz w:val="28"/>
          <w:rtl/>
        </w:rPr>
        <w:t xml:space="preserve">כאשר </w:t>
      </w:r>
      <w:r w:rsidRPr="00155CDA">
        <w:rPr>
          <w:rFonts w:ascii="David" w:hAnsi="David" w:hint="cs"/>
          <w:sz w:val="28"/>
          <w:rtl/>
        </w:rPr>
        <w:t>תיאר</w:t>
      </w:r>
      <w:r w:rsidR="00BD0533">
        <w:rPr>
          <w:rFonts w:ascii="David" w:hAnsi="David" w:hint="cs"/>
          <w:sz w:val="28"/>
          <w:rtl/>
        </w:rPr>
        <w:t>ה</w:t>
      </w:r>
      <w:r w:rsidRPr="00155CDA">
        <w:rPr>
          <w:rFonts w:ascii="David" w:hAnsi="David" w:hint="cs"/>
          <w:sz w:val="28"/>
          <w:rtl/>
        </w:rPr>
        <w:t xml:space="preserve"> </w:t>
      </w:r>
      <w:r w:rsidR="00BD0533">
        <w:rPr>
          <w:rFonts w:ascii="David" w:hAnsi="David" w:hint="cs"/>
          <w:sz w:val="28"/>
          <w:rtl/>
        </w:rPr>
        <w:t xml:space="preserve">את </w:t>
      </w:r>
      <w:r w:rsidRPr="00155CDA">
        <w:rPr>
          <w:rFonts w:ascii="David" w:hAnsi="David" w:hint="cs"/>
          <w:sz w:val="28"/>
          <w:rtl/>
        </w:rPr>
        <w:t xml:space="preserve">היחסים החבריים </w:t>
      </w:r>
      <w:r w:rsidR="00C064C7" w:rsidRPr="00155CDA">
        <w:rPr>
          <w:rFonts w:ascii="David" w:hAnsi="David" w:hint="cs"/>
          <w:sz w:val="28"/>
          <w:rtl/>
        </w:rPr>
        <w:t>עם המערער, כמבואר לעיל</w:t>
      </w:r>
      <w:r w:rsidR="00BD0533">
        <w:rPr>
          <w:rFonts w:ascii="David" w:hAnsi="David" w:hint="cs"/>
          <w:sz w:val="28"/>
          <w:rtl/>
        </w:rPr>
        <w:t>;</w:t>
      </w:r>
      <w:r w:rsidR="00BD0533" w:rsidRPr="00155CDA">
        <w:rPr>
          <w:rFonts w:ascii="David" w:hAnsi="David" w:hint="cs"/>
          <w:sz w:val="28"/>
          <w:rtl/>
        </w:rPr>
        <w:t xml:space="preserve"> </w:t>
      </w:r>
      <w:r w:rsidR="00C064C7" w:rsidRPr="00155CDA">
        <w:rPr>
          <w:rFonts w:ascii="David" w:hAnsi="David" w:hint="cs"/>
          <w:sz w:val="28"/>
          <w:rtl/>
        </w:rPr>
        <w:t xml:space="preserve">בכך שלא </w:t>
      </w:r>
      <w:r w:rsidRPr="00155CDA">
        <w:rPr>
          <w:rFonts w:ascii="David" w:hAnsi="David" w:hint="cs"/>
          <w:sz w:val="28"/>
          <w:rtl/>
        </w:rPr>
        <w:t>ניסתה להסתיר את העובדה שהציעה למערער לאכול אחרי החיבוק הראשון</w:t>
      </w:r>
      <w:r w:rsidR="00BD0533">
        <w:rPr>
          <w:rFonts w:ascii="David" w:hAnsi="David" w:hint="cs"/>
          <w:sz w:val="28"/>
          <w:rtl/>
        </w:rPr>
        <w:t xml:space="preserve"> באירוע השני</w:t>
      </w:r>
      <w:r w:rsidRPr="00155CDA">
        <w:rPr>
          <w:rFonts w:ascii="David" w:hAnsi="David" w:hint="cs"/>
          <w:sz w:val="28"/>
          <w:rtl/>
        </w:rPr>
        <w:t>, ושבאותו שלב עוד לא סברה שהוא עבר את הגבול באופן משמעותי, ושניתן יהיה לעצור אותו</w:t>
      </w:r>
      <w:r w:rsidR="00BD0533">
        <w:rPr>
          <w:rFonts w:ascii="David" w:hAnsi="David" w:hint="cs"/>
          <w:sz w:val="28"/>
          <w:rtl/>
        </w:rPr>
        <w:t>;</w:t>
      </w:r>
      <w:r w:rsidR="00BD0533" w:rsidRPr="00155CDA">
        <w:rPr>
          <w:rFonts w:ascii="David" w:hAnsi="David" w:hint="cs"/>
          <w:sz w:val="28"/>
          <w:rtl/>
        </w:rPr>
        <w:t xml:space="preserve"> </w:t>
      </w:r>
      <w:r w:rsidR="00297B70" w:rsidRPr="00155CDA">
        <w:rPr>
          <w:rFonts w:ascii="David" w:hAnsi="David" w:hint="cs"/>
          <w:sz w:val="28"/>
          <w:rtl/>
        </w:rPr>
        <w:t>בכך ש</w:t>
      </w:r>
      <w:r w:rsidR="00A573DA" w:rsidRPr="00155CDA">
        <w:rPr>
          <w:rFonts w:ascii="David" w:hAnsi="David" w:hint="cs"/>
          <w:sz w:val="28"/>
          <w:rtl/>
        </w:rPr>
        <w:t>ביקשה לדייק את הדברים ולא להפריז בתלונתה (</w:t>
      </w:r>
      <w:r w:rsidRPr="00155CDA">
        <w:rPr>
          <w:rFonts w:ascii="David" w:hAnsi="David" w:hint="cs"/>
          <w:sz w:val="28"/>
          <w:rtl/>
        </w:rPr>
        <w:t>כך למשל הבהירה כי לא חשה שאיבר מינו של המערער זקור כשנצמד אליה</w:t>
      </w:r>
      <w:r w:rsidR="00BD0533">
        <w:rPr>
          <w:rFonts w:ascii="David" w:hAnsi="David" w:hint="cs"/>
          <w:sz w:val="28"/>
          <w:rtl/>
        </w:rPr>
        <w:t>,</w:t>
      </w:r>
      <w:r w:rsidR="00A573DA" w:rsidRPr="00155CDA">
        <w:rPr>
          <w:rFonts w:ascii="David" w:hAnsi="David" w:hint="cs"/>
          <w:sz w:val="28"/>
          <w:rtl/>
        </w:rPr>
        <w:t xml:space="preserve"> בניגוד לנטען בכתב האישום</w:t>
      </w:r>
      <w:r w:rsidRPr="00155CDA">
        <w:rPr>
          <w:rFonts w:ascii="David" w:hAnsi="David" w:hint="cs"/>
          <w:sz w:val="28"/>
          <w:rtl/>
        </w:rPr>
        <w:t xml:space="preserve">; ציינה שהוא ניסה לנשק אותה אולם לא הצליח בכך; </w:t>
      </w:r>
      <w:r w:rsidR="00A573DA" w:rsidRPr="00155CDA">
        <w:rPr>
          <w:rFonts w:ascii="David" w:hAnsi="David" w:hint="cs"/>
          <w:sz w:val="28"/>
          <w:rtl/>
        </w:rPr>
        <w:t>ו</w:t>
      </w:r>
      <w:r w:rsidRPr="00155CDA">
        <w:rPr>
          <w:rFonts w:ascii="David" w:hAnsi="David" w:hint="cs"/>
          <w:sz w:val="28"/>
          <w:rtl/>
        </w:rPr>
        <w:t>מסרה שהמגע באירוע הראשון ארך שניות ספורות בלבד</w:t>
      </w:r>
      <w:r w:rsidR="00A573DA" w:rsidRPr="00155CDA">
        <w:rPr>
          <w:rFonts w:ascii="David" w:hAnsi="David" w:hint="cs"/>
          <w:sz w:val="28"/>
          <w:rtl/>
        </w:rPr>
        <w:t>)</w:t>
      </w:r>
      <w:r w:rsidRPr="00155CDA">
        <w:rPr>
          <w:rFonts w:ascii="David" w:hAnsi="David" w:hint="cs"/>
          <w:sz w:val="28"/>
          <w:rtl/>
        </w:rPr>
        <w:t xml:space="preserve">. </w:t>
      </w:r>
      <w:r w:rsidR="00BD0533">
        <w:rPr>
          <w:rFonts w:ascii="David" w:hAnsi="David" w:hint="cs"/>
          <w:sz w:val="28"/>
          <w:rtl/>
        </w:rPr>
        <w:t xml:space="preserve">בדין התרשם אפוא בית הדין קמא, </w:t>
      </w:r>
      <w:r w:rsidRPr="00155CDA">
        <w:rPr>
          <w:rFonts w:ascii="David" w:hAnsi="David" w:hint="cs"/>
          <w:sz w:val="28"/>
          <w:rtl/>
        </w:rPr>
        <w:t>כי סיפרה את הדברים כהווייתם (</w:t>
      </w:r>
      <w:r w:rsidRPr="00155CDA">
        <w:rPr>
          <w:rFonts w:ascii="David" w:hAnsi="David"/>
          <w:sz w:val="28"/>
          <w:rtl/>
        </w:rPr>
        <w:t xml:space="preserve">ע"פ 2092/21 </w:t>
      </w:r>
      <w:proofErr w:type="spellStart"/>
      <w:r w:rsidRPr="00155CDA">
        <w:rPr>
          <w:rFonts w:ascii="David" w:hAnsi="David"/>
          <w:b/>
          <w:bCs/>
          <w:sz w:val="28"/>
          <w:rtl/>
        </w:rPr>
        <w:t>לוז'קין</w:t>
      </w:r>
      <w:proofErr w:type="spellEnd"/>
      <w:r w:rsidRPr="00155CDA">
        <w:rPr>
          <w:rFonts w:ascii="David" w:hAnsi="David"/>
          <w:b/>
          <w:bCs/>
          <w:sz w:val="28"/>
          <w:rtl/>
        </w:rPr>
        <w:t xml:space="preserve"> נ' מדינת ישראל</w:t>
      </w:r>
      <w:r w:rsidRPr="00155CDA">
        <w:rPr>
          <w:rFonts w:ascii="David" w:hAnsi="David"/>
          <w:sz w:val="28"/>
          <w:rtl/>
        </w:rPr>
        <w:t xml:space="preserve">, פסקה 16 (30.10.2022); </w:t>
      </w:r>
      <w:r w:rsidRPr="00155CDA">
        <w:rPr>
          <w:rFonts w:ascii="David" w:hAnsi="David" w:hint="cs"/>
          <w:sz w:val="28"/>
          <w:rtl/>
        </w:rPr>
        <w:t xml:space="preserve">ע/1,2/23 </w:t>
      </w:r>
      <w:r w:rsidRPr="00155CDA">
        <w:rPr>
          <w:rFonts w:ascii="David" w:hAnsi="David" w:hint="cs"/>
          <w:b/>
          <w:bCs/>
          <w:sz w:val="28"/>
          <w:rtl/>
        </w:rPr>
        <w:t>רס"ן</w:t>
      </w:r>
      <w:r w:rsidRPr="00155CDA">
        <w:rPr>
          <w:rFonts w:ascii="David" w:hAnsi="David"/>
          <w:sz w:val="28"/>
          <w:rtl/>
        </w:rPr>
        <w:t xml:space="preserve"> </w:t>
      </w:r>
      <w:proofErr w:type="spellStart"/>
      <w:r w:rsidRPr="00155CDA">
        <w:rPr>
          <w:rFonts w:ascii="David" w:hAnsi="David"/>
          <w:b/>
          <w:bCs/>
          <w:sz w:val="28"/>
          <w:rtl/>
        </w:rPr>
        <w:t>סונגו</w:t>
      </w:r>
      <w:proofErr w:type="spellEnd"/>
      <w:r w:rsidRPr="00155CDA">
        <w:rPr>
          <w:rFonts w:ascii="David" w:hAnsi="David"/>
          <w:b/>
          <w:bCs/>
          <w:sz w:val="28"/>
          <w:rtl/>
        </w:rPr>
        <w:t xml:space="preserve"> </w:t>
      </w:r>
      <w:r w:rsidRPr="00155CDA">
        <w:rPr>
          <w:rFonts w:ascii="David" w:hAnsi="David"/>
          <w:sz w:val="28"/>
          <w:rtl/>
        </w:rPr>
        <w:t xml:space="preserve"> לעיל, פסקה 84).</w:t>
      </w:r>
      <w:r w:rsidRPr="00155CDA">
        <w:rPr>
          <w:rFonts w:ascii="David" w:hAnsi="David" w:hint="cs"/>
          <w:sz w:val="28"/>
          <w:rtl/>
        </w:rPr>
        <w:t xml:space="preserve"> כמו כן ההגנה לא הצליחה להצביע על כל מניע הגיוני שיהיה בו כדי להביא את נפגעת העבירה לבדות את התלונה נגד המערער</w:t>
      </w:r>
      <w:r w:rsidR="00BD0533">
        <w:rPr>
          <w:rFonts w:ascii="David" w:hAnsi="David" w:hint="cs"/>
          <w:sz w:val="28"/>
          <w:rtl/>
        </w:rPr>
        <w:t>,</w:t>
      </w:r>
      <w:r w:rsidRPr="00155CDA">
        <w:rPr>
          <w:rFonts w:ascii="David" w:hAnsi="David" w:hint="cs"/>
          <w:sz w:val="28"/>
          <w:rtl/>
        </w:rPr>
        <w:t xml:space="preserve"> ואף בכך יש כדי לתמוך במהימנות גרסתה </w:t>
      </w:r>
      <w:r w:rsidRPr="00155CDA">
        <w:rPr>
          <w:rFonts w:ascii="David" w:hAnsi="David"/>
          <w:sz w:val="28"/>
          <w:rtl/>
        </w:rPr>
        <w:t xml:space="preserve">(ע"פ 1935/20 </w:t>
      </w:r>
      <w:r w:rsidRPr="00155CDA">
        <w:rPr>
          <w:rFonts w:ascii="David" w:hAnsi="David"/>
          <w:b/>
          <w:bCs/>
          <w:sz w:val="28"/>
          <w:rtl/>
        </w:rPr>
        <w:t>פלוני נ' מדינת ישראל</w:t>
      </w:r>
      <w:r w:rsidRPr="00155CDA">
        <w:rPr>
          <w:rFonts w:ascii="David" w:hAnsi="David"/>
          <w:sz w:val="28"/>
          <w:rtl/>
        </w:rPr>
        <w:t xml:space="preserve">, פסקה 23 (31.3.2021); עניין </w:t>
      </w:r>
      <w:proofErr w:type="spellStart"/>
      <w:r w:rsidRPr="00155CDA">
        <w:rPr>
          <w:rFonts w:ascii="David" w:hAnsi="David"/>
          <w:b/>
          <w:bCs/>
          <w:sz w:val="28"/>
          <w:rtl/>
        </w:rPr>
        <w:t>קלימי</w:t>
      </w:r>
      <w:proofErr w:type="spellEnd"/>
      <w:r w:rsidRPr="00155CDA">
        <w:rPr>
          <w:rFonts w:ascii="David" w:hAnsi="David"/>
          <w:sz w:val="28"/>
          <w:rtl/>
        </w:rPr>
        <w:t xml:space="preserve"> לעיל, פסקאות 58 ו-71).</w:t>
      </w:r>
      <w:r w:rsidR="00155CDA" w:rsidRPr="00155CDA">
        <w:rPr>
          <w:rFonts w:ascii="David" w:hAnsi="David" w:hint="cs"/>
          <w:sz w:val="28"/>
          <w:rtl/>
        </w:rPr>
        <w:t xml:space="preserve"> </w:t>
      </w:r>
      <w:r w:rsidR="00CD1453" w:rsidRPr="00155CDA">
        <w:rPr>
          <w:rFonts w:ascii="David" w:hAnsi="David" w:hint="cs"/>
          <w:sz w:val="28"/>
          <w:rtl/>
        </w:rPr>
        <w:t>יתר על כן, לעדותה של נפגעת העבירה נמצאו תימוכין חיצוניים רבים המחזקים את גרסתה</w:t>
      </w:r>
      <w:r w:rsidR="00B608A3" w:rsidRPr="00155CDA">
        <w:rPr>
          <w:rFonts w:ascii="David" w:hAnsi="David" w:hint="cs"/>
          <w:sz w:val="28"/>
          <w:rtl/>
        </w:rPr>
        <w:t xml:space="preserve">, כפי שיבואר להלן. </w:t>
      </w:r>
    </w:p>
    <w:p w14:paraId="3D421466" w14:textId="77777777" w:rsidR="00B34F1D" w:rsidRDefault="00CD1453" w:rsidP="002C0946">
      <w:pPr>
        <w:pStyle w:val="ListParagraph"/>
        <w:numPr>
          <w:ilvl w:val="0"/>
          <w:numId w:val="1"/>
        </w:numPr>
        <w:rPr>
          <w:rFonts w:ascii="David" w:hAnsi="David"/>
          <w:color w:val="000000"/>
          <w:sz w:val="28"/>
        </w:rPr>
      </w:pPr>
      <w:r>
        <w:rPr>
          <w:rFonts w:ascii="David" w:hAnsi="David" w:hint="cs"/>
          <w:sz w:val="28"/>
          <w:rtl/>
        </w:rPr>
        <w:t>באשר לאירוע הראשון, אישרה מפקדתה</w:t>
      </w:r>
      <w:r w:rsidR="00155CDA">
        <w:rPr>
          <w:rFonts w:ascii="David" w:hAnsi="David" w:hint="cs"/>
          <w:sz w:val="28"/>
          <w:rtl/>
        </w:rPr>
        <w:t xml:space="preserve"> של נפגעת העבירה</w:t>
      </w:r>
      <w:r>
        <w:rPr>
          <w:rFonts w:ascii="David" w:hAnsi="David" w:hint="cs"/>
          <w:sz w:val="28"/>
          <w:rtl/>
        </w:rPr>
        <w:t>, סרן הילה, כי נפגעת העבירה פנתה אליה בסמוך לאחר</w:t>
      </w:r>
      <w:r w:rsidR="00155CDA">
        <w:rPr>
          <w:rFonts w:ascii="David" w:hAnsi="David" w:hint="cs"/>
          <w:sz w:val="28"/>
          <w:rtl/>
        </w:rPr>
        <w:t xml:space="preserve"> שהתרחש</w:t>
      </w:r>
      <w:r w:rsidR="00E34EF9">
        <w:rPr>
          <w:rFonts w:ascii="David" w:hAnsi="David" w:hint="cs"/>
          <w:sz w:val="28"/>
          <w:rtl/>
        </w:rPr>
        <w:t>,</w:t>
      </w:r>
      <w:r>
        <w:rPr>
          <w:rFonts w:ascii="David" w:hAnsi="David" w:hint="cs"/>
          <w:sz w:val="28"/>
          <w:rtl/>
        </w:rPr>
        <w:t xml:space="preserve"> </w:t>
      </w:r>
      <w:r w:rsidR="00FD496A">
        <w:rPr>
          <w:rFonts w:ascii="David" w:hAnsi="David" w:hint="cs"/>
          <w:sz w:val="28"/>
          <w:rtl/>
        </w:rPr>
        <w:t xml:space="preserve">על מנת לספר לה </w:t>
      </w:r>
      <w:r w:rsidR="00B34F1D">
        <w:rPr>
          <w:rFonts w:ascii="David" w:hAnsi="David" w:hint="cs"/>
          <w:color w:val="000000"/>
          <w:sz w:val="28"/>
          <w:rtl/>
        </w:rPr>
        <w:t xml:space="preserve">על התנהלות המערער, וזאת מבלי שביקשה להגיש נגדו תלונה. </w:t>
      </w:r>
      <w:r w:rsidR="00EF01CA">
        <w:rPr>
          <w:rFonts w:ascii="David" w:hAnsi="David" w:hint="cs"/>
          <w:color w:val="000000"/>
          <w:sz w:val="28"/>
          <w:rtl/>
        </w:rPr>
        <w:t xml:space="preserve">מקובלת עלינו מסקנת </w:t>
      </w:r>
      <w:r w:rsidR="00B34F1D">
        <w:rPr>
          <w:rFonts w:ascii="David" w:hAnsi="David" w:hint="cs"/>
          <w:color w:val="000000"/>
          <w:sz w:val="28"/>
          <w:rtl/>
        </w:rPr>
        <w:t>בית הדין קמא, כי פניה זו לא זו בלבד שמחזקת את עדותה של נפגעת העבירה אלא גם מאשרת את ההנחה שהיא לא בדתה את האירוע מלבה כדי להתנכל למערער, שכן היא נמנעה מלהגיש באות</w:t>
      </w:r>
      <w:r w:rsidR="00DE30BE">
        <w:rPr>
          <w:rFonts w:ascii="David" w:hAnsi="David" w:hint="cs"/>
          <w:color w:val="000000"/>
          <w:sz w:val="28"/>
          <w:rtl/>
        </w:rPr>
        <w:t>ו</w:t>
      </w:r>
      <w:r w:rsidR="00B34F1D">
        <w:rPr>
          <w:rFonts w:ascii="David" w:hAnsi="David" w:hint="cs"/>
          <w:color w:val="000000"/>
          <w:sz w:val="28"/>
          <w:rtl/>
        </w:rPr>
        <w:t xml:space="preserve"> </w:t>
      </w:r>
      <w:r w:rsidR="00DE30BE">
        <w:rPr>
          <w:rFonts w:ascii="David" w:hAnsi="David" w:hint="cs"/>
          <w:color w:val="000000"/>
          <w:sz w:val="28"/>
          <w:rtl/>
        </w:rPr>
        <w:t xml:space="preserve">מועד </w:t>
      </w:r>
      <w:r w:rsidR="00B34F1D">
        <w:rPr>
          <w:rFonts w:ascii="David" w:hAnsi="David" w:hint="cs"/>
          <w:color w:val="000000"/>
          <w:sz w:val="28"/>
          <w:rtl/>
        </w:rPr>
        <w:t xml:space="preserve">תלונה גם כשהדבר </w:t>
      </w:r>
      <w:r w:rsidR="00B34F1D">
        <w:rPr>
          <w:rFonts w:ascii="David" w:hAnsi="David" w:hint="cs"/>
          <w:color w:val="000000"/>
          <w:sz w:val="28"/>
          <w:rtl/>
        </w:rPr>
        <w:lastRenderedPageBreak/>
        <w:t>הוצע לה, ואף ביקשה כי במסגרת שיחה שתיערך לא יוזכר שמו של המערער</w:t>
      </w:r>
      <w:r w:rsidR="00D60368">
        <w:rPr>
          <w:rFonts w:ascii="David" w:hAnsi="David" w:hint="cs"/>
          <w:color w:val="000000"/>
          <w:sz w:val="28"/>
          <w:rtl/>
        </w:rPr>
        <w:t xml:space="preserve">. טענות ההגנה כלפי סרן הילה היו בעיקרן ביחס </w:t>
      </w:r>
      <w:r w:rsidR="00094767">
        <w:rPr>
          <w:rFonts w:ascii="David" w:hAnsi="David" w:hint="cs"/>
          <w:color w:val="000000"/>
          <w:sz w:val="28"/>
          <w:rtl/>
        </w:rPr>
        <w:t>ל</w:t>
      </w:r>
      <w:r w:rsidR="00CF637F">
        <w:rPr>
          <w:rFonts w:ascii="David" w:hAnsi="David" w:hint="cs"/>
          <w:color w:val="000000"/>
          <w:sz w:val="28"/>
          <w:rtl/>
        </w:rPr>
        <w:t>כינוי מזלזל שהפנתה אל המערער</w:t>
      </w:r>
      <w:r w:rsidR="00E34EF9">
        <w:rPr>
          <w:rFonts w:ascii="David" w:hAnsi="David" w:hint="cs"/>
          <w:color w:val="000000"/>
          <w:sz w:val="28"/>
          <w:rtl/>
        </w:rPr>
        <w:t xml:space="preserve"> </w:t>
      </w:r>
      <w:r w:rsidR="00AA71F9">
        <w:rPr>
          <w:rFonts w:ascii="David" w:hAnsi="David" w:hint="cs"/>
          <w:color w:val="000000"/>
          <w:sz w:val="28"/>
          <w:rtl/>
        </w:rPr>
        <w:t>כשתיארה את אופיו בעדותה במצ"ח</w:t>
      </w:r>
      <w:r w:rsidR="00CF637F">
        <w:rPr>
          <w:rFonts w:ascii="David" w:hAnsi="David" w:hint="cs"/>
          <w:color w:val="000000"/>
          <w:sz w:val="28"/>
          <w:rtl/>
        </w:rPr>
        <w:t xml:space="preserve"> - </w:t>
      </w:r>
      <w:r w:rsidR="00D60368">
        <w:rPr>
          <w:rFonts w:ascii="David" w:hAnsi="David" w:hint="cs"/>
          <w:color w:val="000000"/>
          <w:sz w:val="28"/>
          <w:rtl/>
        </w:rPr>
        <w:t xml:space="preserve">אולם </w:t>
      </w:r>
      <w:r w:rsidR="00EF01CA">
        <w:rPr>
          <w:rFonts w:ascii="David" w:hAnsi="David" w:hint="cs"/>
          <w:color w:val="000000"/>
          <w:sz w:val="28"/>
          <w:rtl/>
        </w:rPr>
        <w:t xml:space="preserve">על </w:t>
      </w:r>
      <w:r w:rsidR="00B608A3">
        <w:rPr>
          <w:rFonts w:ascii="David" w:hAnsi="David" w:hint="cs"/>
          <w:color w:val="000000"/>
          <w:sz w:val="28"/>
          <w:rtl/>
        </w:rPr>
        <w:t xml:space="preserve">אף </w:t>
      </w:r>
      <w:r w:rsidR="00EF01CA">
        <w:rPr>
          <w:rFonts w:ascii="David" w:hAnsi="David" w:hint="cs"/>
          <w:color w:val="000000"/>
          <w:sz w:val="28"/>
          <w:rtl/>
        </w:rPr>
        <w:t>ש</w:t>
      </w:r>
      <w:r w:rsidR="00B608A3">
        <w:rPr>
          <w:rFonts w:ascii="David" w:hAnsi="David" w:hint="cs"/>
          <w:color w:val="000000"/>
          <w:sz w:val="28"/>
          <w:rtl/>
        </w:rPr>
        <w:t xml:space="preserve">מדובר בהתבטאות שאינה ראויה, אין בכך כדי לקעקע את מהימנותה. </w:t>
      </w:r>
    </w:p>
    <w:p w14:paraId="2B155A62" w14:textId="77777777" w:rsidR="00C26037" w:rsidRPr="00C26037" w:rsidRDefault="00702CB5" w:rsidP="002C0946">
      <w:pPr>
        <w:pStyle w:val="ListParagraph"/>
        <w:widowControl w:val="0"/>
        <w:numPr>
          <w:ilvl w:val="0"/>
          <w:numId w:val="1"/>
        </w:numPr>
        <w:contextualSpacing/>
        <w:rPr>
          <w:rFonts w:ascii="David" w:hAnsi="David"/>
          <w:color w:val="000000"/>
          <w:sz w:val="28"/>
        </w:rPr>
      </w:pPr>
      <w:r w:rsidRPr="00702CB5">
        <w:rPr>
          <w:rFonts w:ascii="David" w:hAnsi="David" w:hint="cs"/>
          <w:sz w:val="28"/>
          <w:rtl/>
        </w:rPr>
        <w:t xml:space="preserve">באשר לאירוע השני, </w:t>
      </w:r>
      <w:r w:rsidR="00C77422">
        <w:rPr>
          <w:rFonts w:ascii="David" w:hAnsi="David" w:hint="cs"/>
          <w:sz w:val="28"/>
          <w:rtl/>
        </w:rPr>
        <w:t xml:space="preserve">החיזוק המשמעותי ביותר לעדות נפגעת העבירה נעוץ </w:t>
      </w:r>
      <w:r w:rsidRPr="00702CB5">
        <w:rPr>
          <w:rFonts w:ascii="David" w:hAnsi="David" w:hint="cs"/>
          <w:sz w:val="28"/>
          <w:rtl/>
        </w:rPr>
        <w:t>באות</w:t>
      </w:r>
      <w:r>
        <w:rPr>
          <w:rFonts w:ascii="David" w:hAnsi="David" w:hint="cs"/>
          <w:sz w:val="28"/>
          <w:rtl/>
        </w:rPr>
        <w:t xml:space="preserve">ו דיווח </w:t>
      </w:r>
      <w:r w:rsidRPr="00702CB5">
        <w:rPr>
          <w:rFonts w:ascii="David" w:hAnsi="David" w:hint="cs"/>
          <w:sz w:val="28"/>
          <w:rtl/>
        </w:rPr>
        <w:t xml:space="preserve">"בזמן אמת" </w:t>
      </w:r>
      <w:r>
        <w:rPr>
          <w:rFonts w:ascii="David" w:hAnsi="David" w:hint="cs"/>
          <w:sz w:val="28"/>
          <w:rtl/>
        </w:rPr>
        <w:t xml:space="preserve">במסגרת חלופות התכתובות שלה </w:t>
      </w:r>
      <w:r w:rsidR="00DF4990">
        <w:rPr>
          <w:rFonts w:ascii="David" w:hAnsi="David" w:hint="cs"/>
          <w:sz w:val="28"/>
          <w:rtl/>
        </w:rPr>
        <w:t>ע</w:t>
      </w:r>
      <w:r w:rsidRPr="00702CB5">
        <w:rPr>
          <w:rFonts w:ascii="David" w:hAnsi="David" w:hint="cs"/>
          <w:sz w:val="28"/>
          <w:rtl/>
        </w:rPr>
        <w:t xml:space="preserve">ם חברתה שוהם בעת התרחשותו של האירוע </w:t>
      </w:r>
      <w:r w:rsidR="00DF4990">
        <w:rPr>
          <w:rFonts w:ascii="David" w:hAnsi="David" w:hint="cs"/>
          <w:sz w:val="28"/>
          <w:rtl/>
        </w:rPr>
        <w:t xml:space="preserve">ממש, בין שני חלקיו. </w:t>
      </w:r>
      <w:r w:rsidR="008566BD">
        <w:rPr>
          <w:rFonts w:ascii="David" w:hAnsi="David" w:hint="cs"/>
          <w:sz w:val="28"/>
          <w:rtl/>
        </w:rPr>
        <w:t xml:space="preserve">בין השאר כתבה לה: "בואי </w:t>
      </w:r>
      <w:proofErr w:type="spellStart"/>
      <w:r w:rsidR="008566BD">
        <w:rPr>
          <w:rFonts w:ascii="David" w:hAnsi="David" w:hint="cs"/>
          <w:sz w:val="28"/>
          <w:rtl/>
        </w:rPr>
        <w:t>בואי</w:t>
      </w:r>
      <w:proofErr w:type="spellEnd"/>
      <w:r w:rsidR="008566BD">
        <w:rPr>
          <w:rFonts w:ascii="David" w:hAnsi="David" w:hint="cs"/>
          <w:sz w:val="28"/>
          <w:rtl/>
        </w:rPr>
        <w:t xml:space="preserve"> לפה"; "הוא נוגע בי"</w:t>
      </w:r>
      <w:r w:rsidR="00E34EF9">
        <w:rPr>
          <w:rFonts w:ascii="David" w:hAnsi="David" w:hint="cs"/>
          <w:sz w:val="28"/>
          <w:rtl/>
        </w:rPr>
        <w:t>;</w:t>
      </w:r>
      <w:r w:rsidR="008566BD">
        <w:rPr>
          <w:rFonts w:ascii="David" w:hAnsi="David" w:hint="cs"/>
          <w:sz w:val="28"/>
          <w:rtl/>
        </w:rPr>
        <w:t xml:space="preserve"> </w:t>
      </w:r>
      <w:r w:rsidR="00402070">
        <w:rPr>
          <w:rFonts w:ascii="David" w:hAnsi="David" w:hint="cs"/>
          <w:sz w:val="28"/>
          <w:rtl/>
        </w:rPr>
        <w:t>"נישק אותי בראש של</w:t>
      </w:r>
      <w:r w:rsidR="00DE30BE">
        <w:rPr>
          <w:rFonts w:ascii="David" w:hAnsi="David" w:hint="cs"/>
          <w:sz w:val="28"/>
          <w:rtl/>
        </w:rPr>
        <w:t>י</w:t>
      </w:r>
      <w:r w:rsidR="00402070">
        <w:rPr>
          <w:rFonts w:ascii="David" w:hAnsi="David" w:hint="cs"/>
          <w:sz w:val="28"/>
          <w:rtl/>
        </w:rPr>
        <w:t xml:space="preserve"> פעמיים; שלוש פעמים; עכשיו צבט אותי גם; והחזיק לי את הפנים; כאילו הוא בא לנשק אותי; והתנגדתי; אמרתי לו לא". </w:t>
      </w:r>
    </w:p>
    <w:p w14:paraId="6D392675" w14:textId="77777777" w:rsidR="00722F0D" w:rsidRPr="00375A97" w:rsidRDefault="00E34EF9" w:rsidP="002C0946">
      <w:pPr>
        <w:pStyle w:val="ListParagraph"/>
        <w:widowControl w:val="0"/>
        <w:numPr>
          <w:ilvl w:val="0"/>
          <w:numId w:val="1"/>
        </w:numPr>
        <w:contextualSpacing/>
        <w:rPr>
          <w:rFonts w:ascii="David" w:hAnsi="David"/>
          <w:sz w:val="28"/>
        </w:rPr>
      </w:pPr>
      <w:r>
        <w:rPr>
          <w:rFonts w:ascii="David" w:hAnsi="David" w:hint="cs"/>
          <w:sz w:val="28"/>
          <w:rtl/>
        </w:rPr>
        <w:t xml:space="preserve">הדברים, המדברים בעד עצמם, </w:t>
      </w:r>
      <w:r w:rsidR="00B61ACD" w:rsidRPr="00375A97">
        <w:rPr>
          <w:rFonts w:ascii="David" w:hAnsi="David" w:hint="cs"/>
          <w:sz w:val="28"/>
          <w:rtl/>
        </w:rPr>
        <w:t>תוא</w:t>
      </w:r>
      <w:r>
        <w:rPr>
          <w:rFonts w:ascii="David" w:hAnsi="David" w:hint="cs"/>
          <w:sz w:val="28"/>
          <w:rtl/>
        </w:rPr>
        <w:t>מי</w:t>
      </w:r>
      <w:r w:rsidR="00B61ACD" w:rsidRPr="00375A97">
        <w:rPr>
          <w:rFonts w:ascii="David" w:hAnsi="David" w:hint="cs"/>
          <w:sz w:val="28"/>
          <w:rtl/>
        </w:rPr>
        <w:t xml:space="preserve">ם את עדותה </w:t>
      </w:r>
      <w:r w:rsidR="00BC041C">
        <w:rPr>
          <w:rFonts w:ascii="David" w:hAnsi="David" w:hint="cs"/>
          <w:sz w:val="28"/>
          <w:rtl/>
        </w:rPr>
        <w:t xml:space="preserve">של נפגעת העבירה </w:t>
      </w:r>
      <w:r w:rsidR="00B61ACD" w:rsidRPr="00375A97">
        <w:rPr>
          <w:rFonts w:ascii="David" w:hAnsi="David" w:hint="cs"/>
          <w:sz w:val="28"/>
          <w:rtl/>
        </w:rPr>
        <w:t xml:space="preserve">בדבר </w:t>
      </w:r>
      <w:r w:rsidR="00CF637F" w:rsidRPr="00375A97">
        <w:rPr>
          <w:rFonts w:ascii="David" w:hAnsi="David" w:hint="cs"/>
          <w:sz w:val="28"/>
          <w:rtl/>
        </w:rPr>
        <w:t xml:space="preserve">אופן התרחשות </w:t>
      </w:r>
      <w:r w:rsidR="00B61ACD" w:rsidRPr="00375A97">
        <w:rPr>
          <w:rFonts w:ascii="David" w:hAnsi="David" w:hint="cs"/>
          <w:sz w:val="28"/>
          <w:rtl/>
        </w:rPr>
        <w:t>החלק הראשון של האירוע</w:t>
      </w:r>
      <w:r w:rsidR="00722F0D" w:rsidRPr="00375A97">
        <w:rPr>
          <w:rFonts w:ascii="David" w:hAnsi="David" w:hint="cs"/>
          <w:sz w:val="28"/>
          <w:rtl/>
        </w:rPr>
        <w:t xml:space="preserve">. </w:t>
      </w:r>
      <w:r w:rsidR="00C26037" w:rsidRPr="00375A97">
        <w:rPr>
          <w:rFonts w:ascii="David" w:hAnsi="David" w:hint="cs"/>
          <w:sz w:val="28"/>
          <w:rtl/>
        </w:rPr>
        <w:t xml:space="preserve">יש </w:t>
      </w:r>
      <w:r>
        <w:rPr>
          <w:rFonts w:ascii="David" w:hAnsi="David" w:hint="cs"/>
          <w:sz w:val="28"/>
          <w:rtl/>
        </w:rPr>
        <w:t xml:space="preserve">בהם </w:t>
      </w:r>
      <w:r w:rsidR="00C26037" w:rsidRPr="00375A97">
        <w:rPr>
          <w:rFonts w:ascii="David" w:hAnsi="David" w:hint="cs"/>
          <w:sz w:val="28"/>
          <w:rtl/>
        </w:rPr>
        <w:t xml:space="preserve">כדי להעיד יותר מכל </w:t>
      </w:r>
      <w:r w:rsidR="00702CB5" w:rsidRPr="00375A97">
        <w:rPr>
          <w:rFonts w:ascii="David" w:hAnsi="David" w:hint="cs"/>
          <w:sz w:val="28"/>
          <w:rtl/>
        </w:rPr>
        <w:t xml:space="preserve">על תחושותיה בזמן ביצוע העבירה ממש, על המצוקה שחשה ועל </w:t>
      </w:r>
      <w:r>
        <w:rPr>
          <w:rFonts w:ascii="David" w:hAnsi="David" w:hint="cs"/>
          <w:sz w:val="28"/>
          <w:rtl/>
        </w:rPr>
        <w:t>בקשת ה</w:t>
      </w:r>
      <w:r w:rsidR="00702CB5" w:rsidRPr="00375A97">
        <w:rPr>
          <w:rFonts w:ascii="David" w:hAnsi="David" w:hint="cs"/>
          <w:sz w:val="28"/>
          <w:rtl/>
        </w:rPr>
        <w:t>עזרה</w:t>
      </w:r>
      <w:r w:rsidR="00F73EC4" w:rsidRPr="00375A97">
        <w:rPr>
          <w:rFonts w:ascii="David" w:hAnsi="David" w:hint="cs"/>
          <w:sz w:val="28"/>
          <w:rtl/>
        </w:rPr>
        <w:t xml:space="preserve"> מחברתה</w:t>
      </w:r>
      <w:r w:rsidR="00C26037" w:rsidRPr="00375A97">
        <w:rPr>
          <w:rFonts w:ascii="David" w:hAnsi="David" w:hint="cs"/>
          <w:sz w:val="28"/>
          <w:rtl/>
        </w:rPr>
        <w:t xml:space="preserve">. מבחינה זו מהווים הדברים </w:t>
      </w:r>
      <w:r w:rsidR="00722F0D" w:rsidRPr="00375A97">
        <w:rPr>
          <w:rFonts w:ascii="David" w:hAnsi="David" w:hint="cs"/>
          <w:sz w:val="28"/>
          <w:rtl/>
        </w:rPr>
        <w:t xml:space="preserve">בבחינת </w:t>
      </w:r>
      <w:r w:rsidR="00722F0D" w:rsidRPr="00375A97">
        <w:rPr>
          <w:rFonts w:ascii="David" w:hAnsi="David"/>
          <w:sz w:val="28"/>
          <w:rtl/>
        </w:rPr>
        <w:t xml:space="preserve">"מסירה ספונטאנית של הדברים, העונה גם על הגישה המצמצמת ביותר לפרשנות החריג לכלל הפוסל עדות מפי השמועה, כאמור בסעיף 9 לפקודת הראיות [נוסח חדש], </w:t>
      </w:r>
      <w:proofErr w:type="spellStart"/>
      <w:r w:rsidR="00722F0D" w:rsidRPr="00375A97">
        <w:rPr>
          <w:rFonts w:ascii="David" w:hAnsi="David"/>
          <w:sz w:val="28"/>
          <w:rtl/>
        </w:rPr>
        <w:t>התשל"א</w:t>
      </w:r>
      <w:proofErr w:type="spellEnd"/>
      <w:r w:rsidR="00722F0D" w:rsidRPr="00375A97">
        <w:rPr>
          <w:rFonts w:ascii="David" w:hAnsi="David"/>
          <w:sz w:val="28"/>
          <w:rtl/>
        </w:rPr>
        <w:t xml:space="preserve"> - 1971" (ע/58,56/16 </w:t>
      </w:r>
      <w:r w:rsidR="00722F0D" w:rsidRPr="00375A97">
        <w:rPr>
          <w:rFonts w:ascii="David" w:hAnsi="David"/>
          <w:b/>
          <w:bCs/>
          <w:sz w:val="28"/>
          <w:rtl/>
        </w:rPr>
        <w:t>סמל ימין נ' התובע הצבאי הראשי</w:t>
      </w:r>
      <w:r w:rsidR="00722F0D" w:rsidRPr="00375A97">
        <w:rPr>
          <w:rFonts w:ascii="David" w:hAnsi="David"/>
          <w:sz w:val="28"/>
          <w:rtl/>
        </w:rPr>
        <w:t>, פסקה 49 (2017</w:t>
      </w:r>
      <w:r w:rsidRPr="00375A97">
        <w:rPr>
          <w:rFonts w:ascii="David" w:hAnsi="David"/>
          <w:sz w:val="28"/>
          <w:rtl/>
        </w:rPr>
        <w:t>))</w:t>
      </w:r>
      <w:r>
        <w:rPr>
          <w:rFonts w:ascii="David" w:hAnsi="David" w:hint="cs"/>
          <w:sz w:val="28"/>
          <w:rtl/>
        </w:rPr>
        <w:t>.</w:t>
      </w:r>
      <w:r w:rsidRPr="00375A97">
        <w:rPr>
          <w:rFonts w:ascii="David" w:hAnsi="David"/>
          <w:sz w:val="28"/>
          <w:rtl/>
        </w:rPr>
        <w:t xml:space="preserve"> </w:t>
      </w:r>
      <w:r w:rsidR="00F73EC4" w:rsidRPr="00375A97">
        <w:rPr>
          <w:rFonts w:ascii="David" w:hAnsi="David" w:hint="cs"/>
          <w:sz w:val="28"/>
          <w:rtl/>
        </w:rPr>
        <w:t>כידוע</w:t>
      </w:r>
      <w:r>
        <w:rPr>
          <w:rFonts w:ascii="David" w:hAnsi="David" w:hint="cs"/>
          <w:sz w:val="28"/>
          <w:rtl/>
        </w:rPr>
        <w:t>,</w:t>
      </w:r>
      <w:r w:rsidR="00F73EC4" w:rsidRPr="00375A97">
        <w:rPr>
          <w:rFonts w:ascii="David" w:hAnsi="David" w:hint="cs"/>
          <w:sz w:val="28"/>
          <w:rtl/>
        </w:rPr>
        <w:t xml:space="preserve"> הרציונל </w:t>
      </w:r>
      <w:r w:rsidR="00D10CE6" w:rsidRPr="00375A97">
        <w:rPr>
          <w:rFonts w:ascii="David" w:hAnsi="David" w:hint="cs"/>
          <w:sz w:val="28"/>
          <w:rtl/>
        </w:rPr>
        <w:t xml:space="preserve">שבבסיס </w:t>
      </w:r>
      <w:r>
        <w:rPr>
          <w:rFonts w:ascii="David" w:hAnsi="David" w:hint="cs"/>
          <w:sz w:val="28"/>
          <w:rtl/>
        </w:rPr>
        <w:t xml:space="preserve">חריג זה </w:t>
      </w:r>
      <w:r w:rsidR="00D10CE6" w:rsidRPr="00375A97">
        <w:rPr>
          <w:rFonts w:ascii="David" w:hAnsi="David" w:hint="cs"/>
          <w:sz w:val="28"/>
          <w:rtl/>
        </w:rPr>
        <w:t xml:space="preserve">מקורו בהנחה כי כאשר נפגע עבירה אומר דברים הנוגעים למעשה </w:t>
      </w:r>
      <w:r w:rsidR="00E83898" w:rsidRPr="00375A97">
        <w:rPr>
          <w:rFonts w:ascii="David" w:hAnsi="David" w:hint="cs"/>
          <w:sz w:val="28"/>
          <w:rtl/>
        </w:rPr>
        <w:t xml:space="preserve">שבגינו נפגע "אין דעתו נתונה לאמירת שקר וניתן על כן לקבל את דבריו כמשקפים את האמת" </w:t>
      </w:r>
      <w:r w:rsidR="00BF30EC" w:rsidRPr="00375A97">
        <w:rPr>
          <w:rFonts w:ascii="David" w:hAnsi="David" w:hint="cs"/>
          <w:sz w:val="28"/>
          <w:rtl/>
        </w:rPr>
        <w:t xml:space="preserve">(ע"פ 305/22 </w:t>
      </w:r>
      <w:r w:rsidR="00BF30EC" w:rsidRPr="00375A97">
        <w:rPr>
          <w:rFonts w:ascii="David" w:hAnsi="David" w:hint="cs"/>
          <w:b/>
          <w:bCs/>
          <w:sz w:val="28"/>
          <w:rtl/>
        </w:rPr>
        <w:t>איובי נ' מדינת ישראל</w:t>
      </w:r>
      <w:r w:rsidR="00BF30EC" w:rsidRPr="00375A97">
        <w:rPr>
          <w:rFonts w:ascii="David" w:hAnsi="David" w:hint="cs"/>
          <w:sz w:val="28"/>
          <w:rtl/>
        </w:rPr>
        <w:t>, פסקה 48 (</w:t>
      </w:r>
      <w:r w:rsidR="004E11E5" w:rsidRPr="00375A97">
        <w:rPr>
          <w:rFonts w:ascii="David" w:hAnsi="David" w:hint="cs"/>
          <w:sz w:val="28"/>
          <w:rtl/>
        </w:rPr>
        <w:t xml:space="preserve">7.9.2023); ע"פ 5730/96 </w:t>
      </w:r>
      <w:proofErr w:type="spellStart"/>
      <w:r w:rsidR="004E11E5" w:rsidRPr="00375A97">
        <w:rPr>
          <w:rFonts w:ascii="David" w:hAnsi="David" w:hint="cs"/>
          <w:b/>
          <w:bCs/>
          <w:sz w:val="28"/>
          <w:rtl/>
        </w:rPr>
        <w:t>גרציאני</w:t>
      </w:r>
      <w:proofErr w:type="spellEnd"/>
      <w:r w:rsidR="004E11E5" w:rsidRPr="00375A97">
        <w:rPr>
          <w:rFonts w:ascii="David" w:hAnsi="David" w:hint="cs"/>
          <w:b/>
          <w:bCs/>
          <w:sz w:val="28"/>
          <w:rtl/>
        </w:rPr>
        <w:t xml:space="preserve"> נ' מדינת ישראל</w:t>
      </w:r>
      <w:r w:rsidR="004E11E5" w:rsidRPr="00375A97">
        <w:rPr>
          <w:rFonts w:ascii="David" w:hAnsi="David" w:hint="cs"/>
          <w:sz w:val="28"/>
          <w:rtl/>
        </w:rPr>
        <w:t>, פסקה 5 לפסק דינו של השופט קדמי (18.5.1998)</w:t>
      </w:r>
      <w:r w:rsidR="009F3243" w:rsidRPr="00375A97">
        <w:rPr>
          <w:rFonts w:ascii="David" w:hAnsi="David" w:hint="cs"/>
          <w:sz w:val="28"/>
          <w:rtl/>
        </w:rPr>
        <w:t>)</w:t>
      </w:r>
      <w:r w:rsidR="00375A97" w:rsidRPr="00375A97">
        <w:rPr>
          <w:rFonts w:ascii="David" w:hAnsi="David" w:hint="cs"/>
          <w:sz w:val="28"/>
          <w:rtl/>
        </w:rPr>
        <w:t xml:space="preserve">, ומכאן שיש בהם כדי לתמוך </w:t>
      </w:r>
      <w:r w:rsidR="00722F0D" w:rsidRPr="00375A97">
        <w:rPr>
          <w:rFonts w:ascii="David" w:hAnsi="David"/>
          <w:sz w:val="28"/>
          <w:rtl/>
        </w:rPr>
        <w:t xml:space="preserve">"במסקנה כי מדובר בתלונה מיידית ואותנטית, שכן לא חלף פרק זמן ממושך בו ניתנה לה שהות להיערך לגיבושה של 'עלילת שווא'" (ע"פ 814/12 </w:t>
      </w:r>
      <w:r w:rsidR="00722F0D" w:rsidRPr="00375A97">
        <w:rPr>
          <w:rFonts w:ascii="David" w:hAnsi="David"/>
          <w:b/>
          <w:bCs/>
          <w:sz w:val="28"/>
          <w:rtl/>
        </w:rPr>
        <w:t xml:space="preserve">מדינת ישראל נ' </w:t>
      </w:r>
      <w:proofErr w:type="spellStart"/>
      <w:r w:rsidR="00722F0D" w:rsidRPr="00375A97">
        <w:rPr>
          <w:rFonts w:ascii="David" w:hAnsi="David"/>
          <w:b/>
          <w:bCs/>
          <w:sz w:val="28"/>
          <w:rtl/>
        </w:rPr>
        <w:t>סויסה</w:t>
      </w:r>
      <w:proofErr w:type="spellEnd"/>
      <w:r w:rsidR="00722F0D" w:rsidRPr="00375A97">
        <w:rPr>
          <w:rFonts w:ascii="David" w:hAnsi="David"/>
          <w:sz w:val="28"/>
          <w:rtl/>
        </w:rPr>
        <w:t>, פסקאות 50-49 (25.10.2012</w:t>
      </w:r>
      <w:r w:rsidRPr="00375A97">
        <w:rPr>
          <w:rFonts w:ascii="David" w:hAnsi="David"/>
          <w:sz w:val="28"/>
          <w:rtl/>
        </w:rPr>
        <w:t>)</w:t>
      </w:r>
      <w:r>
        <w:rPr>
          <w:rFonts w:ascii="David" w:hAnsi="David" w:hint="cs"/>
          <w:sz w:val="28"/>
          <w:rtl/>
        </w:rPr>
        <w:t>;</w:t>
      </w:r>
      <w:r w:rsidRPr="00375A97">
        <w:rPr>
          <w:rFonts w:ascii="David" w:hAnsi="David"/>
          <w:sz w:val="28"/>
          <w:rtl/>
        </w:rPr>
        <w:t xml:space="preserve"> </w:t>
      </w:r>
      <w:r w:rsidR="00EF6A6D" w:rsidRPr="00375A97">
        <w:rPr>
          <w:rFonts w:ascii="David" w:hAnsi="David" w:hint="cs"/>
          <w:sz w:val="28"/>
          <w:rtl/>
        </w:rPr>
        <w:t xml:space="preserve">ע/55/23 </w:t>
      </w:r>
      <w:r w:rsidR="00EF6A6D" w:rsidRPr="00375A97">
        <w:rPr>
          <w:rFonts w:ascii="David" w:hAnsi="David" w:hint="cs"/>
          <w:b/>
          <w:bCs/>
          <w:sz w:val="28"/>
          <w:rtl/>
        </w:rPr>
        <w:t xml:space="preserve">רס"ל </w:t>
      </w:r>
      <w:proofErr w:type="spellStart"/>
      <w:r w:rsidR="00722F0D" w:rsidRPr="00375A97">
        <w:rPr>
          <w:rFonts w:ascii="David" w:hAnsi="David"/>
          <w:b/>
          <w:bCs/>
          <w:sz w:val="28"/>
          <w:rtl/>
        </w:rPr>
        <w:t>ענטנברג</w:t>
      </w:r>
      <w:proofErr w:type="spellEnd"/>
      <w:r w:rsidR="00722F0D" w:rsidRPr="00375A97">
        <w:rPr>
          <w:rFonts w:ascii="David" w:hAnsi="David"/>
          <w:b/>
          <w:bCs/>
          <w:sz w:val="28"/>
          <w:rtl/>
        </w:rPr>
        <w:t xml:space="preserve"> </w:t>
      </w:r>
      <w:r w:rsidR="00EF6A6D" w:rsidRPr="00375A97">
        <w:rPr>
          <w:rFonts w:ascii="David" w:hAnsi="David" w:hint="cs"/>
          <w:sz w:val="28"/>
          <w:rtl/>
        </w:rPr>
        <w:t>לעיל, ב</w:t>
      </w:r>
      <w:r w:rsidR="00722F0D" w:rsidRPr="00375A97">
        <w:rPr>
          <w:rFonts w:ascii="David" w:hAnsi="David"/>
          <w:sz w:val="28"/>
          <w:rtl/>
        </w:rPr>
        <w:t>פסקה 44</w:t>
      </w:r>
      <w:r w:rsidR="009F3243" w:rsidRPr="00375A97">
        <w:rPr>
          <w:rFonts w:ascii="David" w:hAnsi="David" w:hint="cs"/>
          <w:sz w:val="28"/>
          <w:rtl/>
        </w:rPr>
        <w:t>)</w:t>
      </w:r>
      <w:r w:rsidR="00722F0D" w:rsidRPr="00375A97">
        <w:rPr>
          <w:rFonts w:ascii="David" w:hAnsi="David"/>
          <w:sz w:val="28"/>
          <w:rtl/>
        </w:rPr>
        <w:t xml:space="preserve">. </w:t>
      </w:r>
    </w:p>
    <w:p w14:paraId="448553EF" w14:textId="77777777" w:rsidR="00007763" w:rsidRDefault="00CF637F" w:rsidP="002C0946">
      <w:pPr>
        <w:pStyle w:val="ListParagraph"/>
        <w:numPr>
          <w:ilvl w:val="0"/>
          <w:numId w:val="1"/>
        </w:numPr>
        <w:rPr>
          <w:rFonts w:ascii="David" w:hAnsi="David"/>
          <w:sz w:val="28"/>
        </w:rPr>
      </w:pPr>
      <w:r>
        <w:rPr>
          <w:rFonts w:ascii="David" w:hAnsi="David" w:hint="cs"/>
          <w:sz w:val="28"/>
          <w:rtl/>
        </w:rPr>
        <w:t>לכך מתווספת הודעה נוספת ששלחה נפגעת העבירה אל המערער מיד לאחר סיום האירוע השני, וב</w:t>
      </w:r>
      <w:r w:rsidR="009A36CE">
        <w:rPr>
          <w:rFonts w:ascii="David" w:hAnsi="David" w:hint="cs"/>
          <w:sz w:val="28"/>
          <w:rtl/>
        </w:rPr>
        <w:t xml:space="preserve">ה </w:t>
      </w:r>
      <w:r w:rsidR="00BC6C6F">
        <w:rPr>
          <w:rFonts w:ascii="David" w:hAnsi="David" w:hint="cs"/>
          <w:sz w:val="28"/>
          <w:rtl/>
        </w:rPr>
        <w:t>דרשה ממנו להתרחק ממנה</w:t>
      </w:r>
      <w:r w:rsidR="00BC4AEF">
        <w:rPr>
          <w:rFonts w:ascii="David" w:hAnsi="David" w:hint="cs"/>
          <w:sz w:val="28"/>
          <w:rtl/>
        </w:rPr>
        <w:t xml:space="preserve">, </w:t>
      </w:r>
      <w:r w:rsidR="00C82002">
        <w:rPr>
          <w:rFonts w:ascii="David" w:hAnsi="David" w:hint="cs"/>
          <w:sz w:val="28"/>
          <w:rtl/>
        </w:rPr>
        <w:t xml:space="preserve">הודעה </w:t>
      </w:r>
      <w:r w:rsidR="00BC4AEF">
        <w:rPr>
          <w:rFonts w:ascii="David" w:hAnsi="David" w:hint="cs"/>
          <w:sz w:val="28"/>
          <w:rtl/>
        </w:rPr>
        <w:t xml:space="preserve">אשר לוותה בחסימתו מיד לאחר מכן, על מנת שלא יהיה ביכולתו לשלוח לה הודעות נוספות </w:t>
      </w:r>
      <w:proofErr w:type="spellStart"/>
      <w:r w:rsidR="00BC4AEF">
        <w:rPr>
          <w:rFonts w:ascii="David" w:hAnsi="David" w:hint="cs"/>
          <w:sz w:val="28"/>
          <w:rtl/>
        </w:rPr>
        <w:t>ב"ווטסאפ</w:t>
      </w:r>
      <w:proofErr w:type="spellEnd"/>
      <w:r w:rsidR="00BC4AEF">
        <w:rPr>
          <w:rFonts w:ascii="David" w:hAnsi="David" w:hint="cs"/>
          <w:sz w:val="28"/>
          <w:rtl/>
        </w:rPr>
        <w:t xml:space="preserve">". </w:t>
      </w:r>
      <w:r w:rsidR="009A36CE">
        <w:rPr>
          <w:rFonts w:ascii="David" w:hAnsi="David" w:hint="cs"/>
          <w:sz w:val="28"/>
          <w:rtl/>
        </w:rPr>
        <w:t xml:space="preserve">השינוי החד שחל ביחסה אל המערער, </w:t>
      </w:r>
      <w:r w:rsidR="00A0141C">
        <w:rPr>
          <w:rFonts w:ascii="David" w:hAnsi="David" w:hint="cs"/>
          <w:sz w:val="28"/>
          <w:rtl/>
        </w:rPr>
        <w:t xml:space="preserve">לעומת ההתכתבות הידידותית קודם לכן, </w:t>
      </w:r>
      <w:r w:rsidR="001268DC">
        <w:rPr>
          <w:rFonts w:ascii="David" w:hAnsi="David" w:hint="cs"/>
          <w:sz w:val="28"/>
          <w:rtl/>
        </w:rPr>
        <w:t xml:space="preserve">תומך </w:t>
      </w:r>
      <w:r w:rsidR="00BC4AEF">
        <w:rPr>
          <w:rFonts w:ascii="David" w:hAnsi="David" w:hint="cs"/>
          <w:sz w:val="28"/>
          <w:rtl/>
        </w:rPr>
        <w:t xml:space="preserve">אף הוא בתלונתה ומחזק אותה בנסיבות העניין. </w:t>
      </w:r>
    </w:p>
    <w:p w14:paraId="49F1D45C" w14:textId="77777777" w:rsidR="00F62E1D" w:rsidRDefault="00A21DCF" w:rsidP="002C0946">
      <w:pPr>
        <w:pStyle w:val="ListParagraph"/>
        <w:numPr>
          <w:ilvl w:val="0"/>
          <w:numId w:val="1"/>
        </w:numPr>
        <w:rPr>
          <w:rFonts w:ascii="David" w:hAnsi="David"/>
          <w:sz w:val="28"/>
        </w:rPr>
      </w:pPr>
      <w:r>
        <w:rPr>
          <w:rFonts w:ascii="David" w:hAnsi="David" w:hint="cs"/>
          <w:sz w:val="28"/>
          <w:rtl/>
        </w:rPr>
        <w:t xml:space="preserve">תימוכין נוספים נמצאו בעדויות </w:t>
      </w:r>
      <w:r w:rsidR="003E1ECD">
        <w:rPr>
          <w:rFonts w:ascii="David" w:hAnsi="David" w:hint="cs"/>
          <w:sz w:val="28"/>
          <w:rtl/>
        </w:rPr>
        <w:t xml:space="preserve">שנמסרו בדבר מצבה הנפשי של נפגעת העבירה לאחר האירוע, מפי מפקדתה, סרן הילה, </w:t>
      </w:r>
      <w:proofErr w:type="spellStart"/>
      <w:r w:rsidR="00535B47">
        <w:rPr>
          <w:rFonts w:ascii="David" w:hAnsi="David" w:hint="cs"/>
          <w:sz w:val="28"/>
          <w:rtl/>
        </w:rPr>
        <w:t>ממונת</w:t>
      </w:r>
      <w:proofErr w:type="spellEnd"/>
      <w:r w:rsidR="00535B47">
        <w:rPr>
          <w:rFonts w:ascii="David" w:hAnsi="David" w:hint="cs"/>
          <w:sz w:val="28"/>
          <w:rtl/>
        </w:rPr>
        <w:t xml:space="preserve"> </w:t>
      </w:r>
      <w:proofErr w:type="spellStart"/>
      <w:r w:rsidR="00535B47">
        <w:rPr>
          <w:rFonts w:ascii="David" w:hAnsi="David" w:hint="cs"/>
          <w:sz w:val="28"/>
          <w:rtl/>
        </w:rPr>
        <w:t>היוהל"ם</w:t>
      </w:r>
      <w:proofErr w:type="spellEnd"/>
      <w:r w:rsidR="00535B47">
        <w:rPr>
          <w:rFonts w:ascii="David" w:hAnsi="David" w:hint="cs"/>
          <w:sz w:val="28"/>
          <w:rtl/>
        </w:rPr>
        <w:t xml:space="preserve">, סרן ירדן וחברות שונות של נפגעת העבירה </w:t>
      </w:r>
      <w:r w:rsidR="00C82002">
        <w:rPr>
          <w:rFonts w:ascii="David" w:hAnsi="David" w:hint="cs"/>
          <w:sz w:val="28"/>
          <w:rtl/>
        </w:rPr>
        <w:t xml:space="preserve">- </w:t>
      </w:r>
      <w:r w:rsidR="00535B47">
        <w:rPr>
          <w:rFonts w:ascii="David" w:hAnsi="David" w:hint="cs"/>
          <w:sz w:val="28"/>
          <w:rtl/>
        </w:rPr>
        <w:t xml:space="preserve">סמ"ר עדי, </w:t>
      </w:r>
      <w:r w:rsidR="00AA71F9">
        <w:rPr>
          <w:rFonts w:ascii="David" w:hAnsi="David" w:hint="cs"/>
          <w:sz w:val="28"/>
          <w:rtl/>
        </w:rPr>
        <w:t xml:space="preserve">רב"ט </w:t>
      </w:r>
      <w:r w:rsidR="00535B47">
        <w:rPr>
          <w:rFonts w:ascii="David" w:hAnsi="David" w:hint="cs"/>
          <w:sz w:val="28"/>
          <w:rtl/>
        </w:rPr>
        <w:t xml:space="preserve">מיה, </w:t>
      </w:r>
      <w:r w:rsidR="00AA71F9">
        <w:rPr>
          <w:rFonts w:ascii="David" w:hAnsi="David" w:hint="cs"/>
          <w:sz w:val="28"/>
          <w:rtl/>
        </w:rPr>
        <w:t xml:space="preserve">רב"ט </w:t>
      </w:r>
      <w:r w:rsidR="00535B47">
        <w:rPr>
          <w:rFonts w:ascii="David" w:hAnsi="David" w:hint="cs"/>
          <w:sz w:val="28"/>
          <w:rtl/>
        </w:rPr>
        <w:t>שוהם וע</w:t>
      </w:r>
      <w:r w:rsidR="00C82002">
        <w:rPr>
          <w:rFonts w:ascii="David" w:hAnsi="David" w:hint="cs"/>
          <w:sz w:val="28"/>
          <w:rtl/>
        </w:rPr>
        <w:t>דות נוספות</w:t>
      </w:r>
      <w:r w:rsidR="00F62E1D">
        <w:rPr>
          <w:rFonts w:ascii="David" w:hAnsi="David" w:hint="cs"/>
          <w:sz w:val="28"/>
          <w:rtl/>
        </w:rPr>
        <w:t>.</w:t>
      </w:r>
      <w:r w:rsidR="008C2F38">
        <w:rPr>
          <w:rFonts w:ascii="David" w:hAnsi="David" w:hint="cs"/>
          <w:sz w:val="28"/>
          <w:rtl/>
        </w:rPr>
        <w:t xml:space="preserve"> </w:t>
      </w:r>
      <w:r w:rsidR="00002C6A">
        <w:rPr>
          <w:rFonts w:ascii="David" w:hAnsi="David" w:hint="cs"/>
          <w:sz w:val="28"/>
          <w:rtl/>
        </w:rPr>
        <w:t xml:space="preserve">הלכה פסוקה היא כי </w:t>
      </w:r>
      <w:r w:rsidR="008C2F38">
        <w:rPr>
          <w:rFonts w:ascii="David" w:hAnsi="David" w:hint="cs"/>
          <w:sz w:val="28"/>
          <w:rtl/>
        </w:rPr>
        <w:t xml:space="preserve">ראיות בדבר מצבו הנפשי של נפגע עבירה </w:t>
      </w:r>
      <w:r w:rsidR="004D772A">
        <w:rPr>
          <w:rFonts w:ascii="David" w:hAnsi="David" w:hint="cs"/>
          <w:sz w:val="28"/>
          <w:rtl/>
        </w:rPr>
        <w:t xml:space="preserve">לאחר ביצוע המעשה עשויות לחזק את התלונה ולהוות אף ראיה מסייעת </w:t>
      </w:r>
      <w:r w:rsidR="007828D5">
        <w:rPr>
          <w:rFonts w:ascii="David" w:hAnsi="David" w:hint="cs"/>
          <w:sz w:val="28"/>
          <w:rtl/>
        </w:rPr>
        <w:t xml:space="preserve"> (ע"פ </w:t>
      </w:r>
      <w:r w:rsidR="00554995">
        <w:rPr>
          <w:rFonts w:ascii="David" w:hAnsi="David" w:hint="cs"/>
          <w:sz w:val="28"/>
          <w:rtl/>
        </w:rPr>
        <w:t xml:space="preserve">6826/19 </w:t>
      </w:r>
      <w:r w:rsidR="00554995">
        <w:rPr>
          <w:rFonts w:ascii="David" w:hAnsi="David" w:hint="cs"/>
          <w:b/>
          <w:bCs/>
          <w:sz w:val="28"/>
          <w:rtl/>
        </w:rPr>
        <w:t>שרגאי נ' מדינת ישראל</w:t>
      </w:r>
      <w:r w:rsidR="00554995">
        <w:rPr>
          <w:rFonts w:ascii="David" w:hAnsi="David" w:hint="cs"/>
          <w:sz w:val="28"/>
          <w:rtl/>
        </w:rPr>
        <w:t>, פסקה 30 (14.12.2022)</w:t>
      </w:r>
      <w:r w:rsidR="00AA71F9">
        <w:rPr>
          <w:rFonts w:ascii="David" w:hAnsi="David" w:hint="cs"/>
          <w:sz w:val="28"/>
          <w:rtl/>
        </w:rPr>
        <w:t xml:space="preserve">; ע/36,37/24 </w:t>
      </w:r>
      <w:r w:rsidR="00AA71F9">
        <w:rPr>
          <w:rFonts w:ascii="David" w:hAnsi="David" w:hint="cs"/>
          <w:b/>
          <w:bCs/>
          <w:sz w:val="28"/>
          <w:rtl/>
        </w:rPr>
        <w:t xml:space="preserve">סרן אבו סויד </w:t>
      </w:r>
      <w:r w:rsidR="00AA71F9">
        <w:rPr>
          <w:rFonts w:ascii="David" w:hAnsi="David" w:hint="cs"/>
          <w:sz w:val="28"/>
          <w:rtl/>
        </w:rPr>
        <w:t>לעיל, פסקה 40</w:t>
      </w:r>
      <w:r w:rsidR="00143D80">
        <w:rPr>
          <w:rFonts w:ascii="David" w:hAnsi="David" w:hint="cs"/>
          <w:sz w:val="28"/>
          <w:rtl/>
        </w:rPr>
        <w:t>)</w:t>
      </w:r>
      <w:r w:rsidR="00535B47">
        <w:rPr>
          <w:rFonts w:ascii="David" w:hAnsi="David" w:hint="cs"/>
          <w:sz w:val="28"/>
          <w:rtl/>
        </w:rPr>
        <w:t xml:space="preserve">. </w:t>
      </w:r>
    </w:p>
    <w:p w14:paraId="5D6CB3C6" w14:textId="77777777" w:rsidR="00A93B87" w:rsidRPr="00436D11" w:rsidRDefault="00F62E1D" w:rsidP="002C0946">
      <w:pPr>
        <w:pStyle w:val="ListParagraph"/>
        <w:widowControl w:val="0"/>
        <w:numPr>
          <w:ilvl w:val="0"/>
          <w:numId w:val="1"/>
        </w:numPr>
        <w:contextualSpacing/>
        <w:rPr>
          <w:rFonts w:ascii="David" w:hAnsi="David"/>
          <w:color w:val="000000"/>
          <w:sz w:val="28"/>
        </w:rPr>
      </w:pPr>
      <w:r w:rsidRPr="00436D11">
        <w:rPr>
          <w:rFonts w:ascii="David" w:hAnsi="David" w:hint="cs"/>
          <w:sz w:val="28"/>
          <w:rtl/>
        </w:rPr>
        <w:t xml:space="preserve">בחנו את טענות ההגנה כנגד עדויות </w:t>
      </w:r>
      <w:r w:rsidR="00E34EF9">
        <w:rPr>
          <w:rFonts w:ascii="David" w:hAnsi="David" w:hint="cs"/>
          <w:sz w:val="28"/>
          <w:rtl/>
        </w:rPr>
        <w:t>הגורמים שלהם סיפרה את שהתרחש</w:t>
      </w:r>
      <w:r w:rsidRPr="00436D11">
        <w:rPr>
          <w:rFonts w:ascii="David" w:hAnsi="David" w:hint="cs"/>
          <w:sz w:val="28"/>
          <w:rtl/>
        </w:rPr>
        <w:t xml:space="preserve">, ולא מצאנו </w:t>
      </w:r>
      <w:r w:rsidRPr="00436D11">
        <w:rPr>
          <w:rFonts w:ascii="David" w:hAnsi="David" w:hint="cs"/>
          <w:sz w:val="28"/>
          <w:rtl/>
        </w:rPr>
        <w:lastRenderedPageBreak/>
        <w:t xml:space="preserve">בהן ממש. </w:t>
      </w:r>
      <w:r w:rsidR="00A93B87" w:rsidRPr="00436D11">
        <w:rPr>
          <w:rFonts w:ascii="David" w:hAnsi="David" w:hint="cs"/>
          <w:sz w:val="28"/>
          <w:rtl/>
        </w:rPr>
        <w:t xml:space="preserve">כידוע </w:t>
      </w:r>
      <w:r w:rsidR="00A93B87" w:rsidRPr="00436D11">
        <w:rPr>
          <w:rFonts w:ascii="David" w:hAnsi="David"/>
          <w:sz w:val="28"/>
          <w:rtl/>
        </w:rPr>
        <w:t xml:space="preserve">"אין לצפות מנפגעת עבירת מין המצויה במצב נפשי קשה והבוחרת לשתף מי מחבריה בחוויה הטראומטית שעברה או תרצה בהכרח לפרוש ביניהם סיפור מלא ומפורט לפרטי פרטים של אותו האירוע..." (ע"פ 3677/21 </w:t>
      </w:r>
      <w:r w:rsidR="00A93B87" w:rsidRPr="00436D11">
        <w:rPr>
          <w:rFonts w:ascii="David" w:hAnsi="David"/>
          <w:b/>
          <w:bCs/>
          <w:sz w:val="28"/>
          <w:rtl/>
        </w:rPr>
        <w:t xml:space="preserve">מדינת ישראל נ' </w:t>
      </w:r>
      <w:proofErr w:type="spellStart"/>
      <w:r w:rsidR="00A93B87" w:rsidRPr="00436D11">
        <w:rPr>
          <w:rFonts w:ascii="David" w:hAnsi="David"/>
          <w:b/>
          <w:bCs/>
          <w:sz w:val="28"/>
          <w:rtl/>
        </w:rPr>
        <w:t>שללאשווילי</w:t>
      </w:r>
      <w:proofErr w:type="spellEnd"/>
      <w:r w:rsidR="00A93B87" w:rsidRPr="00436D11">
        <w:rPr>
          <w:rFonts w:ascii="David" w:hAnsi="David"/>
          <w:sz w:val="28"/>
          <w:rtl/>
        </w:rPr>
        <w:t>, פסקה 13 (13.2.2022)); ו</w:t>
      </w:r>
      <w:r w:rsidR="00A93B87" w:rsidRPr="00436D11">
        <w:rPr>
          <w:rFonts w:ascii="David" w:hAnsi="David" w:hint="cs"/>
          <w:sz w:val="28"/>
          <w:rtl/>
        </w:rPr>
        <w:t>נפסק כי</w:t>
      </w:r>
      <w:r w:rsidR="00A93B87" w:rsidRPr="00436D11">
        <w:rPr>
          <w:rFonts w:ascii="David" w:hAnsi="David"/>
          <w:sz w:val="28"/>
          <w:rtl/>
        </w:rPr>
        <w:t xml:space="preserve"> הימנעות מהזכרת פרטים מסוימים או סתירות בכל הנוגע למהלך האירוע, </w:t>
      </w:r>
      <w:r w:rsidR="0067249F" w:rsidRPr="00436D11">
        <w:rPr>
          <w:rFonts w:ascii="David" w:hAnsi="David"/>
          <w:sz w:val="28"/>
          <w:rtl/>
        </w:rPr>
        <w:t>אינ</w:t>
      </w:r>
      <w:r w:rsidR="0067249F">
        <w:rPr>
          <w:rFonts w:ascii="David" w:hAnsi="David" w:hint="cs"/>
          <w:sz w:val="28"/>
          <w:rtl/>
        </w:rPr>
        <w:t>ה</w:t>
      </w:r>
      <w:r w:rsidR="0067249F" w:rsidRPr="00436D11">
        <w:rPr>
          <w:rFonts w:ascii="David" w:hAnsi="David"/>
          <w:sz w:val="28"/>
          <w:rtl/>
        </w:rPr>
        <w:t xml:space="preserve"> </w:t>
      </w:r>
      <w:r w:rsidR="00A93B87" w:rsidRPr="00436D11">
        <w:rPr>
          <w:rFonts w:ascii="David" w:hAnsi="David"/>
          <w:sz w:val="28"/>
          <w:rtl/>
        </w:rPr>
        <w:t xml:space="preserve">פוגמת ב"גרעין הקשה" של העדות (ע"פ 8444/15 </w:t>
      </w:r>
      <w:r w:rsidR="00A93B87" w:rsidRPr="00436D11">
        <w:rPr>
          <w:rFonts w:ascii="David" w:hAnsi="David"/>
          <w:b/>
          <w:bCs/>
          <w:sz w:val="28"/>
          <w:rtl/>
        </w:rPr>
        <w:t>פלוני נ' מדינת ישראל</w:t>
      </w:r>
      <w:r w:rsidR="00A93B87" w:rsidRPr="00436D11">
        <w:rPr>
          <w:rFonts w:ascii="David" w:hAnsi="David"/>
          <w:sz w:val="28"/>
          <w:rtl/>
        </w:rPr>
        <w:t xml:space="preserve">, פסקה 14 (27.10.2016); עניין </w:t>
      </w:r>
      <w:proofErr w:type="spellStart"/>
      <w:r w:rsidR="00A93B87" w:rsidRPr="00436D11">
        <w:rPr>
          <w:rFonts w:ascii="David" w:hAnsi="David"/>
          <w:b/>
          <w:bCs/>
          <w:sz w:val="28"/>
          <w:rtl/>
        </w:rPr>
        <w:t>קלימי</w:t>
      </w:r>
      <w:proofErr w:type="spellEnd"/>
      <w:r w:rsidR="00A93B87" w:rsidRPr="00436D11">
        <w:rPr>
          <w:rFonts w:ascii="David" w:hAnsi="David"/>
          <w:b/>
          <w:bCs/>
          <w:sz w:val="28"/>
          <w:rtl/>
        </w:rPr>
        <w:t xml:space="preserve"> </w:t>
      </w:r>
      <w:r w:rsidR="00A93B87" w:rsidRPr="00436D11">
        <w:rPr>
          <w:rFonts w:ascii="David" w:hAnsi="David"/>
          <w:sz w:val="28"/>
          <w:rtl/>
        </w:rPr>
        <w:t xml:space="preserve">לעיל, פסקה 55; עניין </w:t>
      </w:r>
      <w:r w:rsidR="00A93B87" w:rsidRPr="00436D11">
        <w:rPr>
          <w:rFonts w:ascii="David" w:hAnsi="David"/>
          <w:b/>
          <w:bCs/>
          <w:sz w:val="28"/>
          <w:rtl/>
        </w:rPr>
        <w:t xml:space="preserve">יגר </w:t>
      </w:r>
      <w:r w:rsidR="00A93B87" w:rsidRPr="00436D11">
        <w:rPr>
          <w:rFonts w:ascii="David" w:hAnsi="David"/>
          <w:sz w:val="28"/>
          <w:rtl/>
        </w:rPr>
        <w:t xml:space="preserve">לעיל, פסקה 107). </w:t>
      </w:r>
      <w:r w:rsidR="00AD7481" w:rsidRPr="00436D11">
        <w:rPr>
          <w:rFonts w:ascii="David" w:hAnsi="David" w:hint="cs"/>
          <w:sz w:val="28"/>
          <w:rtl/>
        </w:rPr>
        <w:t xml:space="preserve">אין צורך לומר, כי </w:t>
      </w:r>
      <w:r w:rsidR="0067249F">
        <w:rPr>
          <w:rFonts w:ascii="David" w:hAnsi="David" w:hint="cs"/>
          <w:sz w:val="28"/>
          <w:rtl/>
        </w:rPr>
        <w:t xml:space="preserve">השיחות עם </w:t>
      </w:r>
      <w:r w:rsidR="00AD7481" w:rsidRPr="00436D11">
        <w:rPr>
          <w:rFonts w:ascii="David" w:hAnsi="David" w:hint="cs"/>
          <w:sz w:val="28"/>
          <w:rtl/>
        </w:rPr>
        <w:t>חברותיה אינ</w:t>
      </w:r>
      <w:r w:rsidR="0067249F">
        <w:rPr>
          <w:rFonts w:ascii="David" w:hAnsi="David" w:hint="cs"/>
          <w:sz w:val="28"/>
          <w:rtl/>
        </w:rPr>
        <w:t>ן</w:t>
      </w:r>
      <w:r w:rsidR="00AD7481" w:rsidRPr="00436D11">
        <w:rPr>
          <w:rFonts w:ascii="David" w:hAnsi="David" w:hint="cs"/>
          <w:sz w:val="28"/>
          <w:rtl/>
        </w:rPr>
        <w:t xml:space="preserve"> מתאפיי</w:t>
      </w:r>
      <w:r w:rsidR="0067249F">
        <w:rPr>
          <w:rFonts w:ascii="David" w:hAnsi="David" w:hint="cs"/>
          <w:sz w:val="28"/>
          <w:rtl/>
        </w:rPr>
        <w:t>נות</w:t>
      </w:r>
      <w:r w:rsidR="00AD7481" w:rsidRPr="00436D11">
        <w:rPr>
          <w:rFonts w:ascii="David" w:hAnsi="David" w:hint="cs"/>
          <w:sz w:val="28"/>
          <w:rtl/>
        </w:rPr>
        <w:t xml:space="preserve"> באותה </w:t>
      </w:r>
      <w:r w:rsidR="00BE23A3" w:rsidRPr="00436D11">
        <w:rPr>
          <w:rFonts w:ascii="David" w:hAnsi="David" w:hint="cs"/>
          <w:sz w:val="28"/>
          <w:rtl/>
        </w:rPr>
        <w:t xml:space="preserve">דקדקנות המאפיינת מסירת עדות במצ"ח, ואין לצפות אף כי </w:t>
      </w:r>
      <w:r w:rsidR="0067249F">
        <w:rPr>
          <w:rFonts w:ascii="David" w:hAnsi="David" w:hint="cs"/>
          <w:sz w:val="28"/>
          <w:rtl/>
        </w:rPr>
        <w:t xml:space="preserve">הללו </w:t>
      </w:r>
      <w:r w:rsidR="00BE23A3" w:rsidRPr="00436D11">
        <w:rPr>
          <w:rFonts w:ascii="David" w:hAnsi="David" w:hint="cs"/>
          <w:sz w:val="28"/>
          <w:rtl/>
        </w:rPr>
        <w:t xml:space="preserve">יזכרו </w:t>
      </w:r>
      <w:r w:rsidR="0067249F">
        <w:rPr>
          <w:rFonts w:ascii="David" w:hAnsi="David" w:hint="cs"/>
          <w:sz w:val="28"/>
          <w:rtl/>
        </w:rPr>
        <w:t>ב</w:t>
      </w:r>
      <w:r w:rsidR="00AD7481" w:rsidRPr="00436D11">
        <w:rPr>
          <w:rFonts w:ascii="David" w:hAnsi="David" w:hint="cs"/>
          <w:sz w:val="28"/>
          <w:rtl/>
        </w:rPr>
        <w:t xml:space="preserve">מדויק </w:t>
      </w:r>
      <w:r w:rsidR="00BE23A3" w:rsidRPr="00436D11">
        <w:rPr>
          <w:rFonts w:ascii="David" w:hAnsi="David" w:hint="cs"/>
          <w:sz w:val="28"/>
          <w:rtl/>
        </w:rPr>
        <w:t>את כלל הפרטים ששמעו מנפגעת העבירה</w:t>
      </w:r>
      <w:r w:rsidR="00AD7481" w:rsidRPr="00436D11">
        <w:rPr>
          <w:rFonts w:ascii="David" w:hAnsi="David" w:hint="cs"/>
          <w:sz w:val="28"/>
          <w:rtl/>
        </w:rPr>
        <w:t xml:space="preserve">. עם זאת, </w:t>
      </w:r>
      <w:r w:rsidR="00734EC1" w:rsidRPr="00436D11">
        <w:rPr>
          <w:rFonts w:ascii="David" w:hAnsi="David" w:hint="cs"/>
          <w:sz w:val="28"/>
          <w:rtl/>
        </w:rPr>
        <w:t>עיון בעדותן</w:t>
      </w:r>
      <w:r w:rsidR="0067249F">
        <w:rPr>
          <w:rFonts w:ascii="David" w:hAnsi="David" w:hint="cs"/>
          <w:sz w:val="28"/>
          <w:rtl/>
        </w:rPr>
        <w:t>, שבה תיארו את מצבה הנפשי של הנפגעת,</w:t>
      </w:r>
      <w:r w:rsidR="00734EC1" w:rsidRPr="00436D11">
        <w:rPr>
          <w:rFonts w:ascii="David" w:hAnsi="David" w:hint="cs"/>
          <w:sz w:val="28"/>
          <w:rtl/>
        </w:rPr>
        <w:t xml:space="preserve"> מלמד שהפרטים המרכזיים שנמסרו על ידי נפגעת העבירה </w:t>
      </w:r>
      <w:r w:rsidR="00AC2AB1">
        <w:rPr>
          <w:rFonts w:ascii="David" w:hAnsi="David" w:hint="cs"/>
          <w:sz w:val="28"/>
          <w:rtl/>
        </w:rPr>
        <w:t xml:space="preserve">בעדותה </w:t>
      </w:r>
      <w:r w:rsidR="00CA73D9" w:rsidRPr="00436D11">
        <w:rPr>
          <w:rFonts w:ascii="David" w:hAnsi="David" w:hint="cs"/>
          <w:sz w:val="28"/>
          <w:rtl/>
        </w:rPr>
        <w:t>מופיעים גם בדברים שסיפרה להן</w:t>
      </w:r>
      <w:r w:rsidR="00D26BD3" w:rsidRPr="00436D11">
        <w:rPr>
          <w:rFonts w:ascii="David" w:hAnsi="David" w:hint="cs"/>
          <w:sz w:val="28"/>
          <w:rtl/>
        </w:rPr>
        <w:t xml:space="preserve">. כך </w:t>
      </w:r>
      <w:r w:rsidR="00AC2AB1">
        <w:rPr>
          <w:rFonts w:ascii="David" w:hAnsi="David" w:hint="cs"/>
          <w:sz w:val="28"/>
          <w:rtl/>
        </w:rPr>
        <w:t xml:space="preserve">למשל </w:t>
      </w:r>
      <w:r w:rsidR="00D26BD3" w:rsidRPr="00436D11">
        <w:rPr>
          <w:rFonts w:ascii="David" w:hAnsi="David" w:hint="cs"/>
          <w:sz w:val="28"/>
          <w:rtl/>
        </w:rPr>
        <w:t>סיפר</w:t>
      </w:r>
      <w:r w:rsidR="00205CB5">
        <w:rPr>
          <w:rFonts w:ascii="David" w:hAnsi="David" w:hint="cs"/>
          <w:sz w:val="28"/>
          <w:rtl/>
        </w:rPr>
        <w:t xml:space="preserve">ו סמ"ר עדי וסרן ירדן כיצד התקשרה אליהן המערערת בבכי וכן תיארו התקפי חרדה שחוותה </w:t>
      </w:r>
      <w:r w:rsidR="00F0199D">
        <w:rPr>
          <w:rFonts w:ascii="David" w:hAnsi="David" w:hint="cs"/>
          <w:sz w:val="28"/>
          <w:rtl/>
        </w:rPr>
        <w:t xml:space="preserve">לאחר מכן. </w:t>
      </w:r>
      <w:r w:rsidR="00EA776E">
        <w:rPr>
          <w:rFonts w:ascii="David" w:hAnsi="David" w:hint="cs"/>
          <w:sz w:val="28"/>
          <w:rtl/>
        </w:rPr>
        <w:t>ח</w:t>
      </w:r>
      <w:r w:rsidR="0011763E" w:rsidRPr="00436D11">
        <w:rPr>
          <w:rFonts w:ascii="David" w:hAnsi="David" w:hint="cs"/>
          <w:sz w:val="28"/>
          <w:rtl/>
        </w:rPr>
        <w:t xml:space="preserve">ברתה של נפגעת העבירה שוהם, </w:t>
      </w:r>
      <w:r w:rsidR="00EA776E">
        <w:rPr>
          <w:rFonts w:ascii="David" w:hAnsi="David" w:hint="cs"/>
          <w:sz w:val="28"/>
          <w:rtl/>
        </w:rPr>
        <w:t>ש</w:t>
      </w:r>
      <w:r w:rsidR="0011763E" w:rsidRPr="00436D11">
        <w:rPr>
          <w:rFonts w:ascii="David" w:hAnsi="David" w:hint="cs"/>
          <w:sz w:val="28"/>
          <w:rtl/>
        </w:rPr>
        <w:t xml:space="preserve">קיבלה ממנה את המסרונים </w:t>
      </w:r>
      <w:r w:rsidR="00EA776E">
        <w:rPr>
          <w:rFonts w:ascii="David" w:hAnsi="David" w:hint="cs"/>
          <w:sz w:val="28"/>
          <w:rtl/>
        </w:rPr>
        <w:t>"</w:t>
      </w:r>
      <w:r w:rsidR="0011763E" w:rsidRPr="00436D11">
        <w:rPr>
          <w:rFonts w:ascii="David" w:hAnsi="David" w:hint="cs"/>
          <w:sz w:val="28"/>
          <w:rtl/>
        </w:rPr>
        <w:t>בזמן אמת</w:t>
      </w:r>
      <w:r w:rsidR="00EA776E">
        <w:rPr>
          <w:rFonts w:ascii="David" w:hAnsi="David" w:hint="cs"/>
          <w:sz w:val="28"/>
          <w:rtl/>
        </w:rPr>
        <w:t>"</w:t>
      </w:r>
      <w:r w:rsidR="0011763E" w:rsidRPr="00436D11">
        <w:rPr>
          <w:rFonts w:ascii="David" w:hAnsi="David" w:hint="cs"/>
          <w:sz w:val="28"/>
          <w:rtl/>
        </w:rPr>
        <w:t xml:space="preserve"> הייתה עדה לכך שנפגעת העבירה חזרה למגורים </w:t>
      </w:r>
      <w:r w:rsidR="000A6E83" w:rsidRPr="00436D11">
        <w:rPr>
          <w:rFonts w:ascii="David" w:hAnsi="David" w:hint="cs"/>
          <w:sz w:val="28"/>
          <w:rtl/>
        </w:rPr>
        <w:t xml:space="preserve">כשהיא נסערת, בוכה ורועדת; </w:t>
      </w:r>
      <w:r w:rsidR="003B1116" w:rsidRPr="00436D11">
        <w:rPr>
          <w:rFonts w:ascii="David" w:hAnsi="David" w:hint="cs"/>
          <w:sz w:val="28"/>
          <w:rtl/>
        </w:rPr>
        <w:t>לסרן הילה, מפקדתה, שלחה נפגעת העבירה</w:t>
      </w:r>
      <w:r w:rsidR="00AA71F9">
        <w:rPr>
          <w:rFonts w:ascii="David" w:hAnsi="David" w:hint="cs"/>
          <w:sz w:val="28"/>
          <w:rtl/>
        </w:rPr>
        <w:t>, בסמוך לאחר האירוע השני,</w:t>
      </w:r>
      <w:r w:rsidR="003B1116" w:rsidRPr="00436D11">
        <w:rPr>
          <w:rFonts w:ascii="David" w:hAnsi="David" w:hint="cs"/>
          <w:sz w:val="28"/>
          <w:rtl/>
        </w:rPr>
        <w:t xml:space="preserve"> מסרונים המפרטים את </w:t>
      </w:r>
      <w:r w:rsidR="00D3172F" w:rsidRPr="00436D11">
        <w:rPr>
          <w:rFonts w:ascii="David" w:hAnsi="David" w:hint="cs"/>
          <w:sz w:val="28"/>
          <w:rtl/>
        </w:rPr>
        <w:t xml:space="preserve">ההתרחשות </w:t>
      </w:r>
      <w:r w:rsidR="00AA71F9">
        <w:rPr>
          <w:rFonts w:ascii="David" w:hAnsi="David" w:hint="cs"/>
          <w:sz w:val="28"/>
          <w:rtl/>
        </w:rPr>
        <w:t>בו</w:t>
      </w:r>
      <w:r w:rsidR="00EA776E">
        <w:rPr>
          <w:rFonts w:ascii="David" w:hAnsi="David" w:hint="cs"/>
          <w:sz w:val="28"/>
          <w:rtl/>
        </w:rPr>
        <w:t xml:space="preserve"> בדומה לתיאור שנמסר על ידה בעדותה</w:t>
      </w:r>
      <w:r w:rsidR="00D3172F" w:rsidRPr="00436D11">
        <w:rPr>
          <w:rFonts w:ascii="David" w:hAnsi="David" w:hint="cs"/>
          <w:sz w:val="28"/>
          <w:rtl/>
        </w:rPr>
        <w:t xml:space="preserve">; </w:t>
      </w:r>
      <w:r w:rsidR="007D33CF" w:rsidRPr="00436D11">
        <w:rPr>
          <w:rFonts w:ascii="David" w:hAnsi="David" w:hint="cs"/>
          <w:sz w:val="28"/>
          <w:rtl/>
        </w:rPr>
        <w:t>בכל אלה יש</w:t>
      </w:r>
      <w:r w:rsidR="00CA73D9" w:rsidRPr="00436D11">
        <w:rPr>
          <w:rFonts w:ascii="David" w:hAnsi="David" w:hint="cs"/>
          <w:sz w:val="28"/>
          <w:rtl/>
        </w:rPr>
        <w:t>, כאמור,</w:t>
      </w:r>
      <w:r w:rsidR="007D33CF" w:rsidRPr="00436D11">
        <w:rPr>
          <w:rFonts w:ascii="David" w:hAnsi="David" w:hint="cs"/>
          <w:sz w:val="28"/>
          <w:rtl/>
        </w:rPr>
        <w:t xml:space="preserve"> כדי להוסיף ולחזק את עדותה של נפגעת העבירה. </w:t>
      </w:r>
    </w:p>
    <w:p w14:paraId="2E39916A" w14:textId="77777777" w:rsidR="00AF1156" w:rsidRPr="006C0C5D" w:rsidRDefault="00433D92" w:rsidP="002C0946">
      <w:pPr>
        <w:pStyle w:val="ListParagraph"/>
        <w:numPr>
          <w:ilvl w:val="0"/>
          <w:numId w:val="1"/>
        </w:numPr>
        <w:rPr>
          <w:rFonts w:ascii="David" w:hAnsi="David"/>
          <w:sz w:val="28"/>
        </w:rPr>
      </w:pPr>
      <w:r>
        <w:rPr>
          <w:rFonts w:ascii="David" w:hAnsi="David" w:hint="cs"/>
          <w:sz w:val="28"/>
          <w:rtl/>
        </w:rPr>
        <w:t xml:space="preserve">עוד </w:t>
      </w:r>
      <w:r w:rsidR="00AF1156">
        <w:rPr>
          <w:rFonts w:ascii="David" w:hAnsi="David" w:hint="cs"/>
          <w:sz w:val="28"/>
          <w:rtl/>
        </w:rPr>
        <w:t xml:space="preserve">בחנו את עדותו של רס"ל ליעד, אשר העיד על עצמו כי הוא </w:t>
      </w:r>
      <w:r w:rsidR="00AF1156" w:rsidRPr="006C0C5D">
        <w:rPr>
          <w:rFonts w:ascii="David" w:hAnsi="David" w:hint="cs"/>
          <w:sz w:val="28"/>
          <w:rtl/>
        </w:rPr>
        <w:t>חברו של המערער</w:t>
      </w:r>
      <w:r w:rsidR="0067249F">
        <w:rPr>
          <w:rFonts w:ascii="David" w:hAnsi="David" w:hint="cs"/>
          <w:sz w:val="28"/>
          <w:rtl/>
        </w:rPr>
        <w:t>.</w:t>
      </w:r>
      <w:r w:rsidR="00AF1156" w:rsidRPr="006C0C5D">
        <w:rPr>
          <w:rFonts w:ascii="David" w:hAnsi="David" w:hint="cs"/>
          <w:sz w:val="28"/>
          <w:rtl/>
        </w:rPr>
        <w:t xml:space="preserve"> </w:t>
      </w:r>
      <w:r w:rsidR="0067249F">
        <w:rPr>
          <w:rFonts w:ascii="David" w:hAnsi="David" w:hint="cs"/>
          <w:sz w:val="28"/>
          <w:rtl/>
        </w:rPr>
        <w:t xml:space="preserve">בראי האמור, </w:t>
      </w:r>
      <w:r w:rsidR="00AF1156">
        <w:rPr>
          <w:rFonts w:ascii="David" w:hAnsi="David" w:hint="cs"/>
          <w:sz w:val="28"/>
          <w:rtl/>
        </w:rPr>
        <w:t xml:space="preserve">מצאנו טעם </w:t>
      </w:r>
      <w:r w:rsidR="0067249F">
        <w:rPr>
          <w:rFonts w:ascii="David" w:hAnsi="David" w:hint="cs"/>
          <w:sz w:val="28"/>
          <w:rtl/>
        </w:rPr>
        <w:t xml:space="preserve">בקביעתו של </w:t>
      </w:r>
      <w:r w:rsidR="00AF1156">
        <w:rPr>
          <w:rFonts w:ascii="David" w:hAnsi="David" w:hint="cs"/>
          <w:sz w:val="28"/>
          <w:rtl/>
        </w:rPr>
        <w:t xml:space="preserve">בית הדין </w:t>
      </w:r>
      <w:r w:rsidR="0067249F">
        <w:rPr>
          <w:rFonts w:ascii="David" w:hAnsi="David" w:hint="cs"/>
          <w:sz w:val="28"/>
          <w:rtl/>
        </w:rPr>
        <w:t xml:space="preserve">שלא </w:t>
      </w:r>
      <w:r w:rsidR="00AF1156">
        <w:rPr>
          <w:rFonts w:ascii="David" w:hAnsi="David" w:hint="cs"/>
          <w:sz w:val="28"/>
          <w:rtl/>
        </w:rPr>
        <w:t xml:space="preserve">לקבוע ממצאים על סמך עדותו. </w:t>
      </w:r>
      <w:r w:rsidR="00AF1156" w:rsidRPr="006C0C5D">
        <w:rPr>
          <w:rFonts w:ascii="David" w:hAnsi="David" w:hint="cs"/>
          <w:sz w:val="28"/>
          <w:rtl/>
        </w:rPr>
        <w:t>ניכר</w:t>
      </w:r>
      <w:r w:rsidR="0067249F">
        <w:rPr>
          <w:rFonts w:ascii="David" w:hAnsi="David" w:hint="cs"/>
          <w:sz w:val="28"/>
          <w:rtl/>
        </w:rPr>
        <w:t>,</w:t>
      </w:r>
      <w:r w:rsidR="00AF1156" w:rsidRPr="006C0C5D">
        <w:rPr>
          <w:rFonts w:ascii="David" w:hAnsi="David" w:hint="cs"/>
          <w:sz w:val="28"/>
          <w:rtl/>
        </w:rPr>
        <w:t xml:space="preserve"> הן מעדותו </w:t>
      </w:r>
      <w:r w:rsidR="00AF1156">
        <w:rPr>
          <w:rFonts w:ascii="David" w:hAnsi="David" w:hint="cs"/>
          <w:sz w:val="28"/>
          <w:rtl/>
        </w:rPr>
        <w:t xml:space="preserve">של רס"ל ליעד </w:t>
      </w:r>
      <w:r w:rsidR="00AF1156" w:rsidRPr="006C0C5D">
        <w:rPr>
          <w:rFonts w:ascii="David" w:hAnsi="David" w:hint="cs"/>
          <w:sz w:val="28"/>
          <w:rtl/>
        </w:rPr>
        <w:t xml:space="preserve">במצ"ח והן </w:t>
      </w:r>
      <w:r w:rsidR="0067249F">
        <w:rPr>
          <w:rFonts w:ascii="David" w:hAnsi="David" w:hint="cs"/>
          <w:sz w:val="28"/>
          <w:rtl/>
        </w:rPr>
        <w:t>ב</w:t>
      </w:r>
      <w:r w:rsidR="00AF1156" w:rsidRPr="006C0C5D">
        <w:rPr>
          <w:rFonts w:ascii="David" w:hAnsi="David" w:hint="cs"/>
          <w:sz w:val="28"/>
          <w:rtl/>
        </w:rPr>
        <w:t>עדותו בבית הדין</w:t>
      </w:r>
      <w:r w:rsidR="0067249F">
        <w:rPr>
          <w:rFonts w:ascii="David" w:hAnsi="David" w:hint="cs"/>
          <w:sz w:val="28"/>
          <w:rtl/>
        </w:rPr>
        <w:t>,</w:t>
      </w:r>
      <w:r w:rsidR="00AF1156" w:rsidRPr="006C0C5D">
        <w:rPr>
          <w:rFonts w:ascii="David" w:hAnsi="David" w:hint="cs"/>
          <w:sz w:val="28"/>
          <w:rtl/>
        </w:rPr>
        <w:t xml:space="preserve"> כי הוא חש שלא בנוח למסור עדות - על כל המשתמע מכך באשר לאופן שבו ניתן לשקול את דבריו</w:t>
      </w:r>
      <w:r w:rsidR="0067249F">
        <w:rPr>
          <w:rFonts w:ascii="David" w:hAnsi="David" w:hint="cs"/>
          <w:sz w:val="28"/>
          <w:rtl/>
        </w:rPr>
        <w:t xml:space="preserve">. מכל מקום, </w:t>
      </w:r>
      <w:r w:rsidR="00AF1156" w:rsidRPr="006C0C5D">
        <w:rPr>
          <w:rFonts w:ascii="David" w:hAnsi="David" w:hint="cs"/>
          <w:sz w:val="28"/>
          <w:rtl/>
        </w:rPr>
        <w:t xml:space="preserve">אין בעדותו כדי לסתור </w:t>
      </w:r>
      <w:r w:rsidR="0067249F">
        <w:rPr>
          <w:rFonts w:ascii="David" w:hAnsi="David" w:hint="cs"/>
          <w:sz w:val="28"/>
          <w:rtl/>
        </w:rPr>
        <w:t xml:space="preserve">חזיתית </w:t>
      </w:r>
      <w:r w:rsidR="00AF1156" w:rsidRPr="006C0C5D">
        <w:rPr>
          <w:rFonts w:ascii="David" w:hAnsi="David" w:hint="cs"/>
          <w:sz w:val="28"/>
          <w:rtl/>
        </w:rPr>
        <w:t>את עדות</w:t>
      </w:r>
      <w:r w:rsidR="0067249F">
        <w:rPr>
          <w:rFonts w:ascii="David" w:hAnsi="David" w:hint="cs"/>
          <w:sz w:val="28"/>
          <w:rtl/>
        </w:rPr>
        <w:t>ה</w:t>
      </w:r>
      <w:r w:rsidR="00AF1156" w:rsidRPr="006C0C5D">
        <w:rPr>
          <w:rFonts w:ascii="David" w:hAnsi="David" w:hint="cs"/>
          <w:sz w:val="28"/>
          <w:rtl/>
        </w:rPr>
        <w:t xml:space="preserve"> </w:t>
      </w:r>
      <w:r w:rsidR="0067249F">
        <w:rPr>
          <w:rFonts w:ascii="David" w:hAnsi="David" w:hint="cs"/>
          <w:sz w:val="28"/>
          <w:rtl/>
        </w:rPr>
        <w:t xml:space="preserve">של </w:t>
      </w:r>
      <w:r w:rsidR="00AF1156" w:rsidRPr="006C0C5D">
        <w:rPr>
          <w:rFonts w:ascii="David" w:hAnsi="David" w:hint="cs"/>
          <w:sz w:val="28"/>
          <w:rtl/>
        </w:rPr>
        <w:t xml:space="preserve">נפגעת העבירה. </w:t>
      </w:r>
      <w:r w:rsidR="0067249F">
        <w:rPr>
          <w:rFonts w:ascii="David" w:hAnsi="David" w:hint="cs"/>
          <w:sz w:val="28"/>
          <w:rtl/>
        </w:rPr>
        <w:t xml:space="preserve">כך, </w:t>
      </w:r>
      <w:r w:rsidR="00AF1156" w:rsidRPr="006C0C5D">
        <w:rPr>
          <w:rFonts w:ascii="David" w:hAnsi="David" w:hint="cs"/>
          <w:sz w:val="28"/>
          <w:rtl/>
        </w:rPr>
        <w:t>באשר לאירוע הראשון, העיד רס"ל ליעד כי היה עייף, ולא היה מרוכז במתרחש</w:t>
      </w:r>
      <w:r w:rsidR="00AF1156">
        <w:rPr>
          <w:rFonts w:ascii="David" w:hAnsi="David" w:hint="cs"/>
          <w:sz w:val="28"/>
          <w:rtl/>
        </w:rPr>
        <w:t xml:space="preserve"> במהלך הנסיעה</w:t>
      </w:r>
      <w:r w:rsidR="00AF1156" w:rsidRPr="006C0C5D">
        <w:rPr>
          <w:rFonts w:ascii="David" w:hAnsi="David" w:hint="cs"/>
          <w:sz w:val="28"/>
          <w:rtl/>
        </w:rPr>
        <w:t>, וכזכור עסקינן באירוע שארך שניות בודדות. אשר לאירוע השני</w:t>
      </w:r>
      <w:r w:rsidR="0067249F">
        <w:rPr>
          <w:rFonts w:ascii="David" w:hAnsi="David" w:hint="cs"/>
          <w:sz w:val="28"/>
          <w:rtl/>
        </w:rPr>
        <w:t>,</w:t>
      </w:r>
      <w:r w:rsidR="00AF1156" w:rsidRPr="006C0C5D">
        <w:rPr>
          <w:rFonts w:ascii="David" w:hAnsi="David" w:hint="cs"/>
          <w:sz w:val="28"/>
          <w:rtl/>
        </w:rPr>
        <w:t xml:space="preserve"> שינה רס"ל ליעד במהלך </w:t>
      </w:r>
      <w:r w:rsidR="0067249F">
        <w:rPr>
          <w:rFonts w:ascii="David" w:hAnsi="David" w:hint="cs"/>
          <w:sz w:val="28"/>
          <w:rtl/>
        </w:rPr>
        <w:t>ה</w:t>
      </w:r>
      <w:r w:rsidR="00AF1156" w:rsidRPr="006C0C5D">
        <w:rPr>
          <w:rFonts w:ascii="David" w:hAnsi="David" w:hint="cs"/>
          <w:sz w:val="28"/>
          <w:rtl/>
        </w:rPr>
        <w:t>עדות את גרס</w:t>
      </w:r>
      <w:r w:rsidR="00AF1156">
        <w:rPr>
          <w:rFonts w:ascii="David" w:hAnsi="David" w:hint="cs"/>
          <w:sz w:val="28"/>
          <w:rtl/>
        </w:rPr>
        <w:t>תו</w:t>
      </w:r>
      <w:r w:rsidR="00AF1156" w:rsidRPr="006C0C5D">
        <w:rPr>
          <w:rFonts w:ascii="David" w:hAnsi="David" w:hint="cs"/>
          <w:sz w:val="28"/>
          <w:rtl/>
        </w:rPr>
        <w:t xml:space="preserve"> האם </w:t>
      </w:r>
      <w:r w:rsidR="00AF1156">
        <w:rPr>
          <w:rFonts w:ascii="David" w:hAnsi="David" w:hint="cs"/>
          <w:sz w:val="28"/>
          <w:rtl/>
        </w:rPr>
        <w:t xml:space="preserve">ביום האירוע </w:t>
      </w:r>
      <w:r w:rsidR="00AF1156" w:rsidRPr="006C0C5D">
        <w:rPr>
          <w:rFonts w:ascii="David" w:hAnsi="David" w:hint="cs"/>
          <w:sz w:val="28"/>
          <w:rtl/>
        </w:rPr>
        <w:t>עסק בטיפול מתחת לרכב אם לאו</w:t>
      </w:r>
      <w:r w:rsidR="00AF1156">
        <w:rPr>
          <w:rFonts w:ascii="David" w:hAnsi="David" w:hint="cs"/>
          <w:sz w:val="28"/>
          <w:rtl/>
        </w:rPr>
        <w:t xml:space="preserve"> (באופן שהגביל את שדה הראייה שלו)</w:t>
      </w:r>
      <w:r w:rsidR="00AF1156" w:rsidRPr="006C0C5D">
        <w:rPr>
          <w:rFonts w:ascii="David" w:hAnsi="David" w:hint="cs"/>
          <w:sz w:val="28"/>
          <w:rtl/>
        </w:rPr>
        <w:t xml:space="preserve">, אולם אישר לא יכול היה לראות את המערער בכל </w:t>
      </w:r>
      <w:r w:rsidR="0067249F">
        <w:rPr>
          <w:rFonts w:ascii="David" w:hAnsi="David" w:hint="cs"/>
          <w:sz w:val="28"/>
          <w:rtl/>
        </w:rPr>
        <w:t xml:space="preserve">פרק </w:t>
      </w:r>
      <w:r w:rsidR="00AF1156" w:rsidRPr="006C0C5D">
        <w:rPr>
          <w:rFonts w:ascii="David" w:hAnsi="David" w:hint="cs"/>
          <w:sz w:val="28"/>
          <w:rtl/>
        </w:rPr>
        <w:t xml:space="preserve">הזמן שבו שהתה נפגעת העבירה במקום </w:t>
      </w:r>
      <w:r w:rsidR="00AF1156">
        <w:rPr>
          <w:rFonts w:ascii="David" w:hAnsi="David" w:hint="cs"/>
          <w:sz w:val="28"/>
          <w:rtl/>
        </w:rPr>
        <w:t>-</w:t>
      </w:r>
      <w:r w:rsidR="00AF1156" w:rsidRPr="006C0C5D">
        <w:rPr>
          <w:rFonts w:ascii="David" w:hAnsi="David" w:hint="cs"/>
          <w:sz w:val="28"/>
          <w:rtl/>
        </w:rPr>
        <w:t xml:space="preserve"> וכזכור אף אירוע זה היה קצר במשכו, ובחלקו השני התרחש במקום מעט מרוחק יותר ליד המכולות. בנסיבות אלה, אין בעדותו כדי להעלות או להוריד לעניין אמינות תלונתה של נפגעת העבירה, </w:t>
      </w:r>
      <w:r w:rsidR="00AF1156">
        <w:rPr>
          <w:rFonts w:ascii="David" w:hAnsi="David" w:hint="cs"/>
          <w:sz w:val="28"/>
          <w:rtl/>
        </w:rPr>
        <w:t>בהתאם ל</w:t>
      </w:r>
      <w:r w:rsidR="00AF1156" w:rsidRPr="006C0C5D">
        <w:rPr>
          <w:rFonts w:ascii="David" w:hAnsi="David"/>
          <w:sz w:val="28"/>
          <w:rtl/>
        </w:rPr>
        <w:t xml:space="preserve">כלל הידוע </w:t>
      </w:r>
      <w:r w:rsidR="0067249F">
        <w:rPr>
          <w:rFonts w:ascii="David" w:hAnsi="David" w:hint="cs"/>
          <w:sz w:val="28"/>
          <w:rtl/>
        </w:rPr>
        <w:t xml:space="preserve">שלפיו </w:t>
      </w:r>
      <w:r w:rsidR="00AF1156" w:rsidRPr="006C0C5D">
        <w:rPr>
          <w:rFonts w:ascii="David" w:hAnsi="David"/>
          <w:sz w:val="28"/>
          <w:rtl/>
        </w:rPr>
        <w:t xml:space="preserve">"לא ראינו אינה ראיה" (ע/95/04 </w:t>
      </w:r>
      <w:r w:rsidR="00AF1156" w:rsidRPr="006C0C5D">
        <w:rPr>
          <w:rFonts w:ascii="David" w:hAnsi="David"/>
          <w:b/>
          <w:bCs/>
          <w:sz w:val="28"/>
          <w:rtl/>
        </w:rPr>
        <w:t xml:space="preserve">טור' </w:t>
      </w:r>
      <w:proofErr w:type="spellStart"/>
      <w:r w:rsidR="00AF1156" w:rsidRPr="006C0C5D">
        <w:rPr>
          <w:rFonts w:ascii="David" w:hAnsi="David"/>
          <w:b/>
          <w:bCs/>
          <w:sz w:val="28"/>
          <w:rtl/>
        </w:rPr>
        <w:t>יודוב</w:t>
      </w:r>
      <w:proofErr w:type="spellEnd"/>
      <w:r w:rsidR="00AF1156" w:rsidRPr="006C0C5D">
        <w:rPr>
          <w:rFonts w:ascii="David" w:hAnsi="David"/>
          <w:b/>
          <w:bCs/>
          <w:sz w:val="28"/>
          <w:rtl/>
        </w:rPr>
        <w:t xml:space="preserve"> נ' התובע הצבאי הראשי, </w:t>
      </w:r>
      <w:r w:rsidR="00AF1156" w:rsidRPr="006C0C5D">
        <w:rPr>
          <w:rFonts w:ascii="David" w:hAnsi="David"/>
          <w:sz w:val="28"/>
          <w:rtl/>
        </w:rPr>
        <w:t xml:space="preserve">פסקה 23 (2006)); ע/55/23 </w:t>
      </w:r>
      <w:r w:rsidR="00AF1156" w:rsidRPr="006C0C5D">
        <w:rPr>
          <w:rFonts w:ascii="David" w:hAnsi="David"/>
          <w:b/>
          <w:bCs/>
          <w:sz w:val="28"/>
          <w:rtl/>
        </w:rPr>
        <w:t xml:space="preserve">רס"ל </w:t>
      </w:r>
      <w:proofErr w:type="spellStart"/>
      <w:r w:rsidR="00AF1156" w:rsidRPr="006C0C5D">
        <w:rPr>
          <w:rFonts w:ascii="David" w:hAnsi="David"/>
          <w:b/>
          <w:bCs/>
          <w:sz w:val="28"/>
          <w:rtl/>
        </w:rPr>
        <w:t>ענטנברג</w:t>
      </w:r>
      <w:proofErr w:type="spellEnd"/>
      <w:r w:rsidR="00AF1156" w:rsidRPr="006C0C5D">
        <w:rPr>
          <w:rFonts w:ascii="David" w:hAnsi="David"/>
          <w:b/>
          <w:bCs/>
          <w:sz w:val="28"/>
          <w:rtl/>
        </w:rPr>
        <w:t xml:space="preserve"> </w:t>
      </w:r>
      <w:r w:rsidR="00AF1156" w:rsidRPr="006C0C5D">
        <w:rPr>
          <w:rFonts w:ascii="David" w:hAnsi="David" w:hint="cs"/>
          <w:sz w:val="28"/>
          <w:rtl/>
        </w:rPr>
        <w:t>לעיל</w:t>
      </w:r>
      <w:r w:rsidR="00AF1156" w:rsidRPr="006C0C5D">
        <w:rPr>
          <w:rFonts w:ascii="David" w:hAnsi="David"/>
          <w:sz w:val="28"/>
          <w:rtl/>
        </w:rPr>
        <w:t xml:space="preserve">, פסקה </w:t>
      </w:r>
      <w:r w:rsidR="00AF1156" w:rsidRPr="006C0C5D">
        <w:rPr>
          <w:rFonts w:ascii="David" w:hAnsi="David" w:hint="cs"/>
          <w:sz w:val="28"/>
          <w:rtl/>
        </w:rPr>
        <w:t>42</w:t>
      </w:r>
      <w:r w:rsidR="00AF1156" w:rsidRPr="006C0C5D">
        <w:rPr>
          <w:rFonts w:ascii="David" w:hAnsi="David"/>
          <w:sz w:val="28"/>
          <w:rtl/>
        </w:rPr>
        <w:t xml:space="preserve">). </w:t>
      </w:r>
    </w:p>
    <w:p w14:paraId="718C6B38" w14:textId="77777777" w:rsidR="0034158D" w:rsidRDefault="00333314" w:rsidP="002C0946">
      <w:pPr>
        <w:pStyle w:val="ListParagraph"/>
        <w:numPr>
          <w:ilvl w:val="0"/>
          <w:numId w:val="1"/>
        </w:numPr>
        <w:rPr>
          <w:rFonts w:ascii="David" w:hAnsi="David"/>
          <w:sz w:val="28"/>
        </w:rPr>
      </w:pPr>
      <w:r>
        <w:rPr>
          <w:rFonts w:ascii="David" w:hAnsi="David" w:hint="cs"/>
          <w:sz w:val="28"/>
          <w:rtl/>
        </w:rPr>
        <w:t xml:space="preserve">לא מצאנו להתערב גם </w:t>
      </w:r>
      <w:r w:rsidR="00201531">
        <w:rPr>
          <w:rFonts w:ascii="David" w:hAnsi="David" w:hint="cs"/>
          <w:sz w:val="28"/>
          <w:rtl/>
        </w:rPr>
        <w:t xml:space="preserve">בקביעתו של </w:t>
      </w:r>
      <w:r>
        <w:rPr>
          <w:rFonts w:ascii="David" w:hAnsi="David" w:hint="cs"/>
          <w:sz w:val="28"/>
          <w:rtl/>
        </w:rPr>
        <w:t>בית הדין קמא</w:t>
      </w:r>
      <w:r w:rsidR="00201531">
        <w:rPr>
          <w:rFonts w:ascii="David" w:hAnsi="David" w:hint="cs"/>
          <w:sz w:val="28"/>
          <w:rtl/>
        </w:rPr>
        <w:t xml:space="preserve">, שלפיה </w:t>
      </w:r>
      <w:r>
        <w:rPr>
          <w:rFonts w:ascii="David" w:hAnsi="David" w:hint="cs"/>
          <w:sz w:val="28"/>
          <w:rtl/>
        </w:rPr>
        <w:t>עדותו של המערער לא עוררה אמון</w:t>
      </w:r>
      <w:r w:rsidR="00002963">
        <w:rPr>
          <w:rFonts w:ascii="David" w:hAnsi="David" w:hint="cs"/>
          <w:sz w:val="28"/>
          <w:rtl/>
        </w:rPr>
        <w:t xml:space="preserve">, וזאת הן לאור ההתרשמות </w:t>
      </w:r>
      <w:r w:rsidR="00201531">
        <w:rPr>
          <w:rFonts w:ascii="David" w:hAnsi="David" w:hint="cs"/>
          <w:sz w:val="28"/>
          <w:rtl/>
        </w:rPr>
        <w:t>ה</w:t>
      </w:r>
      <w:r w:rsidR="00127F57">
        <w:rPr>
          <w:rFonts w:ascii="David" w:hAnsi="David" w:hint="cs"/>
          <w:sz w:val="28"/>
          <w:rtl/>
        </w:rPr>
        <w:t>בלתי אמצעי</w:t>
      </w:r>
      <w:r w:rsidR="00201531">
        <w:rPr>
          <w:rFonts w:ascii="David" w:hAnsi="David" w:hint="cs"/>
          <w:sz w:val="28"/>
          <w:rtl/>
        </w:rPr>
        <w:t>ת מעדותו,</w:t>
      </w:r>
      <w:r w:rsidR="00127F57">
        <w:rPr>
          <w:rFonts w:ascii="David" w:hAnsi="David" w:hint="cs"/>
          <w:sz w:val="28"/>
          <w:rtl/>
        </w:rPr>
        <w:t xml:space="preserve"> והן לאור </w:t>
      </w:r>
      <w:r w:rsidR="00002963">
        <w:rPr>
          <w:rFonts w:ascii="David" w:hAnsi="David" w:hint="cs"/>
          <w:sz w:val="28"/>
          <w:rtl/>
        </w:rPr>
        <w:t xml:space="preserve">בחינתה אל מול מסכת הראיות הכללית. </w:t>
      </w:r>
      <w:r w:rsidR="00B30B01">
        <w:rPr>
          <w:rFonts w:ascii="David" w:hAnsi="David" w:hint="cs"/>
          <w:sz w:val="28"/>
          <w:rtl/>
        </w:rPr>
        <w:t>כזכור</w:t>
      </w:r>
      <w:r w:rsidR="00201531">
        <w:rPr>
          <w:rFonts w:ascii="David" w:hAnsi="David" w:hint="cs"/>
          <w:sz w:val="28"/>
          <w:rtl/>
        </w:rPr>
        <w:t>,</w:t>
      </w:r>
      <w:r w:rsidR="00B30B01">
        <w:rPr>
          <w:rFonts w:ascii="David" w:hAnsi="David" w:hint="cs"/>
          <w:sz w:val="28"/>
          <w:rtl/>
        </w:rPr>
        <w:t xml:space="preserve"> המערער הכחיש מכל וכל כי</w:t>
      </w:r>
      <w:r w:rsidR="007F238D">
        <w:rPr>
          <w:rFonts w:ascii="David" w:hAnsi="David" w:hint="cs"/>
          <w:sz w:val="28"/>
          <w:rtl/>
        </w:rPr>
        <w:t xml:space="preserve"> פגע בנפגעת העבירה</w:t>
      </w:r>
      <w:r w:rsidR="004D635F">
        <w:rPr>
          <w:rFonts w:ascii="David" w:hAnsi="David" w:hint="cs"/>
          <w:sz w:val="28"/>
          <w:rtl/>
        </w:rPr>
        <w:t>. לטענתו</w:t>
      </w:r>
      <w:r w:rsidR="00201531">
        <w:rPr>
          <w:rFonts w:ascii="David" w:hAnsi="David" w:hint="cs"/>
          <w:sz w:val="28"/>
          <w:rtl/>
        </w:rPr>
        <w:t>,</w:t>
      </w:r>
      <w:r w:rsidR="004D635F">
        <w:rPr>
          <w:rFonts w:ascii="David" w:hAnsi="David" w:hint="cs"/>
          <w:sz w:val="28"/>
          <w:rtl/>
        </w:rPr>
        <w:t xml:space="preserve"> סבר כי היא כעסה עליו משום שסירב לבקשתה, באירוע השני, לקחת אותה לאכול</w:t>
      </w:r>
      <w:r w:rsidR="00201531">
        <w:rPr>
          <w:rFonts w:ascii="David" w:hAnsi="David" w:hint="cs"/>
          <w:sz w:val="28"/>
          <w:rtl/>
        </w:rPr>
        <w:t xml:space="preserve">. </w:t>
      </w:r>
      <w:r w:rsidR="00F11A24">
        <w:rPr>
          <w:rFonts w:ascii="David" w:hAnsi="David" w:hint="cs"/>
          <w:sz w:val="28"/>
          <w:rtl/>
        </w:rPr>
        <w:t xml:space="preserve">לתמיכה </w:t>
      </w:r>
      <w:r w:rsidR="00201531">
        <w:rPr>
          <w:rFonts w:ascii="David" w:hAnsi="David" w:hint="cs"/>
          <w:sz w:val="28"/>
          <w:rtl/>
        </w:rPr>
        <w:t>בגרסתו,</w:t>
      </w:r>
      <w:r w:rsidR="00F11A24">
        <w:rPr>
          <w:rFonts w:ascii="David" w:hAnsi="David" w:hint="cs"/>
          <w:sz w:val="28"/>
          <w:rtl/>
        </w:rPr>
        <w:t xml:space="preserve"> טען </w:t>
      </w:r>
      <w:r w:rsidR="0063665B">
        <w:rPr>
          <w:rFonts w:ascii="David" w:hAnsi="David" w:hint="cs"/>
          <w:sz w:val="28"/>
          <w:rtl/>
        </w:rPr>
        <w:t xml:space="preserve">בין השאר </w:t>
      </w:r>
      <w:r w:rsidR="00F11A24">
        <w:rPr>
          <w:rFonts w:ascii="David" w:hAnsi="David" w:hint="cs"/>
          <w:sz w:val="28"/>
          <w:rtl/>
        </w:rPr>
        <w:t>כי רס"ל ליעד היה במקום לאורך כל האירוע</w:t>
      </w:r>
      <w:r w:rsidR="00127F57">
        <w:rPr>
          <w:rFonts w:ascii="David" w:hAnsi="David" w:hint="cs"/>
          <w:sz w:val="28"/>
          <w:rtl/>
        </w:rPr>
        <w:t xml:space="preserve"> השני</w:t>
      </w:r>
      <w:r w:rsidR="00F11A24">
        <w:rPr>
          <w:rFonts w:ascii="David" w:hAnsi="David" w:hint="cs"/>
          <w:sz w:val="28"/>
          <w:rtl/>
        </w:rPr>
        <w:t xml:space="preserve">. </w:t>
      </w:r>
      <w:r w:rsidR="0063665B">
        <w:rPr>
          <w:rFonts w:ascii="David" w:hAnsi="David" w:hint="cs"/>
          <w:sz w:val="28"/>
          <w:rtl/>
        </w:rPr>
        <w:t xml:space="preserve">עם זאת, </w:t>
      </w:r>
      <w:r w:rsidR="00127F57">
        <w:rPr>
          <w:rFonts w:ascii="David" w:hAnsi="David" w:hint="cs"/>
          <w:sz w:val="28"/>
          <w:rtl/>
        </w:rPr>
        <w:t xml:space="preserve">כפי שבואר לעיל, </w:t>
      </w:r>
      <w:r w:rsidR="0063665B">
        <w:rPr>
          <w:rFonts w:ascii="David" w:hAnsi="David" w:hint="cs"/>
          <w:sz w:val="28"/>
          <w:rtl/>
        </w:rPr>
        <w:lastRenderedPageBreak/>
        <w:t xml:space="preserve">במהלך העימות </w:t>
      </w:r>
      <w:r w:rsidR="00600A26">
        <w:rPr>
          <w:rFonts w:ascii="David" w:hAnsi="David" w:hint="cs"/>
          <w:sz w:val="28"/>
          <w:rtl/>
        </w:rPr>
        <w:t xml:space="preserve">לא הכחיש </w:t>
      </w:r>
      <w:r w:rsidR="00127F57">
        <w:rPr>
          <w:rFonts w:ascii="David" w:hAnsi="David" w:hint="cs"/>
          <w:sz w:val="28"/>
          <w:rtl/>
        </w:rPr>
        <w:t xml:space="preserve">המערער </w:t>
      </w:r>
      <w:r w:rsidR="00600A26">
        <w:rPr>
          <w:rFonts w:ascii="David" w:hAnsi="David" w:hint="cs"/>
          <w:sz w:val="28"/>
          <w:rtl/>
        </w:rPr>
        <w:t xml:space="preserve">את טענת </w:t>
      </w:r>
      <w:r w:rsidR="00201531">
        <w:rPr>
          <w:rFonts w:ascii="David" w:hAnsi="David" w:hint="cs"/>
          <w:sz w:val="28"/>
          <w:rtl/>
        </w:rPr>
        <w:t>ה</w:t>
      </w:r>
      <w:r w:rsidR="00600A26">
        <w:rPr>
          <w:rFonts w:ascii="David" w:hAnsi="David" w:hint="cs"/>
          <w:sz w:val="28"/>
          <w:rtl/>
        </w:rPr>
        <w:t xml:space="preserve">נפגעת כי רס"ל ליעד לא </w:t>
      </w:r>
      <w:r w:rsidR="00201531">
        <w:rPr>
          <w:rFonts w:ascii="David" w:hAnsi="David" w:hint="cs"/>
          <w:sz w:val="28"/>
          <w:rtl/>
        </w:rPr>
        <w:t xml:space="preserve">נכח </w:t>
      </w:r>
      <w:r w:rsidR="00600A26">
        <w:rPr>
          <w:rFonts w:ascii="David" w:hAnsi="David" w:hint="cs"/>
          <w:sz w:val="28"/>
          <w:rtl/>
        </w:rPr>
        <w:t xml:space="preserve">במקום </w:t>
      </w:r>
      <w:r w:rsidR="00201531">
        <w:rPr>
          <w:rFonts w:ascii="David" w:hAnsi="David" w:hint="cs"/>
          <w:sz w:val="28"/>
          <w:rtl/>
        </w:rPr>
        <w:t>כל העת, (</w:t>
      </w:r>
      <w:r w:rsidR="007107E7">
        <w:rPr>
          <w:rFonts w:ascii="David" w:hAnsi="David" w:hint="cs"/>
          <w:sz w:val="28"/>
          <w:rtl/>
        </w:rPr>
        <w:t>בעדותו בבית הדין</w:t>
      </w:r>
      <w:r w:rsidR="00201531">
        <w:rPr>
          <w:rFonts w:ascii="David" w:hAnsi="David" w:hint="cs"/>
          <w:sz w:val="28"/>
          <w:rtl/>
        </w:rPr>
        <w:t>, הסביר</w:t>
      </w:r>
      <w:r w:rsidR="007107E7">
        <w:rPr>
          <w:rFonts w:ascii="David" w:hAnsi="David" w:hint="cs"/>
          <w:sz w:val="28"/>
          <w:rtl/>
        </w:rPr>
        <w:t xml:space="preserve"> את הדברים שמסר בעימות בלחץ שחווה במהלכו</w:t>
      </w:r>
      <w:r w:rsidR="00201531">
        <w:rPr>
          <w:rFonts w:ascii="David" w:hAnsi="David" w:hint="cs"/>
          <w:sz w:val="28"/>
          <w:rtl/>
        </w:rPr>
        <w:t>)</w:t>
      </w:r>
      <w:r w:rsidR="007107E7">
        <w:rPr>
          <w:rFonts w:ascii="David" w:hAnsi="David" w:hint="cs"/>
          <w:sz w:val="28"/>
          <w:rtl/>
        </w:rPr>
        <w:t xml:space="preserve">. </w:t>
      </w:r>
      <w:r w:rsidR="00201531">
        <w:rPr>
          <w:rFonts w:ascii="David" w:hAnsi="David" w:hint="cs"/>
          <w:sz w:val="28"/>
          <w:rtl/>
        </w:rPr>
        <w:t>כך או כך</w:t>
      </w:r>
      <w:r w:rsidR="007107E7">
        <w:rPr>
          <w:rFonts w:ascii="David" w:hAnsi="David" w:hint="cs"/>
          <w:sz w:val="28"/>
          <w:rtl/>
        </w:rPr>
        <w:t xml:space="preserve">, כפי שבואר לעיל, </w:t>
      </w:r>
      <w:r w:rsidR="00A2680A">
        <w:rPr>
          <w:rFonts w:ascii="David" w:hAnsi="David" w:hint="cs"/>
          <w:sz w:val="28"/>
          <w:rtl/>
        </w:rPr>
        <w:t>גרסתו של רס"ל ליעד אינה מתיישבת עם גרסת המערער ב</w:t>
      </w:r>
      <w:r w:rsidR="007947A0">
        <w:rPr>
          <w:rFonts w:ascii="David" w:hAnsi="David" w:hint="cs"/>
          <w:sz w:val="28"/>
          <w:rtl/>
        </w:rPr>
        <w:t xml:space="preserve">אשר לנוכחותו ויכולתו לראות את כל המתרחש באירוע השני. </w:t>
      </w:r>
    </w:p>
    <w:p w14:paraId="32FA29C6" w14:textId="77777777" w:rsidR="00E76275" w:rsidRDefault="00E76275" w:rsidP="002C0946">
      <w:pPr>
        <w:pStyle w:val="ListParagraph"/>
        <w:numPr>
          <w:ilvl w:val="0"/>
          <w:numId w:val="1"/>
        </w:numPr>
        <w:rPr>
          <w:rFonts w:ascii="David" w:hAnsi="David"/>
          <w:sz w:val="28"/>
        </w:rPr>
      </w:pPr>
      <w:r>
        <w:rPr>
          <w:rFonts w:ascii="David" w:hAnsi="David" w:hint="cs"/>
          <w:sz w:val="28"/>
          <w:rtl/>
        </w:rPr>
        <w:t>בפי המערער אף לא היה הסבר משכנע מדוע תשאיר לו נפגעת העבירה הודעה כה כועסת לאחר האירוע הש</w:t>
      </w:r>
      <w:r w:rsidR="001A5824">
        <w:rPr>
          <w:rFonts w:ascii="David" w:hAnsi="David" w:hint="cs"/>
          <w:sz w:val="28"/>
          <w:rtl/>
        </w:rPr>
        <w:t>ני. תשובתו להודעה הקולית ששלחה לו ה</w:t>
      </w:r>
      <w:r w:rsidR="00201531">
        <w:rPr>
          <w:rFonts w:ascii="David" w:hAnsi="David" w:hint="cs"/>
          <w:sz w:val="28"/>
          <w:rtl/>
        </w:rPr>
        <w:t>י</w:t>
      </w:r>
      <w:r w:rsidR="001A5824">
        <w:rPr>
          <w:rFonts w:ascii="David" w:hAnsi="David" w:hint="cs"/>
          <w:sz w:val="28"/>
          <w:rtl/>
        </w:rPr>
        <w:t xml:space="preserve">יתה: "מה בגלל שחיבקתי אותך; לא </w:t>
      </w:r>
      <w:r w:rsidR="00201531">
        <w:rPr>
          <w:rFonts w:ascii="David" w:hAnsi="David" w:hint="cs"/>
          <w:sz w:val="28"/>
          <w:rtl/>
        </w:rPr>
        <w:t xml:space="preserve">הייתה </w:t>
      </w:r>
      <w:r w:rsidR="001A5824">
        <w:rPr>
          <w:rFonts w:ascii="David" w:hAnsi="David" w:hint="cs"/>
          <w:sz w:val="28"/>
          <w:rtl/>
        </w:rPr>
        <w:t xml:space="preserve">לי כוונה לזה" </w:t>
      </w:r>
      <w:r w:rsidR="007947A0">
        <w:rPr>
          <w:rFonts w:ascii="David" w:hAnsi="David" w:hint="cs"/>
          <w:sz w:val="28"/>
          <w:rtl/>
        </w:rPr>
        <w:t>-</w:t>
      </w:r>
      <w:r w:rsidR="001A5824">
        <w:rPr>
          <w:rFonts w:ascii="David" w:hAnsi="David" w:hint="cs"/>
          <w:sz w:val="28"/>
          <w:rtl/>
        </w:rPr>
        <w:t xml:space="preserve"> וזאת </w:t>
      </w:r>
      <w:r w:rsidR="000C536E">
        <w:rPr>
          <w:rFonts w:ascii="David" w:hAnsi="David" w:hint="cs"/>
          <w:sz w:val="28"/>
          <w:rtl/>
        </w:rPr>
        <w:t xml:space="preserve">על אף שלטענת המערער </w:t>
      </w:r>
      <w:r w:rsidR="00E2183B">
        <w:rPr>
          <w:rFonts w:ascii="David" w:hAnsi="David" w:hint="cs"/>
          <w:sz w:val="28"/>
          <w:rtl/>
        </w:rPr>
        <w:t>לא היה כל דבר חריג בחיבוק שנתן לה באותו היום</w:t>
      </w:r>
      <w:r w:rsidR="000C059A">
        <w:rPr>
          <w:rFonts w:ascii="David" w:hAnsi="David" w:hint="cs"/>
          <w:sz w:val="28"/>
          <w:rtl/>
        </w:rPr>
        <w:t>, ומכאן שיש לתמוה מדוע ראה לציין דווקא את החיבוק כעילה לכך ש</w:t>
      </w:r>
      <w:r w:rsidR="004D4F84">
        <w:rPr>
          <w:rFonts w:ascii="David" w:hAnsi="David" w:hint="cs"/>
          <w:sz w:val="28"/>
          <w:rtl/>
        </w:rPr>
        <w:t xml:space="preserve">נפגעת העבירה </w:t>
      </w:r>
      <w:r w:rsidR="000C059A">
        <w:rPr>
          <w:rFonts w:ascii="David" w:hAnsi="David" w:hint="cs"/>
          <w:sz w:val="28"/>
          <w:rtl/>
        </w:rPr>
        <w:t>תכעס עליו</w:t>
      </w:r>
      <w:r w:rsidR="00E2183B">
        <w:rPr>
          <w:rFonts w:ascii="David" w:hAnsi="David" w:hint="cs"/>
          <w:sz w:val="28"/>
          <w:rtl/>
        </w:rPr>
        <w:t xml:space="preserve">. גם </w:t>
      </w:r>
      <w:r w:rsidR="00BC0DDF">
        <w:rPr>
          <w:rFonts w:ascii="David" w:hAnsi="David" w:hint="cs"/>
          <w:sz w:val="28"/>
          <w:rtl/>
        </w:rPr>
        <w:t>טענתו</w:t>
      </w:r>
      <w:r w:rsidR="00E2183B">
        <w:rPr>
          <w:rFonts w:ascii="David" w:hAnsi="David" w:hint="cs"/>
          <w:sz w:val="28"/>
          <w:rtl/>
        </w:rPr>
        <w:t xml:space="preserve"> כי נפגעת העבירה כעסה </w:t>
      </w:r>
      <w:r w:rsidR="008E6EAB">
        <w:rPr>
          <w:rFonts w:ascii="David" w:hAnsi="David" w:hint="cs"/>
          <w:sz w:val="28"/>
          <w:rtl/>
        </w:rPr>
        <w:t xml:space="preserve">ובדתה תלונה כלפיו </w:t>
      </w:r>
      <w:r w:rsidR="00E2183B">
        <w:rPr>
          <w:rFonts w:ascii="David" w:hAnsi="David" w:hint="cs"/>
          <w:sz w:val="28"/>
          <w:rtl/>
        </w:rPr>
        <w:t>מפני שסירב לקחת אותה לאכול אינה עומדת במבחן ההיגיון</w:t>
      </w:r>
      <w:r w:rsidR="008E6EAB">
        <w:rPr>
          <w:rFonts w:ascii="David" w:hAnsi="David" w:hint="cs"/>
          <w:sz w:val="28"/>
          <w:rtl/>
        </w:rPr>
        <w:t xml:space="preserve">, ודי אם נציין, כי </w:t>
      </w:r>
      <w:r w:rsidR="00DE30BE">
        <w:rPr>
          <w:rFonts w:ascii="David" w:hAnsi="David" w:hint="cs"/>
          <w:sz w:val="28"/>
          <w:rtl/>
        </w:rPr>
        <w:t xml:space="preserve">היא </w:t>
      </w:r>
      <w:r w:rsidR="00BC0DDF">
        <w:rPr>
          <w:rFonts w:ascii="David" w:hAnsi="David" w:hint="cs"/>
          <w:sz w:val="28"/>
          <w:rtl/>
        </w:rPr>
        <w:t>לא הפנתה כל תלונה דומה כלפי רס"ל ליעד</w:t>
      </w:r>
      <w:r w:rsidR="00201531">
        <w:rPr>
          <w:rFonts w:ascii="David" w:hAnsi="David" w:hint="cs"/>
          <w:sz w:val="28"/>
          <w:rtl/>
        </w:rPr>
        <w:t>,</w:t>
      </w:r>
      <w:r w:rsidR="00BC0DDF">
        <w:rPr>
          <w:rFonts w:ascii="David" w:hAnsi="David" w:hint="cs"/>
          <w:sz w:val="28"/>
          <w:rtl/>
        </w:rPr>
        <w:t xml:space="preserve"> שסירב אף הוא לקחתה לאכול</w:t>
      </w:r>
      <w:r w:rsidR="00201531">
        <w:rPr>
          <w:rFonts w:ascii="David" w:hAnsi="David" w:hint="cs"/>
          <w:sz w:val="28"/>
          <w:rtl/>
        </w:rPr>
        <w:t xml:space="preserve"> באותה הזדמנות</w:t>
      </w:r>
      <w:r w:rsidR="00BC0DDF">
        <w:rPr>
          <w:rFonts w:ascii="David" w:hAnsi="David" w:hint="cs"/>
          <w:sz w:val="28"/>
          <w:rtl/>
        </w:rPr>
        <w:t xml:space="preserve">. </w:t>
      </w:r>
    </w:p>
    <w:p w14:paraId="42215018" w14:textId="77777777" w:rsidR="000A3B96" w:rsidRDefault="000E3898" w:rsidP="002C0946">
      <w:pPr>
        <w:pStyle w:val="ListParagraph"/>
        <w:numPr>
          <w:ilvl w:val="0"/>
          <w:numId w:val="1"/>
        </w:numPr>
        <w:rPr>
          <w:rFonts w:ascii="David" w:hAnsi="David"/>
          <w:sz w:val="28"/>
        </w:rPr>
      </w:pPr>
      <w:r>
        <w:rPr>
          <w:rFonts w:ascii="David" w:hAnsi="David" w:hint="cs"/>
          <w:sz w:val="28"/>
          <w:rtl/>
        </w:rPr>
        <w:t xml:space="preserve">כן יש לציין, כי </w:t>
      </w:r>
      <w:r w:rsidR="00201531">
        <w:rPr>
          <w:rFonts w:ascii="David" w:hAnsi="David" w:hint="cs"/>
          <w:sz w:val="28"/>
          <w:rtl/>
        </w:rPr>
        <w:t>ב</w:t>
      </w:r>
      <w:r w:rsidR="00094B9B">
        <w:rPr>
          <w:rFonts w:ascii="David" w:hAnsi="David" w:hint="cs"/>
          <w:sz w:val="28"/>
          <w:rtl/>
        </w:rPr>
        <w:t xml:space="preserve">מחיקת </w:t>
      </w:r>
      <w:r w:rsidR="00201531">
        <w:rPr>
          <w:rFonts w:ascii="David" w:hAnsi="David" w:hint="cs"/>
          <w:sz w:val="28"/>
          <w:rtl/>
        </w:rPr>
        <w:t>ה</w:t>
      </w:r>
      <w:r w:rsidR="00094B9B">
        <w:rPr>
          <w:rFonts w:ascii="David" w:hAnsi="David" w:hint="cs"/>
          <w:sz w:val="28"/>
          <w:rtl/>
        </w:rPr>
        <w:t>התכתב</w:t>
      </w:r>
      <w:r w:rsidR="00201531">
        <w:rPr>
          <w:rFonts w:ascii="David" w:hAnsi="David" w:hint="cs"/>
          <w:sz w:val="28"/>
          <w:rtl/>
        </w:rPr>
        <w:t>ו</w:t>
      </w:r>
      <w:r w:rsidR="00094B9B">
        <w:rPr>
          <w:rFonts w:ascii="David" w:hAnsi="David" w:hint="cs"/>
          <w:sz w:val="28"/>
          <w:rtl/>
        </w:rPr>
        <w:t>ת</w:t>
      </w:r>
      <w:r w:rsidR="00201531">
        <w:rPr>
          <w:rFonts w:ascii="David" w:hAnsi="David" w:hint="cs"/>
          <w:sz w:val="28"/>
          <w:rtl/>
        </w:rPr>
        <w:t xml:space="preserve"> עם הנפגעת</w:t>
      </w:r>
      <w:r w:rsidR="00094B9B">
        <w:rPr>
          <w:rFonts w:ascii="David" w:hAnsi="David" w:hint="cs"/>
          <w:sz w:val="28"/>
          <w:rtl/>
        </w:rPr>
        <w:t xml:space="preserve"> </w:t>
      </w:r>
      <w:r w:rsidR="00201531">
        <w:rPr>
          <w:rFonts w:ascii="David" w:hAnsi="David" w:hint="cs"/>
          <w:sz w:val="28"/>
          <w:rtl/>
        </w:rPr>
        <w:t xml:space="preserve">על ידי המערער </w:t>
      </w:r>
      <w:r w:rsidR="00882594">
        <w:rPr>
          <w:rFonts w:ascii="David" w:hAnsi="David" w:hint="cs"/>
          <w:sz w:val="28"/>
          <w:rtl/>
        </w:rPr>
        <w:t>יש משום היבט מחשיד</w:t>
      </w:r>
      <w:r w:rsidR="00201531">
        <w:rPr>
          <w:rFonts w:ascii="David" w:hAnsi="David" w:hint="cs"/>
          <w:sz w:val="28"/>
          <w:rtl/>
        </w:rPr>
        <w:t xml:space="preserve">. אף שמסר כי הוא נוהג למחוק הודעות של מי שאינו עומד עימו בקשר, הרי שמחיקת ההתכתבות מקבלת משמעות אחרת </w:t>
      </w:r>
      <w:r w:rsidR="00882594">
        <w:rPr>
          <w:rFonts w:ascii="David" w:hAnsi="David" w:hint="cs"/>
          <w:sz w:val="28"/>
          <w:rtl/>
        </w:rPr>
        <w:t>כאשר שלח הודעה לנפגעת העבירה עת נקרא לחקירה וביקש ממנה לחזור אליו</w:t>
      </w:r>
      <w:r w:rsidR="00A07B6B">
        <w:rPr>
          <w:rFonts w:ascii="David" w:hAnsi="David" w:hint="cs"/>
          <w:sz w:val="28"/>
          <w:rtl/>
        </w:rPr>
        <w:t xml:space="preserve"> (</w:t>
      </w:r>
      <w:r w:rsidR="00882594">
        <w:rPr>
          <w:rFonts w:ascii="David" w:hAnsi="David" w:hint="cs"/>
          <w:sz w:val="28"/>
          <w:rtl/>
        </w:rPr>
        <w:t>הודעה שאותה מחק</w:t>
      </w:r>
      <w:r w:rsidR="003B4648">
        <w:rPr>
          <w:rFonts w:ascii="David" w:hAnsi="David" w:hint="cs"/>
          <w:sz w:val="28"/>
          <w:rtl/>
        </w:rPr>
        <w:t xml:space="preserve"> לאחר מכן</w:t>
      </w:r>
      <w:r w:rsidR="00A07B6B">
        <w:rPr>
          <w:rFonts w:ascii="David" w:hAnsi="David" w:hint="cs"/>
          <w:sz w:val="28"/>
          <w:rtl/>
        </w:rPr>
        <w:t xml:space="preserve"> כאמור)</w:t>
      </w:r>
      <w:r w:rsidR="003B4648">
        <w:rPr>
          <w:rFonts w:ascii="David" w:hAnsi="David" w:hint="cs"/>
          <w:sz w:val="28"/>
          <w:rtl/>
        </w:rPr>
        <w:t xml:space="preserve">. </w:t>
      </w:r>
      <w:r w:rsidR="00201531">
        <w:rPr>
          <w:rFonts w:ascii="David" w:hAnsi="David" w:hint="cs"/>
          <w:sz w:val="28"/>
          <w:rtl/>
        </w:rPr>
        <w:t>אמנם, המערער זוכה מעבירה של שיבוש מהלכי משפט, בשל אי-בדיקת טענתו בדבר מנהגו למחוק הודעות, אך בהתנהלותו המתוארת יש כדי לחזק את התשתית הראייתית שבבסיס העבירות שבהן הורשע.</w:t>
      </w:r>
    </w:p>
    <w:p w14:paraId="130A8748" w14:textId="77777777" w:rsidR="00C00D28" w:rsidRDefault="003B4648" w:rsidP="002C0946">
      <w:pPr>
        <w:pStyle w:val="ListParagraph"/>
        <w:numPr>
          <w:ilvl w:val="0"/>
          <w:numId w:val="1"/>
        </w:numPr>
        <w:rPr>
          <w:rFonts w:ascii="David" w:hAnsi="David"/>
          <w:sz w:val="28"/>
        </w:rPr>
      </w:pPr>
      <w:r>
        <w:rPr>
          <w:rFonts w:ascii="David" w:hAnsi="David" w:hint="cs"/>
          <w:sz w:val="28"/>
          <w:rtl/>
        </w:rPr>
        <w:t>בשים לב לכל האמור, סברנו כי</w:t>
      </w:r>
      <w:r w:rsidR="008F5603">
        <w:rPr>
          <w:rFonts w:ascii="David" w:hAnsi="David" w:hint="cs"/>
          <w:sz w:val="28"/>
          <w:rtl/>
        </w:rPr>
        <w:t xml:space="preserve"> אין להתערב במסקנת בית הדין קמא, </w:t>
      </w:r>
      <w:r w:rsidR="00C00D28">
        <w:rPr>
          <w:rFonts w:ascii="David" w:hAnsi="David" w:hint="cs"/>
          <w:sz w:val="28"/>
          <w:rtl/>
        </w:rPr>
        <w:t>ש</w:t>
      </w:r>
      <w:r w:rsidR="008F5603">
        <w:rPr>
          <w:rFonts w:ascii="David" w:hAnsi="David" w:hint="cs"/>
          <w:sz w:val="28"/>
          <w:rtl/>
        </w:rPr>
        <w:t xml:space="preserve">לפיה </w:t>
      </w:r>
      <w:r w:rsidR="00C00D28">
        <w:rPr>
          <w:rFonts w:ascii="David" w:hAnsi="David" w:hint="cs"/>
          <w:sz w:val="28"/>
          <w:rtl/>
        </w:rPr>
        <w:t xml:space="preserve">המסכת העובדתית, כפי שיוחסה למערער בכתב האישום, הוכחה </w:t>
      </w:r>
      <w:r w:rsidR="00A07B6B">
        <w:rPr>
          <w:rFonts w:ascii="David" w:hAnsi="David" w:hint="cs"/>
          <w:sz w:val="28"/>
          <w:rtl/>
        </w:rPr>
        <w:t>מעבר לספק סביר</w:t>
      </w:r>
      <w:r w:rsidR="00C00D28">
        <w:rPr>
          <w:rFonts w:ascii="David" w:hAnsi="David" w:hint="cs"/>
          <w:sz w:val="28"/>
          <w:rtl/>
        </w:rPr>
        <w:t xml:space="preserve">. ההגנה לא חלקה בהודעת הערעור על </w:t>
      </w:r>
      <w:r w:rsidR="00535D31">
        <w:rPr>
          <w:rFonts w:ascii="David" w:hAnsi="David" w:hint="cs"/>
          <w:sz w:val="28"/>
          <w:rtl/>
        </w:rPr>
        <w:t>כי המעשים</w:t>
      </w:r>
      <w:r w:rsidR="00C00D28">
        <w:rPr>
          <w:rFonts w:ascii="David" w:hAnsi="David" w:hint="cs"/>
          <w:sz w:val="28"/>
          <w:rtl/>
        </w:rPr>
        <w:t xml:space="preserve">, אם יוכחו, עולים כדי </w:t>
      </w:r>
      <w:r w:rsidR="00535D31">
        <w:rPr>
          <w:rFonts w:ascii="David" w:hAnsi="David" w:hint="cs"/>
          <w:sz w:val="28"/>
          <w:rtl/>
        </w:rPr>
        <w:t>"מעשה מגונה" בהתאם להגדרתם בחוק העונשין</w:t>
      </w:r>
      <w:r w:rsidR="00C00D28">
        <w:rPr>
          <w:rFonts w:ascii="David" w:hAnsi="David" w:hint="cs"/>
          <w:sz w:val="28"/>
          <w:rtl/>
        </w:rPr>
        <w:t>, ואף לא חלקה על התקיימותה של עבירת ההתנהגות שאינה הולמת, כעבירה נגזרת, ומשכך לא נרחיב בהקשר זה.</w:t>
      </w:r>
    </w:p>
    <w:p w14:paraId="15F4917A" w14:textId="77777777" w:rsidR="00026A1C" w:rsidRPr="004D4F84" w:rsidRDefault="00C41A54" w:rsidP="002C0946">
      <w:pPr>
        <w:pStyle w:val="ListParagraph"/>
        <w:numPr>
          <w:ilvl w:val="0"/>
          <w:numId w:val="1"/>
        </w:numPr>
        <w:rPr>
          <w:rFonts w:ascii="David" w:hAnsi="David"/>
          <w:sz w:val="28"/>
          <w:rtl/>
        </w:rPr>
      </w:pPr>
      <w:r w:rsidRPr="004D4F84">
        <w:rPr>
          <w:rFonts w:ascii="David" w:hAnsi="David" w:hint="cs"/>
          <w:sz w:val="28"/>
          <w:rtl/>
        </w:rPr>
        <w:t>ערעור ההגנה</w:t>
      </w:r>
      <w:r w:rsidR="00C00D28" w:rsidRPr="004D4F84">
        <w:rPr>
          <w:rFonts w:ascii="David" w:hAnsi="David" w:hint="cs"/>
          <w:sz w:val="28"/>
          <w:rtl/>
        </w:rPr>
        <w:t xml:space="preserve"> על הכרעת הדין נדחה אפוא</w:t>
      </w:r>
      <w:r w:rsidRPr="004D4F84">
        <w:rPr>
          <w:rFonts w:ascii="David" w:hAnsi="David" w:hint="cs"/>
          <w:sz w:val="28"/>
          <w:rtl/>
        </w:rPr>
        <w:t>.</w:t>
      </w:r>
      <w:r w:rsidR="00C00D28" w:rsidRPr="004D4F84">
        <w:rPr>
          <w:rFonts w:ascii="David" w:hAnsi="David" w:hint="cs"/>
          <w:sz w:val="28"/>
          <w:rtl/>
        </w:rPr>
        <w:t xml:space="preserve"> </w:t>
      </w:r>
    </w:p>
    <w:p w14:paraId="0B063D2C" w14:textId="77777777" w:rsidR="004D4F84" w:rsidRDefault="004D4F84" w:rsidP="002C0946">
      <w:pPr>
        <w:jc w:val="left"/>
        <w:outlineLvl w:val="0"/>
        <w:rPr>
          <w:rFonts w:ascii="David" w:hAnsi="David"/>
          <w:sz w:val="28"/>
          <w:rtl/>
        </w:rPr>
      </w:pPr>
    </w:p>
    <w:p w14:paraId="09656EB2" w14:textId="77777777" w:rsidR="001E3B8D" w:rsidRPr="004D74BF" w:rsidRDefault="001E3B8D" w:rsidP="009A36CE">
      <w:pPr>
        <w:ind w:left="-58"/>
        <w:jc w:val="left"/>
        <w:outlineLvl w:val="0"/>
        <w:rPr>
          <w:rFonts w:ascii="David" w:hAnsi="David"/>
          <w:sz w:val="28"/>
          <w:rtl/>
        </w:rPr>
      </w:pPr>
      <w:r w:rsidRPr="004D74BF">
        <w:rPr>
          <w:rFonts w:ascii="David" w:hAnsi="David"/>
          <w:sz w:val="28"/>
          <w:rtl/>
        </w:rPr>
        <w:t xml:space="preserve">ניתן והודע היום, </w:t>
      </w:r>
      <w:r w:rsidR="00C129B2">
        <w:rPr>
          <w:rFonts w:ascii="David" w:hAnsi="David" w:hint="cs"/>
          <w:sz w:val="28"/>
          <w:rtl/>
        </w:rPr>
        <w:t xml:space="preserve">כ"א </w:t>
      </w:r>
      <w:r w:rsidR="00CB263E">
        <w:rPr>
          <w:rFonts w:ascii="David" w:hAnsi="David" w:hint="cs"/>
          <w:sz w:val="28"/>
          <w:rtl/>
        </w:rPr>
        <w:t>בשבט</w:t>
      </w:r>
      <w:r w:rsidRPr="004D74BF">
        <w:rPr>
          <w:rFonts w:ascii="David" w:hAnsi="David"/>
          <w:sz w:val="28"/>
          <w:rtl/>
        </w:rPr>
        <w:t xml:space="preserve"> </w:t>
      </w:r>
      <w:proofErr w:type="spellStart"/>
      <w:r w:rsidRPr="004D74BF">
        <w:rPr>
          <w:rFonts w:ascii="David" w:hAnsi="David"/>
          <w:sz w:val="28"/>
          <w:rtl/>
        </w:rPr>
        <w:t>התשפ"ה</w:t>
      </w:r>
      <w:proofErr w:type="spellEnd"/>
      <w:r w:rsidRPr="004D74BF">
        <w:rPr>
          <w:rFonts w:ascii="David" w:hAnsi="David"/>
          <w:sz w:val="28"/>
          <w:rtl/>
        </w:rPr>
        <w:t xml:space="preserve">, </w:t>
      </w:r>
      <w:r w:rsidR="00C129B2">
        <w:rPr>
          <w:rFonts w:ascii="David" w:hAnsi="David" w:hint="cs"/>
          <w:sz w:val="28"/>
          <w:rtl/>
        </w:rPr>
        <w:t xml:space="preserve">19 </w:t>
      </w:r>
      <w:r w:rsidRPr="004D74BF">
        <w:rPr>
          <w:rFonts w:ascii="David" w:hAnsi="David"/>
          <w:sz w:val="28"/>
          <w:rtl/>
        </w:rPr>
        <w:t>ב</w:t>
      </w:r>
      <w:r w:rsidR="00CB263E">
        <w:rPr>
          <w:rFonts w:ascii="David" w:hAnsi="David" w:hint="cs"/>
          <w:sz w:val="28"/>
          <w:rtl/>
        </w:rPr>
        <w:t>פברואר</w:t>
      </w:r>
      <w:r w:rsidRPr="004D74BF">
        <w:rPr>
          <w:rFonts w:ascii="David" w:hAnsi="David"/>
          <w:sz w:val="28"/>
          <w:rtl/>
        </w:rPr>
        <w:t xml:space="preserve"> 2025, בפומבי ובמעמד הצדדים. </w:t>
      </w:r>
    </w:p>
    <w:p w14:paraId="7206FF79" w14:textId="77777777" w:rsidR="002C0946" w:rsidRDefault="002C0946" w:rsidP="009A36CE">
      <w:pPr>
        <w:tabs>
          <w:tab w:val="center" w:pos="1599"/>
          <w:tab w:val="center" w:pos="4150"/>
          <w:tab w:val="center" w:pos="6702"/>
        </w:tabs>
        <w:rPr>
          <w:rFonts w:ascii="David" w:hAnsi="David"/>
          <w:sz w:val="28"/>
          <w:rtl/>
        </w:rPr>
      </w:pPr>
    </w:p>
    <w:p w14:paraId="4F72924B" w14:textId="3CF14DB9" w:rsidR="001E3B8D" w:rsidRPr="004D74BF" w:rsidRDefault="001E3B8D" w:rsidP="009A36CE">
      <w:pPr>
        <w:tabs>
          <w:tab w:val="center" w:pos="1599"/>
          <w:tab w:val="center" w:pos="4150"/>
          <w:tab w:val="center" w:pos="6702"/>
        </w:tabs>
        <w:rPr>
          <w:rFonts w:ascii="David" w:hAnsi="David"/>
          <w:b/>
          <w:bCs/>
          <w:sz w:val="28"/>
          <w:rtl/>
        </w:rPr>
      </w:pPr>
      <w:r w:rsidRPr="004D74BF">
        <w:rPr>
          <w:rFonts w:ascii="David" w:hAnsi="David"/>
          <w:b/>
          <w:bCs/>
          <w:sz w:val="28"/>
          <w:rtl/>
        </w:rPr>
        <w:t xml:space="preserve">  ______________</w:t>
      </w:r>
      <w:r w:rsidRPr="004D74BF">
        <w:rPr>
          <w:rFonts w:ascii="David" w:hAnsi="David"/>
          <w:b/>
          <w:bCs/>
          <w:sz w:val="28"/>
          <w:rtl/>
        </w:rPr>
        <w:tab/>
      </w:r>
      <w:r w:rsidR="002C0946">
        <w:rPr>
          <w:rFonts w:ascii="David" w:hAnsi="David" w:hint="cs"/>
          <w:b/>
          <w:bCs/>
          <w:sz w:val="28"/>
          <w:rtl/>
        </w:rPr>
        <w:t xml:space="preserve">      </w:t>
      </w:r>
      <w:r w:rsidRPr="004D74BF">
        <w:rPr>
          <w:rFonts w:ascii="David" w:hAnsi="David"/>
          <w:b/>
          <w:bCs/>
          <w:sz w:val="28"/>
          <w:rtl/>
        </w:rPr>
        <w:t>______________</w:t>
      </w:r>
      <w:r w:rsidR="002C0946">
        <w:rPr>
          <w:rFonts w:ascii="David" w:hAnsi="David" w:hint="cs"/>
          <w:b/>
          <w:bCs/>
          <w:sz w:val="28"/>
          <w:rtl/>
        </w:rPr>
        <w:t xml:space="preserve">                       </w:t>
      </w:r>
      <w:r w:rsidRPr="004D74BF">
        <w:rPr>
          <w:rFonts w:ascii="David" w:hAnsi="David"/>
          <w:b/>
          <w:bCs/>
          <w:sz w:val="28"/>
          <w:rtl/>
        </w:rPr>
        <w:tab/>
      </w:r>
      <w:r w:rsidR="002C0946">
        <w:rPr>
          <w:rFonts w:ascii="David" w:hAnsi="David" w:hint="cs"/>
          <w:b/>
          <w:bCs/>
          <w:sz w:val="28"/>
          <w:rtl/>
        </w:rPr>
        <w:t xml:space="preserve">    </w:t>
      </w:r>
      <w:r w:rsidRPr="004D74BF">
        <w:rPr>
          <w:rFonts w:ascii="David" w:hAnsi="David"/>
          <w:b/>
          <w:bCs/>
          <w:sz w:val="28"/>
          <w:rtl/>
        </w:rPr>
        <w:t>______________</w:t>
      </w:r>
    </w:p>
    <w:p w14:paraId="7963159E" w14:textId="2E3ABCC6" w:rsidR="001E3B8D" w:rsidRDefault="002C0946" w:rsidP="009A36CE">
      <w:pPr>
        <w:tabs>
          <w:tab w:val="center" w:pos="1599"/>
          <w:tab w:val="center" w:pos="4150"/>
          <w:tab w:val="center" w:pos="6702"/>
        </w:tabs>
        <w:rPr>
          <w:rFonts w:ascii="David" w:hAnsi="David"/>
          <w:color w:val="000000"/>
          <w:sz w:val="28"/>
          <w:rtl/>
        </w:rPr>
      </w:pPr>
      <w:r>
        <w:rPr>
          <w:rFonts w:ascii="David" w:hAnsi="David" w:hint="cs"/>
          <w:b/>
          <w:bCs/>
          <w:sz w:val="28"/>
          <w:rtl/>
        </w:rPr>
        <w:t xml:space="preserve">    </w:t>
      </w:r>
      <w:r w:rsidR="001E3B8D" w:rsidRPr="004D74BF">
        <w:rPr>
          <w:rFonts w:ascii="David" w:hAnsi="David"/>
          <w:b/>
          <w:bCs/>
          <w:sz w:val="28"/>
          <w:rtl/>
        </w:rPr>
        <w:t>המשנה לנשיאה</w:t>
      </w:r>
      <w:r w:rsidR="001E3B8D" w:rsidRPr="004D74BF">
        <w:rPr>
          <w:rFonts w:ascii="David" w:hAnsi="David"/>
          <w:b/>
          <w:bCs/>
          <w:sz w:val="28"/>
          <w:rtl/>
        </w:rPr>
        <w:tab/>
        <w:t xml:space="preserve">                    </w:t>
      </w:r>
      <w:r>
        <w:rPr>
          <w:rFonts w:ascii="David" w:hAnsi="David" w:hint="cs"/>
          <w:b/>
          <w:bCs/>
          <w:sz w:val="28"/>
          <w:rtl/>
        </w:rPr>
        <w:t xml:space="preserve">            </w:t>
      </w:r>
      <w:r w:rsidR="001E3B8D" w:rsidRPr="004D74BF">
        <w:rPr>
          <w:rFonts w:ascii="David" w:hAnsi="David"/>
          <w:b/>
          <w:bCs/>
          <w:sz w:val="28"/>
          <w:rtl/>
        </w:rPr>
        <w:t xml:space="preserve"> שופטת                              </w:t>
      </w:r>
      <w:r>
        <w:rPr>
          <w:rFonts w:ascii="David" w:hAnsi="David" w:hint="cs"/>
          <w:b/>
          <w:bCs/>
          <w:sz w:val="28"/>
          <w:rtl/>
        </w:rPr>
        <w:t xml:space="preserve">            </w:t>
      </w:r>
      <w:r w:rsidR="001F413B">
        <w:rPr>
          <w:rFonts w:ascii="David" w:hAnsi="David" w:hint="cs"/>
          <w:b/>
          <w:bCs/>
          <w:sz w:val="28"/>
          <w:rtl/>
        </w:rPr>
        <w:t xml:space="preserve">   </w:t>
      </w:r>
      <w:r>
        <w:rPr>
          <w:rFonts w:ascii="David" w:hAnsi="David" w:hint="cs"/>
          <w:b/>
          <w:bCs/>
          <w:sz w:val="28"/>
          <w:rtl/>
        </w:rPr>
        <w:t xml:space="preserve">   </w:t>
      </w:r>
      <w:r w:rsidR="001E3B8D" w:rsidRPr="004D74BF">
        <w:rPr>
          <w:rFonts w:ascii="David" w:hAnsi="David"/>
          <w:b/>
          <w:bCs/>
          <w:sz w:val="28"/>
          <w:rtl/>
        </w:rPr>
        <w:t xml:space="preserve"> שופט </w:t>
      </w:r>
    </w:p>
    <w:p w14:paraId="5F80ABA5" w14:textId="6645B241" w:rsidR="001F413B" w:rsidRDefault="001F413B" w:rsidP="009A36CE">
      <w:pPr>
        <w:tabs>
          <w:tab w:val="center" w:pos="1599"/>
          <w:tab w:val="center" w:pos="4150"/>
          <w:tab w:val="center" w:pos="6702"/>
        </w:tabs>
        <w:rPr>
          <w:rFonts w:ascii="David" w:hAnsi="David"/>
          <w:color w:val="000000"/>
          <w:sz w:val="28"/>
          <w:rtl/>
        </w:rPr>
      </w:pPr>
    </w:p>
    <w:p w14:paraId="1AD4553C" w14:textId="77777777" w:rsidR="001F413B" w:rsidRDefault="001F413B" w:rsidP="009A36CE">
      <w:pPr>
        <w:tabs>
          <w:tab w:val="center" w:pos="1599"/>
          <w:tab w:val="center" w:pos="4150"/>
          <w:tab w:val="center" w:pos="6702"/>
        </w:tabs>
        <w:rPr>
          <w:rFonts w:ascii="David" w:hAnsi="David"/>
          <w:color w:val="000000"/>
          <w:sz w:val="28"/>
          <w:rtl/>
        </w:rPr>
      </w:pPr>
    </w:p>
    <w:p w14:paraId="572897F9" w14:textId="103F79C4" w:rsidR="002C0946" w:rsidRPr="00405BC8" w:rsidRDefault="002C0946" w:rsidP="002C0946">
      <w:pPr>
        <w:ind w:left="-58" w:right="-567"/>
        <w:rPr>
          <w:rFonts w:ascii="David" w:hAnsi="David"/>
          <w:b/>
          <w:bCs/>
          <w:sz w:val="28"/>
          <w:rtl/>
        </w:rPr>
      </w:pPr>
      <w:bookmarkStart w:id="2" w:name="_Hlk122599666"/>
      <w:bookmarkStart w:id="3" w:name="_Hlk141797760"/>
      <w:r w:rsidRPr="00405BC8">
        <w:rPr>
          <w:rFonts w:ascii="David" w:hAnsi="David"/>
          <w:b/>
          <w:bCs/>
          <w:sz w:val="28"/>
          <w:rtl/>
        </w:rPr>
        <w:t xml:space="preserve">חתימת המגיה: _______________________________      העתק        נאמן       למקור             </w:t>
      </w:r>
    </w:p>
    <w:p w14:paraId="4B5B20DF" w14:textId="6E2F1996" w:rsidR="002C0946" w:rsidRPr="00405BC8" w:rsidRDefault="002C0946" w:rsidP="002C0946">
      <w:pPr>
        <w:ind w:left="-58" w:right="-567"/>
        <w:rPr>
          <w:rFonts w:ascii="David" w:hAnsi="David"/>
          <w:b/>
          <w:bCs/>
          <w:sz w:val="28"/>
          <w:rtl/>
        </w:rPr>
      </w:pPr>
      <w:r w:rsidRPr="00405BC8">
        <w:rPr>
          <w:rFonts w:ascii="David" w:hAnsi="David"/>
          <w:b/>
          <w:bCs/>
          <w:sz w:val="28"/>
          <w:rtl/>
        </w:rPr>
        <w:t xml:space="preserve">                                                                                                       סרן </w:t>
      </w:r>
      <w:r>
        <w:rPr>
          <w:rFonts w:ascii="David" w:hAnsi="David" w:hint="cs"/>
          <w:b/>
          <w:bCs/>
          <w:sz w:val="28"/>
          <w:rtl/>
        </w:rPr>
        <w:t xml:space="preserve">           נועם </w:t>
      </w:r>
      <w:r w:rsidRPr="00405BC8">
        <w:rPr>
          <w:rFonts w:ascii="David" w:hAnsi="David"/>
          <w:b/>
          <w:bCs/>
          <w:sz w:val="28"/>
          <w:rtl/>
        </w:rPr>
        <w:t xml:space="preserve"> </w:t>
      </w:r>
      <w:r>
        <w:rPr>
          <w:rFonts w:ascii="David" w:hAnsi="David" w:hint="cs"/>
          <w:b/>
          <w:bCs/>
          <w:sz w:val="28"/>
          <w:rtl/>
        </w:rPr>
        <w:t xml:space="preserve">      </w:t>
      </w:r>
      <w:r w:rsidRPr="00405BC8">
        <w:rPr>
          <w:rFonts w:ascii="David" w:hAnsi="David"/>
          <w:b/>
          <w:bCs/>
          <w:sz w:val="28"/>
          <w:rtl/>
        </w:rPr>
        <w:t xml:space="preserve"> </w:t>
      </w:r>
      <w:r>
        <w:rPr>
          <w:rFonts w:ascii="David" w:hAnsi="David" w:hint="cs"/>
          <w:b/>
          <w:bCs/>
          <w:sz w:val="28"/>
          <w:rtl/>
        </w:rPr>
        <w:t>בזיזה</w:t>
      </w:r>
    </w:p>
    <w:p w14:paraId="0208D6B2" w14:textId="1FF570FA" w:rsidR="002C0946" w:rsidRPr="00405BC8" w:rsidRDefault="002C0946" w:rsidP="002C0946">
      <w:pPr>
        <w:ind w:left="-58" w:right="-567"/>
        <w:rPr>
          <w:rFonts w:ascii="David" w:hAnsi="David"/>
          <w:b/>
          <w:bCs/>
          <w:sz w:val="28"/>
          <w:rtl/>
        </w:rPr>
      </w:pPr>
      <w:r w:rsidRPr="00405BC8">
        <w:rPr>
          <w:rFonts w:ascii="David" w:hAnsi="David"/>
          <w:b/>
          <w:bCs/>
          <w:sz w:val="28"/>
          <w:rtl/>
        </w:rPr>
        <w:t>תאריך: ____________________________________        קצי</w:t>
      </w:r>
      <w:r>
        <w:rPr>
          <w:rFonts w:ascii="David" w:hAnsi="David" w:hint="cs"/>
          <w:b/>
          <w:bCs/>
          <w:sz w:val="28"/>
          <w:rtl/>
        </w:rPr>
        <w:t>נת</w:t>
      </w:r>
      <w:r w:rsidRPr="00405BC8">
        <w:rPr>
          <w:rFonts w:ascii="David" w:hAnsi="David"/>
          <w:b/>
          <w:bCs/>
          <w:sz w:val="28"/>
          <w:rtl/>
        </w:rPr>
        <w:t xml:space="preserve">        בית           הדין</w:t>
      </w:r>
      <w:bookmarkEnd w:id="2"/>
      <w:bookmarkEnd w:id="3"/>
    </w:p>
    <w:sectPr w:rsidR="002C0946" w:rsidRPr="00405BC8" w:rsidSect="00874C60">
      <w:headerReference w:type="even" r:id="rId9"/>
      <w:headerReference w:type="default" r:id="rId10"/>
      <w:footerReference w:type="default" r:id="rId11"/>
      <w:headerReference w:type="first" r:id="rId12"/>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8FED" w14:textId="77777777" w:rsidR="000E1153" w:rsidRDefault="000E1153" w:rsidP="00804D3E">
      <w:pPr>
        <w:spacing w:line="240" w:lineRule="auto"/>
      </w:pPr>
      <w:r>
        <w:separator/>
      </w:r>
    </w:p>
  </w:endnote>
  <w:endnote w:type="continuationSeparator" w:id="0">
    <w:p w14:paraId="41C6E123" w14:textId="77777777" w:rsidR="000E1153" w:rsidRDefault="000E1153" w:rsidP="00804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altName w:val="Arial"/>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C83A" w14:textId="77777777" w:rsidR="00811229" w:rsidRDefault="00811229" w:rsidP="00811229">
    <w:pPr>
      <w:pStyle w:val="Footer"/>
      <w:jc w:val="center"/>
    </w:pP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3</w:t>
    </w:r>
    <w:r>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1ECA" w14:textId="77777777" w:rsidR="000E1153" w:rsidRDefault="000E1153" w:rsidP="00804D3E">
      <w:pPr>
        <w:spacing w:line="240" w:lineRule="auto"/>
      </w:pPr>
      <w:r>
        <w:separator/>
      </w:r>
    </w:p>
  </w:footnote>
  <w:footnote w:type="continuationSeparator" w:id="0">
    <w:p w14:paraId="0C4DB62D" w14:textId="77777777" w:rsidR="000E1153" w:rsidRDefault="000E1153" w:rsidP="00804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B5A1" w14:textId="209F6EB8" w:rsidR="007F3A76" w:rsidRDefault="00752B93">
    <w:pPr>
      <w:pStyle w:val="Header"/>
    </w:pPr>
    <w:r>
      <w:rPr>
        <w:noProof/>
      </w:rPr>
      <mc:AlternateContent>
        <mc:Choice Requires="wps">
          <w:drawing>
            <wp:anchor distT="0" distB="0" distL="0" distR="0" simplePos="0" relativeHeight="251657728" behindDoc="0" locked="0" layoutInCell="1" allowOverlap="1" wp14:anchorId="72C6EBDC" wp14:editId="1D49506F">
              <wp:simplePos x="0" y="0"/>
              <wp:positionH relativeFrom="page">
                <wp:align>center</wp:align>
              </wp:positionH>
              <wp:positionV relativeFrom="page">
                <wp:align>top</wp:align>
              </wp:positionV>
              <wp:extent cx="450215"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422910"/>
                      </a:xfrm>
                      <a:prstGeom prst="rect">
                        <a:avLst/>
                      </a:prstGeom>
                      <a:noFill/>
                      <a:ln>
                        <a:noFill/>
                      </a:ln>
                    </wps:spPr>
                    <wps:txbx>
                      <w:txbxContent>
                        <w:p w14:paraId="41C29A2C" w14:textId="77777777" w:rsidR="007F3A76" w:rsidRPr="007F3A76" w:rsidRDefault="007F3A76" w:rsidP="007F3A76">
                          <w:pPr>
                            <w:rPr>
                              <w:rFonts w:ascii="Calibri" w:hAnsi="Calibri" w:cs="Calibri"/>
                              <w:noProof/>
                              <w:color w:val="000000"/>
                              <w:sz w:val="20"/>
                              <w:szCs w:val="20"/>
                            </w:rPr>
                          </w:pPr>
                          <w:r w:rsidRPr="007F3A76">
                            <w:rPr>
                              <w:rFonts w:ascii="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C6EBDC" id="_x0000_t202" coordsize="21600,21600" o:spt="202" path="m,l,21600r21600,l21600,xe">
              <v:stroke joinstyle="miter"/>
              <v:path gradientshapeok="t" o:connecttype="rect"/>
            </v:shapetype>
            <v:shape id="Text Box 2" o:spid="_x0000_s1026" type="#_x0000_t202" style="position:absolute;left:0;text-align:left;margin-left:0;margin-top:0;width:35.45pt;height:33.3pt;z-index:25165772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lKkKgIAAFMEAAAOAAAAZHJzL2Uyb0RvYy54bWysVMtu2zAQvBfoPxC8x3ogLhrBcuAkcFHA&#10;SALYQc40RVlCSS5B0pbcr++Skpw07anohV4th/uY2fXitleSnIR1LeiSZrOUEqE5VK0+lPRlt776&#10;SonzTFdMghYlPQtHb5efPy06U4gcGpCVsASDaFd0pqSN96ZIEscboZibgREaL2uwinn8tIeksqzD&#10;6EomeZp+STqwlbHAhXPofRgu6TLGr2vB/VNdO+GJLCnW5uNp47kPZ7JcsOJgmWlaPpbB/qEKxVqN&#10;SS+hHphn5GjbP0KplltwUPsZB5VAXbdcxB6wmyz90M22YUbEXpAcZy40uf8Xlj+eni1pq5LmlGim&#10;UKKd6D25g57kgZ3OuAJBW4Mw36MbVY6dOrMB/sMhJHmHGR44RAc2+tqq8It9EnyIApwvpIcsHJ3X&#10;8zTP5pRwvLrO85ssipK8PTbW+W8CFAlGSS1qGgtgp43zIT0rJkjIpWHdShl1lfo3BwKDJ5Y7VBgK&#10;9/2+H/vcQ3XGNi0MY+IMX7eYc8Ocf2YW5wIbwFn3T3jUErqSwmhR0oD9+Td/wKNceEtJh3NWUo2L&#10;QIn8rlHGMJLRyG7SeYpfdnLvJ0Mf1T3g9Ga4SIZHM+C8nMzagnrFLViFRHjFNMd0JfWTee+Hgcct&#10;4mK1iiCcPsP8Rm8NnwQNJO76V2bNyLRHiR5hGkJWfCB8wAaGnVkdPdIe1QicDkSOVOPkRpHGLQur&#10;8f47ot7+C5a/AAAA//8DAFBLAwQUAAYACAAAACEA6jQQF9oAAAADAQAADwAAAGRycy9kb3ducmV2&#10;LnhtbEyPQU/CQBCF7yb+h82YeJNtSahYuyWEhAM3RPA8dMe22p1pugtUfr2rF71M8vJe3vumWIyu&#10;U2cafCtsIJ0koIgrsS3XBvav64c5KB+QLXbCZOCLPCzK25sCcysXfqHzLtQqlrDP0UATQp9r7auG&#10;HPqJ9MTRe5fBYYhyqLUd8BLLXaenSZJphy3HhQZ7WjVUfe5OzkA7W0pI6bBZf7y5VNLrdjO7bo25&#10;vxuXz6ACjeEvDD/4ER3KyHSUE1uvOgPxkfB7o/eYPIE6GsiyDHRZ6P/s5TcAAAD//wMAUEsBAi0A&#10;FAAGAAgAAAAhALaDOJL+AAAA4QEAABMAAAAAAAAAAAAAAAAAAAAAAFtDb250ZW50X1R5cGVzXS54&#10;bWxQSwECLQAUAAYACAAAACEAOP0h/9YAAACUAQAACwAAAAAAAAAAAAAAAAAvAQAAX3JlbHMvLnJl&#10;bHNQSwECLQAUAAYACAAAACEAOPZSpCoCAABTBAAADgAAAAAAAAAAAAAAAAAuAgAAZHJzL2Uyb0Rv&#10;Yy54bWxQSwECLQAUAAYACAAAACEA6jQQF9oAAAADAQAADwAAAAAAAAAAAAAAAACEBAAAZHJzL2Rv&#10;d25yZXYueG1sUEsFBgAAAAAEAAQA8wAAAIsFAAAAAA==&#10;" filled="f" stroked="f">
              <v:textbox style="mso-fit-shape-to-text:t" inset="0,15pt,0,0">
                <w:txbxContent>
                  <w:p w14:paraId="41C29A2C" w14:textId="77777777" w:rsidR="007F3A76" w:rsidRPr="007F3A76" w:rsidRDefault="007F3A76" w:rsidP="007F3A76">
                    <w:pPr>
                      <w:rPr>
                        <w:rFonts w:ascii="Calibri" w:hAnsi="Calibri" w:cs="Calibri"/>
                        <w:noProof/>
                        <w:color w:val="000000"/>
                        <w:sz w:val="20"/>
                        <w:szCs w:val="20"/>
                      </w:rPr>
                    </w:pPr>
                    <w:r w:rsidRPr="007F3A76">
                      <w:rPr>
                        <w:rFonts w:ascii="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5933" w14:textId="4C93CAC9" w:rsidR="00804D3E" w:rsidRDefault="00874C60" w:rsidP="00874C60">
    <w:pPr>
      <w:pStyle w:val="Header"/>
      <w:rPr>
        <w:rtl/>
      </w:rPr>
    </w:pPr>
    <w:r>
      <w:rPr>
        <w:rFonts w:hint="cs"/>
        <w:rtl/>
      </w:rPr>
      <w:t xml:space="preserve">                                                                </w:t>
    </w:r>
    <w:r w:rsidR="008748E8">
      <w:rPr>
        <w:rFonts w:hint="cs"/>
        <w:rtl/>
      </w:rPr>
      <w:t>ב ל מ " ס</w:t>
    </w:r>
    <w:r>
      <w:rPr>
        <w:rFonts w:hint="cs"/>
        <w:rtl/>
      </w:rPr>
      <w:t xml:space="preserve">                                                       </w:t>
    </w:r>
    <w:r w:rsidR="00804D3E">
      <w:rPr>
        <w:rFonts w:hint="cs"/>
        <w:rtl/>
      </w:rPr>
      <w:t>ע/68/24</w:t>
    </w:r>
  </w:p>
  <w:p w14:paraId="519BDC95" w14:textId="00C8C2F2" w:rsidR="007F3A76" w:rsidRDefault="007F3A76" w:rsidP="00804D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2AE8" w14:textId="0D60363C" w:rsidR="007F3A76" w:rsidRDefault="00752B93">
    <w:pPr>
      <w:pStyle w:val="Header"/>
    </w:pPr>
    <w:r>
      <w:rPr>
        <w:noProof/>
      </w:rPr>
      <mc:AlternateContent>
        <mc:Choice Requires="wps">
          <w:drawing>
            <wp:anchor distT="0" distB="0" distL="0" distR="0" simplePos="0" relativeHeight="251656704" behindDoc="0" locked="0" layoutInCell="1" allowOverlap="1" wp14:anchorId="193FDB09" wp14:editId="1B00EBBB">
              <wp:simplePos x="0" y="0"/>
              <wp:positionH relativeFrom="page">
                <wp:align>center</wp:align>
              </wp:positionH>
              <wp:positionV relativeFrom="page">
                <wp:align>top</wp:align>
              </wp:positionV>
              <wp:extent cx="450215" cy="422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422910"/>
                      </a:xfrm>
                      <a:prstGeom prst="rect">
                        <a:avLst/>
                      </a:prstGeom>
                      <a:noFill/>
                      <a:ln>
                        <a:noFill/>
                      </a:ln>
                    </wps:spPr>
                    <wps:txbx>
                      <w:txbxContent>
                        <w:p w14:paraId="510DA3E2" w14:textId="77777777" w:rsidR="007F3A76" w:rsidRPr="007F3A76" w:rsidRDefault="007F3A76" w:rsidP="007F3A76">
                          <w:pPr>
                            <w:rPr>
                              <w:rFonts w:ascii="Calibri" w:hAnsi="Calibri" w:cs="Calibri"/>
                              <w:noProof/>
                              <w:color w:val="000000"/>
                              <w:sz w:val="20"/>
                              <w:szCs w:val="20"/>
                            </w:rPr>
                          </w:pPr>
                          <w:r w:rsidRPr="007F3A76">
                            <w:rPr>
                              <w:rFonts w:ascii="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3FDB09" id="_x0000_t202" coordsize="21600,21600" o:spt="202" path="m,l,21600r21600,l21600,xe">
              <v:stroke joinstyle="miter"/>
              <v:path gradientshapeok="t" o:connecttype="rect"/>
            </v:shapetype>
            <v:shape id="Text Box 1" o:spid="_x0000_s1027" type="#_x0000_t202" style="position:absolute;left:0;text-align:left;margin-left:0;margin-top:0;width:35.45pt;height:33.3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t/KgIAAFoEAAAOAAAAZHJzL2Uyb0RvYy54bWysVF1v2yAUfZ+0/4B4X2xHzbRacaqsVaZJ&#10;UVspqfpMMMTWgIuAxO5+/S7YTrtuT9Ne8OVyuB/nXLy86bUiZ+F8C6aixSynRBgOdWuOFX3abz59&#10;ocQHZmqmwIiKvghPb1YfPyw7W4o5NKBq4QgGMb7sbEWbEGyZZZ43QjM/AysMHkpwmgXcumNWO9Zh&#10;dK2yeZ5/zjpwtXXAhffovRsO6SrFl1Lw8CClF4GoimJtIa0urYe4ZqslK4+O2ablYxnsH6rQrDWY&#10;9BLqjgVGTq79I5RuuQMPMsw46AykbLlIPWA3Rf6um13DrEi9IDneXmjy/y8svz8/OtLWqB0lhmmU&#10;aC/6QL5CT4rITmd9iaCdRVjo0R2RsVNvt8B/eIRkbzDDBY/oiOml0/GLfRK8iAK8XEiPWTg6rxb5&#10;vFhQwvHoaj6/LpIo2etl63z4JkCTaFTUoaapAHbe+hDTs3KCxFwGNq1SSVdlfnMgMHpSuUOFsfDQ&#10;H/qRgLHdA9Qv2K2DYVq85ZsWU2+ZD4/M4XhgHzjy4QEXqaCrKIwWJQ24n3/zRzyqhqeUdDhuFTX4&#10;HihR3w2qGSczGcV1vshx5yb3YTLMSd8CDjHKhAUlM+KCmkzpQD/jY1jHRHjEDMd0FQ2TeRuGucfH&#10;xMV6nUA4hJaFrdlZPukaudz3z8zZkfCASt3DNIusfMf7gI1Ee7s+BWQ/iRKpHYgcGccBTlqNjy2+&#10;kLf7hHr9Jax+AQAA//8DAFBLAwQUAAYACAAAACEA6jQQF9oAAAADAQAADwAAAGRycy9kb3ducmV2&#10;LnhtbEyPQU/CQBCF7yb+h82YeJNtSahYuyWEhAM3RPA8dMe22p1pugtUfr2rF71M8vJe3vumWIyu&#10;U2cafCtsIJ0koIgrsS3XBvav64c5KB+QLXbCZOCLPCzK25sCcysXfqHzLtQqlrDP0UATQp9r7auG&#10;HPqJ9MTRe5fBYYhyqLUd8BLLXaenSZJphy3HhQZ7WjVUfe5OzkA7W0pI6bBZf7y5VNLrdjO7bo25&#10;vxuXz6ACjeEvDD/4ER3KyHSUE1uvOgPxkfB7o/eYPIE6GsiyDHRZ6P/s5TcAAAD//wMAUEsBAi0A&#10;FAAGAAgAAAAhALaDOJL+AAAA4QEAABMAAAAAAAAAAAAAAAAAAAAAAFtDb250ZW50X1R5cGVzXS54&#10;bWxQSwECLQAUAAYACAAAACEAOP0h/9YAAACUAQAACwAAAAAAAAAAAAAAAAAvAQAAX3JlbHMvLnJl&#10;bHNQSwECLQAUAAYACAAAACEAPc77fyoCAABaBAAADgAAAAAAAAAAAAAAAAAuAgAAZHJzL2Uyb0Rv&#10;Yy54bWxQSwECLQAUAAYACAAAACEA6jQQF9oAAAADAQAADwAAAAAAAAAAAAAAAACEBAAAZHJzL2Rv&#10;d25yZXYueG1sUEsFBgAAAAAEAAQA8wAAAIsFAAAAAA==&#10;" filled="f" stroked="f">
              <v:textbox style="mso-fit-shape-to-text:t" inset="0,15pt,0,0">
                <w:txbxContent>
                  <w:p w14:paraId="510DA3E2" w14:textId="77777777" w:rsidR="007F3A76" w:rsidRPr="007F3A76" w:rsidRDefault="007F3A76" w:rsidP="007F3A76">
                    <w:pPr>
                      <w:rPr>
                        <w:rFonts w:ascii="Calibri" w:hAnsi="Calibri" w:cs="Calibri"/>
                        <w:noProof/>
                        <w:color w:val="000000"/>
                        <w:sz w:val="20"/>
                        <w:szCs w:val="20"/>
                      </w:rPr>
                    </w:pPr>
                    <w:r w:rsidRPr="007F3A76">
                      <w:rPr>
                        <w:rFonts w:ascii="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7AC"/>
    <w:multiLevelType w:val="multilevel"/>
    <w:tmpl w:val="07D49872"/>
    <w:lvl w:ilvl="0">
      <w:start w:val="1"/>
      <w:numFmt w:val="decimal"/>
      <w:suff w:val="space"/>
      <w:lvlText w:val="%1."/>
      <w:lvlJc w:val="left"/>
      <w:pPr>
        <w:ind w:left="0" w:firstLine="0"/>
      </w:pPr>
      <w:rPr>
        <w:rFonts w:ascii="David" w:hAnsi="David" w:cs="David"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DA545F"/>
    <w:multiLevelType w:val="hybridMultilevel"/>
    <w:tmpl w:val="6D083286"/>
    <w:lvl w:ilvl="0" w:tplc="C2B060EC">
      <w:start w:val="1"/>
      <w:numFmt w:val="decimal"/>
      <w:suff w:val="space"/>
      <w:lvlText w:val="%1."/>
      <w:lvlJc w:val="left"/>
      <w:pPr>
        <w:ind w:left="720" w:hanging="360"/>
      </w:pPr>
      <w:rPr>
        <w:rFonts w:ascii="David" w:hAnsi="David"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D"/>
    <w:rsid w:val="00000416"/>
    <w:rsid w:val="00000981"/>
    <w:rsid w:val="00001214"/>
    <w:rsid w:val="00001D0C"/>
    <w:rsid w:val="00002963"/>
    <w:rsid w:val="00002C6A"/>
    <w:rsid w:val="00007763"/>
    <w:rsid w:val="00007AF1"/>
    <w:rsid w:val="00014A6E"/>
    <w:rsid w:val="00024AC8"/>
    <w:rsid w:val="00025F8D"/>
    <w:rsid w:val="00026A1C"/>
    <w:rsid w:val="00026F3D"/>
    <w:rsid w:val="0002790E"/>
    <w:rsid w:val="00030992"/>
    <w:rsid w:val="000323A3"/>
    <w:rsid w:val="000330E9"/>
    <w:rsid w:val="00033AB7"/>
    <w:rsid w:val="00037242"/>
    <w:rsid w:val="000448AB"/>
    <w:rsid w:val="00051828"/>
    <w:rsid w:val="0005577F"/>
    <w:rsid w:val="0006276B"/>
    <w:rsid w:val="0006298C"/>
    <w:rsid w:val="00076E4E"/>
    <w:rsid w:val="0009117C"/>
    <w:rsid w:val="00093250"/>
    <w:rsid w:val="00094767"/>
    <w:rsid w:val="00094B9B"/>
    <w:rsid w:val="0009697C"/>
    <w:rsid w:val="000A2552"/>
    <w:rsid w:val="000A3B96"/>
    <w:rsid w:val="000A6E83"/>
    <w:rsid w:val="000C059A"/>
    <w:rsid w:val="000C536E"/>
    <w:rsid w:val="000C6AC7"/>
    <w:rsid w:val="000D2B33"/>
    <w:rsid w:val="000D5350"/>
    <w:rsid w:val="000E027A"/>
    <w:rsid w:val="000E1153"/>
    <w:rsid w:val="000E2625"/>
    <w:rsid w:val="000E3898"/>
    <w:rsid w:val="000E6B28"/>
    <w:rsid w:val="000F0934"/>
    <w:rsid w:val="000F19A9"/>
    <w:rsid w:val="000F42F3"/>
    <w:rsid w:val="000F6B6D"/>
    <w:rsid w:val="00100A7D"/>
    <w:rsid w:val="00101527"/>
    <w:rsid w:val="00103669"/>
    <w:rsid w:val="00106D10"/>
    <w:rsid w:val="001128FE"/>
    <w:rsid w:val="0011327A"/>
    <w:rsid w:val="0011763E"/>
    <w:rsid w:val="001239B0"/>
    <w:rsid w:val="00123AC3"/>
    <w:rsid w:val="00125571"/>
    <w:rsid w:val="00126779"/>
    <w:rsid w:val="001268DC"/>
    <w:rsid w:val="00127F57"/>
    <w:rsid w:val="001333C5"/>
    <w:rsid w:val="00134C3B"/>
    <w:rsid w:val="00134D16"/>
    <w:rsid w:val="00137C30"/>
    <w:rsid w:val="00140D89"/>
    <w:rsid w:val="00143D80"/>
    <w:rsid w:val="001455DF"/>
    <w:rsid w:val="001478F1"/>
    <w:rsid w:val="0015064E"/>
    <w:rsid w:val="00154166"/>
    <w:rsid w:val="00154A13"/>
    <w:rsid w:val="001555A7"/>
    <w:rsid w:val="00155CDA"/>
    <w:rsid w:val="0016137D"/>
    <w:rsid w:val="00166ACD"/>
    <w:rsid w:val="001672D7"/>
    <w:rsid w:val="00170116"/>
    <w:rsid w:val="0017197B"/>
    <w:rsid w:val="0017355B"/>
    <w:rsid w:val="00174B05"/>
    <w:rsid w:val="00181C4B"/>
    <w:rsid w:val="0019013E"/>
    <w:rsid w:val="00197962"/>
    <w:rsid w:val="001A01B3"/>
    <w:rsid w:val="001A5824"/>
    <w:rsid w:val="001C3AEC"/>
    <w:rsid w:val="001C5ED6"/>
    <w:rsid w:val="001D0B26"/>
    <w:rsid w:val="001D1F3C"/>
    <w:rsid w:val="001D2C12"/>
    <w:rsid w:val="001E3115"/>
    <w:rsid w:val="001E343D"/>
    <w:rsid w:val="001E3B8D"/>
    <w:rsid w:val="001E58CB"/>
    <w:rsid w:val="001F0916"/>
    <w:rsid w:val="001F1A38"/>
    <w:rsid w:val="001F413B"/>
    <w:rsid w:val="001F6188"/>
    <w:rsid w:val="00201531"/>
    <w:rsid w:val="00205CB5"/>
    <w:rsid w:val="00211DC8"/>
    <w:rsid w:val="0022237A"/>
    <w:rsid w:val="00223D58"/>
    <w:rsid w:val="00226125"/>
    <w:rsid w:val="00227D59"/>
    <w:rsid w:val="00235097"/>
    <w:rsid w:val="002421FD"/>
    <w:rsid w:val="00242AFA"/>
    <w:rsid w:val="0025085C"/>
    <w:rsid w:val="00252C63"/>
    <w:rsid w:val="00254226"/>
    <w:rsid w:val="00261972"/>
    <w:rsid w:val="00262979"/>
    <w:rsid w:val="00264F35"/>
    <w:rsid w:val="00267013"/>
    <w:rsid w:val="00272E83"/>
    <w:rsid w:val="00274F6A"/>
    <w:rsid w:val="00291C94"/>
    <w:rsid w:val="00292BDC"/>
    <w:rsid w:val="0029403A"/>
    <w:rsid w:val="0029685C"/>
    <w:rsid w:val="00297B70"/>
    <w:rsid w:val="00297D78"/>
    <w:rsid w:val="002A322B"/>
    <w:rsid w:val="002A77F4"/>
    <w:rsid w:val="002B2680"/>
    <w:rsid w:val="002B282F"/>
    <w:rsid w:val="002B5BEC"/>
    <w:rsid w:val="002C0946"/>
    <w:rsid w:val="002C1585"/>
    <w:rsid w:val="002C2067"/>
    <w:rsid w:val="002C2DEB"/>
    <w:rsid w:val="002D1B3C"/>
    <w:rsid w:val="002D5A2C"/>
    <w:rsid w:val="002D6475"/>
    <w:rsid w:val="002E2C78"/>
    <w:rsid w:val="002F0D76"/>
    <w:rsid w:val="002F14BF"/>
    <w:rsid w:val="002F19F1"/>
    <w:rsid w:val="002F1B79"/>
    <w:rsid w:val="002F1BC2"/>
    <w:rsid w:val="002F1E4E"/>
    <w:rsid w:val="002F23F0"/>
    <w:rsid w:val="00310692"/>
    <w:rsid w:val="003115ED"/>
    <w:rsid w:val="00323E80"/>
    <w:rsid w:val="003244F8"/>
    <w:rsid w:val="00326B93"/>
    <w:rsid w:val="00330D73"/>
    <w:rsid w:val="00333314"/>
    <w:rsid w:val="0033699E"/>
    <w:rsid w:val="0034158D"/>
    <w:rsid w:val="003429DA"/>
    <w:rsid w:val="00351AF3"/>
    <w:rsid w:val="00352526"/>
    <w:rsid w:val="003575A9"/>
    <w:rsid w:val="003619A7"/>
    <w:rsid w:val="00366132"/>
    <w:rsid w:val="00370A9C"/>
    <w:rsid w:val="003719AA"/>
    <w:rsid w:val="0037228F"/>
    <w:rsid w:val="00375A97"/>
    <w:rsid w:val="00376115"/>
    <w:rsid w:val="00380567"/>
    <w:rsid w:val="003809E9"/>
    <w:rsid w:val="003876BD"/>
    <w:rsid w:val="00394343"/>
    <w:rsid w:val="00397FBE"/>
    <w:rsid w:val="003A472B"/>
    <w:rsid w:val="003A4FAB"/>
    <w:rsid w:val="003A615E"/>
    <w:rsid w:val="003B1116"/>
    <w:rsid w:val="003B4648"/>
    <w:rsid w:val="003B6CC0"/>
    <w:rsid w:val="003C2B33"/>
    <w:rsid w:val="003C4097"/>
    <w:rsid w:val="003D3FD4"/>
    <w:rsid w:val="003E1ECD"/>
    <w:rsid w:val="003E251F"/>
    <w:rsid w:val="003E253E"/>
    <w:rsid w:val="003E31B6"/>
    <w:rsid w:val="00400200"/>
    <w:rsid w:val="004006D4"/>
    <w:rsid w:val="00402070"/>
    <w:rsid w:val="00402C52"/>
    <w:rsid w:val="004156E6"/>
    <w:rsid w:val="00415855"/>
    <w:rsid w:val="004161FA"/>
    <w:rsid w:val="00417CCC"/>
    <w:rsid w:val="00424A98"/>
    <w:rsid w:val="0043025A"/>
    <w:rsid w:val="0043233A"/>
    <w:rsid w:val="00433D92"/>
    <w:rsid w:val="00434CDA"/>
    <w:rsid w:val="00436D11"/>
    <w:rsid w:val="00440189"/>
    <w:rsid w:val="00442F75"/>
    <w:rsid w:val="0045023E"/>
    <w:rsid w:val="00453045"/>
    <w:rsid w:val="004607AF"/>
    <w:rsid w:val="00464C52"/>
    <w:rsid w:val="0046685F"/>
    <w:rsid w:val="004712C8"/>
    <w:rsid w:val="00476BA4"/>
    <w:rsid w:val="004818A3"/>
    <w:rsid w:val="0048605B"/>
    <w:rsid w:val="0048643D"/>
    <w:rsid w:val="00490D60"/>
    <w:rsid w:val="0049195C"/>
    <w:rsid w:val="004929A2"/>
    <w:rsid w:val="0049473B"/>
    <w:rsid w:val="004A5561"/>
    <w:rsid w:val="004A62AB"/>
    <w:rsid w:val="004B2714"/>
    <w:rsid w:val="004B3011"/>
    <w:rsid w:val="004B5327"/>
    <w:rsid w:val="004B5C1F"/>
    <w:rsid w:val="004C1A36"/>
    <w:rsid w:val="004C68B8"/>
    <w:rsid w:val="004D4BF6"/>
    <w:rsid w:val="004D4F84"/>
    <w:rsid w:val="004D635F"/>
    <w:rsid w:val="004D74BF"/>
    <w:rsid w:val="004D772A"/>
    <w:rsid w:val="004E11E5"/>
    <w:rsid w:val="004E3BF6"/>
    <w:rsid w:val="004F0BAC"/>
    <w:rsid w:val="00500DC5"/>
    <w:rsid w:val="005054CB"/>
    <w:rsid w:val="005111E2"/>
    <w:rsid w:val="00515297"/>
    <w:rsid w:val="005154FE"/>
    <w:rsid w:val="00521269"/>
    <w:rsid w:val="00526E78"/>
    <w:rsid w:val="00530ABA"/>
    <w:rsid w:val="00531149"/>
    <w:rsid w:val="00531452"/>
    <w:rsid w:val="00532ADD"/>
    <w:rsid w:val="00535B47"/>
    <w:rsid w:val="00535D31"/>
    <w:rsid w:val="00536E17"/>
    <w:rsid w:val="005370A1"/>
    <w:rsid w:val="005430B7"/>
    <w:rsid w:val="0054356A"/>
    <w:rsid w:val="00547533"/>
    <w:rsid w:val="00547F59"/>
    <w:rsid w:val="00553980"/>
    <w:rsid w:val="00553A26"/>
    <w:rsid w:val="00554995"/>
    <w:rsid w:val="00555F87"/>
    <w:rsid w:val="00557865"/>
    <w:rsid w:val="005622FB"/>
    <w:rsid w:val="00570764"/>
    <w:rsid w:val="0057634C"/>
    <w:rsid w:val="00576A03"/>
    <w:rsid w:val="00577D06"/>
    <w:rsid w:val="0058070D"/>
    <w:rsid w:val="00580D49"/>
    <w:rsid w:val="00582940"/>
    <w:rsid w:val="0058396D"/>
    <w:rsid w:val="0058798C"/>
    <w:rsid w:val="00595C06"/>
    <w:rsid w:val="0059668E"/>
    <w:rsid w:val="005A21BC"/>
    <w:rsid w:val="005A22CC"/>
    <w:rsid w:val="005A4F99"/>
    <w:rsid w:val="005A658E"/>
    <w:rsid w:val="005B264B"/>
    <w:rsid w:val="005B3FDB"/>
    <w:rsid w:val="005B7C7F"/>
    <w:rsid w:val="005C3745"/>
    <w:rsid w:val="005C4880"/>
    <w:rsid w:val="005D4532"/>
    <w:rsid w:val="005D594C"/>
    <w:rsid w:val="005D73EC"/>
    <w:rsid w:val="005E3517"/>
    <w:rsid w:val="005E3DC3"/>
    <w:rsid w:val="005F2EDF"/>
    <w:rsid w:val="005F5635"/>
    <w:rsid w:val="00600A26"/>
    <w:rsid w:val="00605B70"/>
    <w:rsid w:val="00611BF1"/>
    <w:rsid w:val="006130A9"/>
    <w:rsid w:val="00614445"/>
    <w:rsid w:val="006164D4"/>
    <w:rsid w:val="0062439C"/>
    <w:rsid w:val="00627E62"/>
    <w:rsid w:val="00634AEA"/>
    <w:rsid w:val="0063665B"/>
    <w:rsid w:val="006510B5"/>
    <w:rsid w:val="00654941"/>
    <w:rsid w:val="00657B19"/>
    <w:rsid w:val="006642DE"/>
    <w:rsid w:val="006647C0"/>
    <w:rsid w:val="00666962"/>
    <w:rsid w:val="00672427"/>
    <w:rsid w:val="0067249F"/>
    <w:rsid w:val="006732F9"/>
    <w:rsid w:val="00674057"/>
    <w:rsid w:val="00675F3D"/>
    <w:rsid w:val="00682A58"/>
    <w:rsid w:val="006838CC"/>
    <w:rsid w:val="00683CE0"/>
    <w:rsid w:val="00687DA5"/>
    <w:rsid w:val="006907BE"/>
    <w:rsid w:val="006A43D6"/>
    <w:rsid w:val="006A5A07"/>
    <w:rsid w:val="006A5A83"/>
    <w:rsid w:val="006B1382"/>
    <w:rsid w:val="006B2837"/>
    <w:rsid w:val="006C074C"/>
    <w:rsid w:val="006C0C5D"/>
    <w:rsid w:val="006C2779"/>
    <w:rsid w:val="006C4E31"/>
    <w:rsid w:val="006C521A"/>
    <w:rsid w:val="006D6F81"/>
    <w:rsid w:val="006E1A72"/>
    <w:rsid w:val="006E5A3B"/>
    <w:rsid w:val="006E5CA5"/>
    <w:rsid w:val="006E6C3D"/>
    <w:rsid w:val="006E77B6"/>
    <w:rsid w:val="0070096B"/>
    <w:rsid w:val="00701CB6"/>
    <w:rsid w:val="00701D04"/>
    <w:rsid w:val="00702CB5"/>
    <w:rsid w:val="00703832"/>
    <w:rsid w:val="007040E4"/>
    <w:rsid w:val="007107E7"/>
    <w:rsid w:val="007163DE"/>
    <w:rsid w:val="007175D4"/>
    <w:rsid w:val="007210BF"/>
    <w:rsid w:val="00722A54"/>
    <w:rsid w:val="00722F0D"/>
    <w:rsid w:val="0072551C"/>
    <w:rsid w:val="007267BE"/>
    <w:rsid w:val="00727A7B"/>
    <w:rsid w:val="007334E7"/>
    <w:rsid w:val="00733BD3"/>
    <w:rsid w:val="00734EC1"/>
    <w:rsid w:val="007416E1"/>
    <w:rsid w:val="007421BF"/>
    <w:rsid w:val="0074224E"/>
    <w:rsid w:val="007456F8"/>
    <w:rsid w:val="00752288"/>
    <w:rsid w:val="00752A9F"/>
    <w:rsid w:val="00752B93"/>
    <w:rsid w:val="00754051"/>
    <w:rsid w:val="00755019"/>
    <w:rsid w:val="0075571B"/>
    <w:rsid w:val="00762B51"/>
    <w:rsid w:val="00765879"/>
    <w:rsid w:val="00770975"/>
    <w:rsid w:val="00773BEB"/>
    <w:rsid w:val="00775191"/>
    <w:rsid w:val="0078279F"/>
    <w:rsid w:val="007828D5"/>
    <w:rsid w:val="007856C3"/>
    <w:rsid w:val="00786159"/>
    <w:rsid w:val="007901E2"/>
    <w:rsid w:val="00793B6E"/>
    <w:rsid w:val="00793DE0"/>
    <w:rsid w:val="007947A0"/>
    <w:rsid w:val="007A1739"/>
    <w:rsid w:val="007A3A08"/>
    <w:rsid w:val="007A54FD"/>
    <w:rsid w:val="007B34B3"/>
    <w:rsid w:val="007B7018"/>
    <w:rsid w:val="007C06EE"/>
    <w:rsid w:val="007C3CC8"/>
    <w:rsid w:val="007C651E"/>
    <w:rsid w:val="007C6CF2"/>
    <w:rsid w:val="007D13B1"/>
    <w:rsid w:val="007D2D07"/>
    <w:rsid w:val="007D33CF"/>
    <w:rsid w:val="007E2EE9"/>
    <w:rsid w:val="007E6603"/>
    <w:rsid w:val="007F0AB6"/>
    <w:rsid w:val="007F238D"/>
    <w:rsid w:val="007F2F42"/>
    <w:rsid w:val="007F3A76"/>
    <w:rsid w:val="007F730C"/>
    <w:rsid w:val="0080163F"/>
    <w:rsid w:val="00804D3E"/>
    <w:rsid w:val="008051EC"/>
    <w:rsid w:val="00811229"/>
    <w:rsid w:val="00814E71"/>
    <w:rsid w:val="008173FA"/>
    <w:rsid w:val="00824287"/>
    <w:rsid w:val="00824EF8"/>
    <w:rsid w:val="008405EB"/>
    <w:rsid w:val="00842A20"/>
    <w:rsid w:val="00843FF7"/>
    <w:rsid w:val="00847046"/>
    <w:rsid w:val="00853D85"/>
    <w:rsid w:val="008555D8"/>
    <w:rsid w:val="00855B85"/>
    <w:rsid w:val="008566BD"/>
    <w:rsid w:val="008608F3"/>
    <w:rsid w:val="00860B1D"/>
    <w:rsid w:val="0086103A"/>
    <w:rsid w:val="008649B9"/>
    <w:rsid w:val="008650CB"/>
    <w:rsid w:val="00867E2F"/>
    <w:rsid w:val="00871445"/>
    <w:rsid w:val="008740D6"/>
    <w:rsid w:val="008748E8"/>
    <w:rsid w:val="00874C60"/>
    <w:rsid w:val="00876EF9"/>
    <w:rsid w:val="0088037A"/>
    <w:rsid w:val="00880768"/>
    <w:rsid w:val="00882594"/>
    <w:rsid w:val="00883541"/>
    <w:rsid w:val="00886BC3"/>
    <w:rsid w:val="00890FE8"/>
    <w:rsid w:val="00893A18"/>
    <w:rsid w:val="00893FA8"/>
    <w:rsid w:val="00897BB8"/>
    <w:rsid w:val="008A25F7"/>
    <w:rsid w:val="008A299C"/>
    <w:rsid w:val="008A2E36"/>
    <w:rsid w:val="008B5429"/>
    <w:rsid w:val="008B6A3E"/>
    <w:rsid w:val="008C0032"/>
    <w:rsid w:val="008C27E8"/>
    <w:rsid w:val="008C2F38"/>
    <w:rsid w:val="008C52BC"/>
    <w:rsid w:val="008C5AE8"/>
    <w:rsid w:val="008D1804"/>
    <w:rsid w:val="008D60CE"/>
    <w:rsid w:val="008D6737"/>
    <w:rsid w:val="008E33A7"/>
    <w:rsid w:val="008E6EAB"/>
    <w:rsid w:val="008F0A20"/>
    <w:rsid w:val="008F246B"/>
    <w:rsid w:val="008F2749"/>
    <w:rsid w:val="008F49A4"/>
    <w:rsid w:val="008F5603"/>
    <w:rsid w:val="008F5C2C"/>
    <w:rsid w:val="009077AB"/>
    <w:rsid w:val="0091292B"/>
    <w:rsid w:val="00914A9E"/>
    <w:rsid w:val="00920DB8"/>
    <w:rsid w:val="00924573"/>
    <w:rsid w:val="00926C72"/>
    <w:rsid w:val="00931744"/>
    <w:rsid w:val="00932F71"/>
    <w:rsid w:val="00935D47"/>
    <w:rsid w:val="0094011E"/>
    <w:rsid w:val="009422BE"/>
    <w:rsid w:val="009438E4"/>
    <w:rsid w:val="00953FA9"/>
    <w:rsid w:val="009546A6"/>
    <w:rsid w:val="00955CCC"/>
    <w:rsid w:val="009569A4"/>
    <w:rsid w:val="00962EEC"/>
    <w:rsid w:val="0096343C"/>
    <w:rsid w:val="0097590B"/>
    <w:rsid w:val="00982447"/>
    <w:rsid w:val="00984096"/>
    <w:rsid w:val="0098595F"/>
    <w:rsid w:val="00990475"/>
    <w:rsid w:val="009916FA"/>
    <w:rsid w:val="00995142"/>
    <w:rsid w:val="009A1736"/>
    <w:rsid w:val="009A36CE"/>
    <w:rsid w:val="009B1064"/>
    <w:rsid w:val="009D4D66"/>
    <w:rsid w:val="009D5014"/>
    <w:rsid w:val="009D57BB"/>
    <w:rsid w:val="009D7314"/>
    <w:rsid w:val="009D7BC1"/>
    <w:rsid w:val="009E4A61"/>
    <w:rsid w:val="009F3243"/>
    <w:rsid w:val="009F380A"/>
    <w:rsid w:val="00A0141C"/>
    <w:rsid w:val="00A019B9"/>
    <w:rsid w:val="00A04B9D"/>
    <w:rsid w:val="00A064C5"/>
    <w:rsid w:val="00A079AF"/>
    <w:rsid w:val="00A07B6B"/>
    <w:rsid w:val="00A21DCF"/>
    <w:rsid w:val="00A2640B"/>
    <w:rsid w:val="00A26642"/>
    <w:rsid w:val="00A267F2"/>
    <w:rsid w:val="00A2680A"/>
    <w:rsid w:val="00A329EF"/>
    <w:rsid w:val="00A36043"/>
    <w:rsid w:val="00A4633B"/>
    <w:rsid w:val="00A532AC"/>
    <w:rsid w:val="00A53BF9"/>
    <w:rsid w:val="00A5481E"/>
    <w:rsid w:val="00A55FDB"/>
    <w:rsid w:val="00A573DA"/>
    <w:rsid w:val="00A62704"/>
    <w:rsid w:val="00A653ED"/>
    <w:rsid w:val="00A67ADA"/>
    <w:rsid w:val="00A71383"/>
    <w:rsid w:val="00A731D3"/>
    <w:rsid w:val="00A73859"/>
    <w:rsid w:val="00A73A79"/>
    <w:rsid w:val="00A8123E"/>
    <w:rsid w:val="00A813C1"/>
    <w:rsid w:val="00A8549F"/>
    <w:rsid w:val="00A869D8"/>
    <w:rsid w:val="00A90A06"/>
    <w:rsid w:val="00A93B87"/>
    <w:rsid w:val="00AA06FE"/>
    <w:rsid w:val="00AA4617"/>
    <w:rsid w:val="00AA6BF6"/>
    <w:rsid w:val="00AA71F9"/>
    <w:rsid w:val="00AA7E82"/>
    <w:rsid w:val="00AB137F"/>
    <w:rsid w:val="00AB5888"/>
    <w:rsid w:val="00AC08A0"/>
    <w:rsid w:val="00AC1061"/>
    <w:rsid w:val="00AC2AB1"/>
    <w:rsid w:val="00AD0095"/>
    <w:rsid w:val="00AD2323"/>
    <w:rsid w:val="00AD7481"/>
    <w:rsid w:val="00AE22E0"/>
    <w:rsid w:val="00AE28BE"/>
    <w:rsid w:val="00AE3045"/>
    <w:rsid w:val="00AE5B97"/>
    <w:rsid w:val="00AF0C9C"/>
    <w:rsid w:val="00AF0F5A"/>
    <w:rsid w:val="00AF1156"/>
    <w:rsid w:val="00AF383C"/>
    <w:rsid w:val="00AF6647"/>
    <w:rsid w:val="00AF7558"/>
    <w:rsid w:val="00B00707"/>
    <w:rsid w:val="00B06DF0"/>
    <w:rsid w:val="00B0701E"/>
    <w:rsid w:val="00B113CA"/>
    <w:rsid w:val="00B12B79"/>
    <w:rsid w:val="00B240FF"/>
    <w:rsid w:val="00B25B48"/>
    <w:rsid w:val="00B30B01"/>
    <w:rsid w:val="00B32B7C"/>
    <w:rsid w:val="00B33258"/>
    <w:rsid w:val="00B33F17"/>
    <w:rsid w:val="00B34F1D"/>
    <w:rsid w:val="00B40FFA"/>
    <w:rsid w:val="00B462C2"/>
    <w:rsid w:val="00B47695"/>
    <w:rsid w:val="00B5517F"/>
    <w:rsid w:val="00B5560E"/>
    <w:rsid w:val="00B577C8"/>
    <w:rsid w:val="00B60065"/>
    <w:rsid w:val="00B608A3"/>
    <w:rsid w:val="00B61ACD"/>
    <w:rsid w:val="00B64623"/>
    <w:rsid w:val="00B66DAE"/>
    <w:rsid w:val="00B67A32"/>
    <w:rsid w:val="00B70EEC"/>
    <w:rsid w:val="00B76903"/>
    <w:rsid w:val="00B825BE"/>
    <w:rsid w:val="00B82B0A"/>
    <w:rsid w:val="00B856C5"/>
    <w:rsid w:val="00B857CB"/>
    <w:rsid w:val="00B87FC9"/>
    <w:rsid w:val="00B9690D"/>
    <w:rsid w:val="00BA1168"/>
    <w:rsid w:val="00BA4700"/>
    <w:rsid w:val="00BA69FA"/>
    <w:rsid w:val="00BA7B12"/>
    <w:rsid w:val="00BB3CE6"/>
    <w:rsid w:val="00BC041C"/>
    <w:rsid w:val="00BC0DDF"/>
    <w:rsid w:val="00BC4AEF"/>
    <w:rsid w:val="00BC6C6F"/>
    <w:rsid w:val="00BD0121"/>
    <w:rsid w:val="00BD0533"/>
    <w:rsid w:val="00BD1835"/>
    <w:rsid w:val="00BD5CF2"/>
    <w:rsid w:val="00BD6540"/>
    <w:rsid w:val="00BE03F3"/>
    <w:rsid w:val="00BE23A3"/>
    <w:rsid w:val="00BE30F4"/>
    <w:rsid w:val="00BE4FB1"/>
    <w:rsid w:val="00BF2E74"/>
    <w:rsid w:val="00BF30EC"/>
    <w:rsid w:val="00BF33A0"/>
    <w:rsid w:val="00BF597A"/>
    <w:rsid w:val="00BF607D"/>
    <w:rsid w:val="00BF74E0"/>
    <w:rsid w:val="00C0004C"/>
    <w:rsid w:val="00C00D28"/>
    <w:rsid w:val="00C02F81"/>
    <w:rsid w:val="00C06470"/>
    <w:rsid w:val="00C064C7"/>
    <w:rsid w:val="00C129B2"/>
    <w:rsid w:val="00C1449B"/>
    <w:rsid w:val="00C171C7"/>
    <w:rsid w:val="00C1769E"/>
    <w:rsid w:val="00C17E2C"/>
    <w:rsid w:val="00C22F8D"/>
    <w:rsid w:val="00C26037"/>
    <w:rsid w:val="00C353CA"/>
    <w:rsid w:val="00C35D88"/>
    <w:rsid w:val="00C41A54"/>
    <w:rsid w:val="00C44F31"/>
    <w:rsid w:val="00C507F7"/>
    <w:rsid w:val="00C52445"/>
    <w:rsid w:val="00C52527"/>
    <w:rsid w:val="00C53321"/>
    <w:rsid w:val="00C53337"/>
    <w:rsid w:val="00C54560"/>
    <w:rsid w:val="00C6044B"/>
    <w:rsid w:val="00C63648"/>
    <w:rsid w:val="00C70856"/>
    <w:rsid w:val="00C771C3"/>
    <w:rsid w:val="00C77422"/>
    <w:rsid w:val="00C7780A"/>
    <w:rsid w:val="00C82002"/>
    <w:rsid w:val="00C84624"/>
    <w:rsid w:val="00C86146"/>
    <w:rsid w:val="00CA2031"/>
    <w:rsid w:val="00CA5572"/>
    <w:rsid w:val="00CA73D9"/>
    <w:rsid w:val="00CB263E"/>
    <w:rsid w:val="00CB6154"/>
    <w:rsid w:val="00CB7291"/>
    <w:rsid w:val="00CC5B18"/>
    <w:rsid w:val="00CC5D45"/>
    <w:rsid w:val="00CC60D7"/>
    <w:rsid w:val="00CC758C"/>
    <w:rsid w:val="00CC7D40"/>
    <w:rsid w:val="00CD0A31"/>
    <w:rsid w:val="00CD10E4"/>
    <w:rsid w:val="00CD1453"/>
    <w:rsid w:val="00CD2353"/>
    <w:rsid w:val="00CD332D"/>
    <w:rsid w:val="00CD3554"/>
    <w:rsid w:val="00CE02F3"/>
    <w:rsid w:val="00CE4F7B"/>
    <w:rsid w:val="00CE6DBC"/>
    <w:rsid w:val="00CE7EEE"/>
    <w:rsid w:val="00CF637F"/>
    <w:rsid w:val="00CF7B5B"/>
    <w:rsid w:val="00D00953"/>
    <w:rsid w:val="00D01A8C"/>
    <w:rsid w:val="00D1052A"/>
    <w:rsid w:val="00D10CE6"/>
    <w:rsid w:val="00D11D9B"/>
    <w:rsid w:val="00D1204B"/>
    <w:rsid w:val="00D156F0"/>
    <w:rsid w:val="00D15947"/>
    <w:rsid w:val="00D15E52"/>
    <w:rsid w:val="00D165CE"/>
    <w:rsid w:val="00D17DF4"/>
    <w:rsid w:val="00D26846"/>
    <w:rsid w:val="00D26BD3"/>
    <w:rsid w:val="00D26C9C"/>
    <w:rsid w:val="00D3172F"/>
    <w:rsid w:val="00D37384"/>
    <w:rsid w:val="00D377D5"/>
    <w:rsid w:val="00D408A1"/>
    <w:rsid w:val="00D41BC2"/>
    <w:rsid w:val="00D42C8A"/>
    <w:rsid w:val="00D45058"/>
    <w:rsid w:val="00D469D3"/>
    <w:rsid w:val="00D5102C"/>
    <w:rsid w:val="00D5113D"/>
    <w:rsid w:val="00D5247A"/>
    <w:rsid w:val="00D55A1E"/>
    <w:rsid w:val="00D57000"/>
    <w:rsid w:val="00D60368"/>
    <w:rsid w:val="00D617D5"/>
    <w:rsid w:val="00D70C51"/>
    <w:rsid w:val="00D711D1"/>
    <w:rsid w:val="00D7303F"/>
    <w:rsid w:val="00D737B0"/>
    <w:rsid w:val="00D74DA3"/>
    <w:rsid w:val="00D75AF3"/>
    <w:rsid w:val="00D76551"/>
    <w:rsid w:val="00D802E7"/>
    <w:rsid w:val="00D87BA7"/>
    <w:rsid w:val="00D87E1E"/>
    <w:rsid w:val="00D90048"/>
    <w:rsid w:val="00D90B40"/>
    <w:rsid w:val="00D90D49"/>
    <w:rsid w:val="00D91994"/>
    <w:rsid w:val="00D93C6E"/>
    <w:rsid w:val="00D958D7"/>
    <w:rsid w:val="00D96BF1"/>
    <w:rsid w:val="00D96D8D"/>
    <w:rsid w:val="00DA3A55"/>
    <w:rsid w:val="00DA55A2"/>
    <w:rsid w:val="00DA6117"/>
    <w:rsid w:val="00DB1A95"/>
    <w:rsid w:val="00DB2433"/>
    <w:rsid w:val="00DC0750"/>
    <w:rsid w:val="00DC494E"/>
    <w:rsid w:val="00DC557A"/>
    <w:rsid w:val="00DD0680"/>
    <w:rsid w:val="00DD4A29"/>
    <w:rsid w:val="00DE08CE"/>
    <w:rsid w:val="00DE2EA3"/>
    <w:rsid w:val="00DE30BE"/>
    <w:rsid w:val="00DF1C77"/>
    <w:rsid w:val="00DF30D3"/>
    <w:rsid w:val="00DF3FBE"/>
    <w:rsid w:val="00DF4990"/>
    <w:rsid w:val="00DF61E6"/>
    <w:rsid w:val="00E01E7C"/>
    <w:rsid w:val="00E02895"/>
    <w:rsid w:val="00E10EF7"/>
    <w:rsid w:val="00E10FB1"/>
    <w:rsid w:val="00E11428"/>
    <w:rsid w:val="00E11732"/>
    <w:rsid w:val="00E165B0"/>
    <w:rsid w:val="00E2183B"/>
    <w:rsid w:val="00E23CC4"/>
    <w:rsid w:val="00E25697"/>
    <w:rsid w:val="00E34EF9"/>
    <w:rsid w:val="00E35832"/>
    <w:rsid w:val="00E40A9C"/>
    <w:rsid w:val="00E427DC"/>
    <w:rsid w:val="00E609AF"/>
    <w:rsid w:val="00E62156"/>
    <w:rsid w:val="00E6278C"/>
    <w:rsid w:val="00E63CAB"/>
    <w:rsid w:val="00E76275"/>
    <w:rsid w:val="00E7640E"/>
    <w:rsid w:val="00E83898"/>
    <w:rsid w:val="00E86938"/>
    <w:rsid w:val="00E90855"/>
    <w:rsid w:val="00E9320A"/>
    <w:rsid w:val="00EA0977"/>
    <w:rsid w:val="00EA7218"/>
    <w:rsid w:val="00EA776E"/>
    <w:rsid w:val="00EB1B4F"/>
    <w:rsid w:val="00EB1E2B"/>
    <w:rsid w:val="00EB62FA"/>
    <w:rsid w:val="00EC035E"/>
    <w:rsid w:val="00EC19A8"/>
    <w:rsid w:val="00EC4E48"/>
    <w:rsid w:val="00EC78C8"/>
    <w:rsid w:val="00ED2D61"/>
    <w:rsid w:val="00ED43EA"/>
    <w:rsid w:val="00ED696B"/>
    <w:rsid w:val="00ED7F92"/>
    <w:rsid w:val="00EE7F51"/>
    <w:rsid w:val="00EF01CA"/>
    <w:rsid w:val="00EF070C"/>
    <w:rsid w:val="00EF0E2A"/>
    <w:rsid w:val="00EF2739"/>
    <w:rsid w:val="00EF31FB"/>
    <w:rsid w:val="00EF33CF"/>
    <w:rsid w:val="00EF52B1"/>
    <w:rsid w:val="00EF6A6D"/>
    <w:rsid w:val="00F0199D"/>
    <w:rsid w:val="00F11A24"/>
    <w:rsid w:val="00F17662"/>
    <w:rsid w:val="00F225CA"/>
    <w:rsid w:val="00F266A5"/>
    <w:rsid w:val="00F30A0E"/>
    <w:rsid w:val="00F41C19"/>
    <w:rsid w:val="00F4635B"/>
    <w:rsid w:val="00F60A4C"/>
    <w:rsid w:val="00F62455"/>
    <w:rsid w:val="00F62B1A"/>
    <w:rsid w:val="00F62E1D"/>
    <w:rsid w:val="00F7198A"/>
    <w:rsid w:val="00F7299F"/>
    <w:rsid w:val="00F73EC4"/>
    <w:rsid w:val="00F76837"/>
    <w:rsid w:val="00F86803"/>
    <w:rsid w:val="00F918E7"/>
    <w:rsid w:val="00F9199F"/>
    <w:rsid w:val="00F9362B"/>
    <w:rsid w:val="00FA40EB"/>
    <w:rsid w:val="00FA61BE"/>
    <w:rsid w:val="00FA6EBD"/>
    <w:rsid w:val="00FA7D3A"/>
    <w:rsid w:val="00FB0D5A"/>
    <w:rsid w:val="00FB1A54"/>
    <w:rsid w:val="00FB1F7D"/>
    <w:rsid w:val="00FB35E2"/>
    <w:rsid w:val="00FB479F"/>
    <w:rsid w:val="00FB52D7"/>
    <w:rsid w:val="00FB6282"/>
    <w:rsid w:val="00FB6A6F"/>
    <w:rsid w:val="00FC2267"/>
    <w:rsid w:val="00FC39ED"/>
    <w:rsid w:val="00FC6DA0"/>
    <w:rsid w:val="00FD496A"/>
    <w:rsid w:val="00FE47D6"/>
    <w:rsid w:val="00FF11A3"/>
    <w:rsid w:val="00FF3202"/>
    <w:rsid w:val="00FF337F"/>
    <w:rsid w:val="00FF3AAA"/>
    <w:rsid w:val="00FF6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05CB"/>
  <w15:chartTrackingRefBased/>
  <w15:docId w15:val="{62E8F21B-563F-4C8B-BACC-5FB99EB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A3"/>
    <w:pPr>
      <w:bidi/>
      <w:spacing w:line="360" w:lineRule="auto"/>
      <w:jc w:val="both"/>
    </w:pPr>
    <w:rPr>
      <w:rFonts w:ascii="Times New Roman" w:hAnsi="Times New Roman" w:cs="Davi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804D3E"/>
  </w:style>
  <w:style w:type="paragraph" w:styleId="Header">
    <w:name w:val="header"/>
    <w:basedOn w:val="Normal"/>
    <w:link w:val="HeaderChar"/>
    <w:uiPriority w:val="99"/>
    <w:unhideWhenUsed/>
    <w:rsid w:val="00804D3E"/>
    <w:pPr>
      <w:tabs>
        <w:tab w:val="center" w:pos="4153"/>
        <w:tab w:val="right" w:pos="8306"/>
      </w:tabs>
      <w:spacing w:line="240" w:lineRule="auto"/>
    </w:pPr>
  </w:style>
  <w:style w:type="character" w:customStyle="1" w:styleId="HeaderChar">
    <w:name w:val="Header Char"/>
    <w:link w:val="Header"/>
    <w:uiPriority w:val="99"/>
    <w:rsid w:val="00804D3E"/>
    <w:rPr>
      <w:rFonts w:ascii="Times New Roman" w:hAnsi="Times New Roman" w:cs="David"/>
      <w:sz w:val="24"/>
      <w:szCs w:val="28"/>
    </w:rPr>
  </w:style>
  <w:style w:type="paragraph" w:styleId="Footer">
    <w:name w:val="footer"/>
    <w:basedOn w:val="Normal"/>
    <w:link w:val="FooterChar"/>
    <w:uiPriority w:val="99"/>
    <w:unhideWhenUsed/>
    <w:rsid w:val="00804D3E"/>
    <w:pPr>
      <w:tabs>
        <w:tab w:val="center" w:pos="4153"/>
        <w:tab w:val="right" w:pos="8306"/>
      </w:tabs>
      <w:spacing w:line="240" w:lineRule="auto"/>
    </w:pPr>
  </w:style>
  <w:style w:type="character" w:customStyle="1" w:styleId="FooterChar">
    <w:name w:val="Footer Char"/>
    <w:link w:val="Footer"/>
    <w:uiPriority w:val="99"/>
    <w:rsid w:val="00804D3E"/>
    <w:rPr>
      <w:rFonts w:ascii="Times New Roman" w:hAnsi="Times New Roman" w:cs="David"/>
      <w:sz w:val="24"/>
      <w:szCs w:val="28"/>
    </w:rPr>
  </w:style>
  <w:style w:type="character" w:customStyle="1" w:styleId="ListParagraphChar1">
    <w:name w:val="List Paragraph Char1"/>
    <w:link w:val="ListParagraph"/>
    <w:uiPriority w:val="34"/>
    <w:locked/>
    <w:rsid w:val="008C5AE8"/>
    <w:rPr>
      <w:rFonts w:ascii="Times New Roman" w:hAnsi="Times New Roman" w:cs="David"/>
      <w:sz w:val="24"/>
      <w:szCs w:val="28"/>
    </w:rPr>
  </w:style>
  <w:style w:type="character" w:customStyle="1" w:styleId="ListParagraphChar">
    <w:name w:val="List Paragraph Char"/>
    <w:uiPriority w:val="34"/>
    <w:rsid w:val="001128FE"/>
  </w:style>
  <w:style w:type="character" w:styleId="Hyperlink">
    <w:name w:val="Hyperlink"/>
    <w:uiPriority w:val="99"/>
    <w:unhideWhenUsed/>
    <w:rsid w:val="00F73EC4"/>
    <w:rPr>
      <w:color w:val="0563C1"/>
      <w:u w:val="single"/>
    </w:rPr>
  </w:style>
  <w:style w:type="character" w:styleId="UnresolvedMention">
    <w:name w:val="Unresolved Mention"/>
    <w:uiPriority w:val="99"/>
    <w:semiHidden/>
    <w:unhideWhenUsed/>
    <w:rsid w:val="00F73EC4"/>
    <w:rPr>
      <w:color w:val="605E5C"/>
      <w:shd w:val="clear" w:color="auto" w:fill="E1DFDD"/>
    </w:rPr>
  </w:style>
  <w:style w:type="paragraph" w:styleId="Revision">
    <w:name w:val="Revision"/>
    <w:hidden/>
    <w:uiPriority w:val="99"/>
    <w:semiHidden/>
    <w:rsid w:val="00675F3D"/>
    <w:rPr>
      <w:rFonts w:ascii="Times New Roman" w:hAnsi="Times New Roman" w:cs="David"/>
      <w:sz w:val="24"/>
      <w:szCs w:val="28"/>
    </w:rPr>
  </w:style>
  <w:style w:type="character" w:styleId="CommentReference">
    <w:name w:val="annotation reference"/>
    <w:uiPriority w:val="99"/>
    <w:semiHidden/>
    <w:unhideWhenUsed/>
    <w:rsid w:val="00E34EF9"/>
    <w:rPr>
      <w:sz w:val="16"/>
      <w:szCs w:val="16"/>
    </w:rPr>
  </w:style>
  <w:style w:type="paragraph" w:styleId="CommentText">
    <w:name w:val="annotation text"/>
    <w:basedOn w:val="Normal"/>
    <w:link w:val="CommentTextChar"/>
    <w:uiPriority w:val="99"/>
    <w:semiHidden/>
    <w:unhideWhenUsed/>
    <w:rsid w:val="00E34EF9"/>
    <w:rPr>
      <w:sz w:val="20"/>
      <w:szCs w:val="20"/>
    </w:rPr>
  </w:style>
  <w:style w:type="character" w:customStyle="1" w:styleId="CommentTextChar">
    <w:name w:val="Comment Text Char"/>
    <w:link w:val="CommentText"/>
    <w:uiPriority w:val="99"/>
    <w:semiHidden/>
    <w:rsid w:val="00E34EF9"/>
    <w:rPr>
      <w:rFonts w:ascii="Times New Roman" w:hAnsi="Times New Roman" w:cs="David"/>
    </w:rPr>
  </w:style>
  <w:style w:type="paragraph" w:styleId="CommentSubject">
    <w:name w:val="annotation subject"/>
    <w:basedOn w:val="CommentText"/>
    <w:next w:val="CommentText"/>
    <w:link w:val="CommentSubjectChar"/>
    <w:uiPriority w:val="99"/>
    <w:semiHidden/>
    <w:unhideWhenUsed/>
    <w:rsid w:val="00E34EF9"/>
    <w:rPr>
      <w:b/>
      <w:bCs/>
    </w:rPr>
  </w:style>
  <w:style w:type="character" w:customStyle="1" w:styleId="CommentSubjectChar">
    <w:name w:val="Comment Subject Char"/>
    <w:link w:val="CommentSubject"/>
    <w:uiPriority w:val="99"/>
    <w:semiHidden/>
    <w:rsid w:val="00E34EF9"/>
    <w:rPr>
      <w:rFonts w:ascii="Times New Roman" w:hAnsi="Times New Roman"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7921">
      <w:bodyDiv w:val="1"/>
      <w:marLeft w:val="0"/>
      <w:marRight w:val="0"/>
      <w:marTop w:val="0"/>
      <w:marBottom w:val="0"/>
      <w:divBdr>
        <w:top w:val="none" w:sz="0" w:space="0" w:color="auto"/>
        <w:left w:val="none" w:sz="0" w:space="0" w:color="auto"/>
        <w:bottom w:val="none" w:sz="0" w:space="0" w:color="auto"/>
        <w:right w:val="none" w:sz="0" w:space="0" w:color="auto"/>
      </w:divBdr>
    </w:div>
    <w:div w:id="19776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4918</Words>
  <Characters>24595</Characters>
  <Application>Microsoft Office Word</Application>
  <DocSecurity>0</DocSecurity>
  <Lines>204</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גולדשמידט</dc:creator>
  <cp:keywords/>
  <dc:description/>
  <cp:lastModifiedBy>ארבל דו גלאון - בית הדין לערעורים/מש"ק משפט</cp:lastModifiedBy>
  <cp:revision>8</cp:revision>
  <cp:lastPrinted>2025-02-20T11:02:00Z</cp:lastPrinted>
  <dcterms:created xsi:type="dcterms:W3CDTF">2025-02-20T10:34:00Z</dcterms:created>
  <dcterms:modified xsi:type="dcterms:W3CDTF">2025-02-23T07:59:00Z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111c5ae5,4d45729c,507ac7d7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2025-01-23T14:43:31Z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6a2e3f0f-67fa-498d-b3e8-3f39e2912a1f</vt:lpwstr>
  </property>
  <property fmtid="{D5CDD505-2E9C-101B-9397-08002B2CF9AE}" pid="11" name="MSIP_Label_701b9bfc-c426-492e-a46c-1a922d5fe54b_ContentBits">
    <vt:lpwstr>1</vt:lpwstr>
  </property>
</Properties>
</file>