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F4AD1" w14:textId="77777777" w:rsidR="00D53AC9" w:rsidRDefault="00D53AC9" w:rsidP="00D53AC9">
      <w:pPr>
        <w:spacing w:after="0" w:line="24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  <w:r w:rsidRPr="005733BA">
        <w:rPr>
          <w:rFonts w:ascii="David" w:eastAsia="Calibri" w:hAnsi="David" w:cs="David"/>
          <w:b/>
          <w:bCs/>
          <w:sz w:val="32"/>
          <w:szCs w:val="32"/>
          <w:rtl/>
        </w:rPr>
        <w:t>צבא הגנה לישראל</w:t>
      </w:r>
    </w:p>
    <w:p w14:paraId="1836145C" w14:textId="77777777" w:rsidR="00D53AC9" w:rsidRPr="005733BA" w:rsidRDefault="00D53AC9" w:rsidP="00D53AC9">
      <w:pPr>
        <w:spacing w:after="0" w:line="24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</w:p>
    <w:p w14:paraId="6DB7DE7E" w14:textId="77777777" w:rsidR="00D53AC9" w:rsidRDefault="00D53AC9" w:rsidP="00D53AC9">
      <w:pPr>
        <w:spacing w:after="0" w:line="24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  <w:r w:rsidRPr="00986719">
        <w:rPr>
          <w:rFonts w:ascii="David" w:eastAsia="Calibri" w:hAnsi="David" w:cs="David"/>
          <w:b/>
          <w:bCs/>
          <w:sz w:val="32"/>
          <w:szCs w:val="32"/>
          <w:rtl/>
        </w:rPr>
        <w:t>חוק תכנון ערים, כפרים ובנינים, מס' 79 לשנת 1</w:t>
      </w:r>
      <w:r>
        <w:rPr>
          <w:rFonts w:ascii="David" w:eastAsia="Calibri" w:hAnsi="David" w:cs="David" w:hint="cs"/>
          <w:b/>
          <w:bCs/>
          <w:sz w:val="32"/>
          <w:szCs w:val="32"/>
          <w:rtl/>
        </w:rPr>
        <w:t>966</w:t>
      </w:r>
    </w:p>
    <w:p w14:paraId="41DF7625" w14:textId="77777777" w:rsidR="00D53AC9" w:rsidRPr="005733BA" w:rsidRDefault="00D53AC9" w:rsidP="00D53AC9">
      <w:pPr>
        <w:spacing w:after="0" w:line="24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</w:p>
    <w:p w14:paraId="34C43259" w14:textId="77777777" w:rsidR="00D53AC9" w:rsidRDefault="00D53AC9" w:rsidP="00C20FF8">
      <w:pPr>
        <w:spacing w:after="0" w:line="240" w:lineRule="auto"/>
        <w:jc w:val="center"/>
        <w:rPr>
          <w:rFonts w:ascii="David" w:eastAsia="Calibri" w:hAnsi="David" w:cs="David"/>
          <w:sz w:val="32"/>
          <w:szCs w:val="32"/>
          <w:rtl/>
        </w:rPr>
      </w:pPr>
      <w:bookmarkStart w:id="0" w:name="_GoBack"/>
      <w:r w:rsidRPr="00986719">
        <w:rPr>
          <w:rFonts w:ascii="David" w:eastAsia="Calibri" w:hAnsi="David" w:cs="David"/>
          <w:b/>
          <w:bCs/>
          <w:sz w:val="32"/>
          <w:szCs w:val="32"/>
          <w:rtl/>
        </w:rPr>
        <w:t xml:space="preserve">תקנות </w:t>
      </w:r>
      <w:r w:rsidR="00C20FF8">
        <w:rPr>
          <w:rFonts w:ascii="David" w:eastAsia="Calibri" w:hAnsi="David" w:cs="David" w:hint="cs"/>
          <w:b/>
          <w:bCs/>
          <w:sz w:val="32"/>
          <w:szCs w:val="32"/>
          <w:rtl/>
        </w:rPr>
        <w:t xml:space="preserve">תכנון ערים כפרים ובניינים (פטור מתכנית ומהיתר להצבת </w:t>
      </w:r>
      <w:proofErr w:type="spellStart"/>
      <w:r w:rsidR="00C20FF8">
        <w:rPr>
          <w:rFonts w:ascii="David" w:eastAsia="Calibri" w:hAnsi="David" w:cs="David" w:hint="cs"/>
          <w:b/>
          <w:bCs/>
          <w:sz w:val="32"/>
          <w:szCs w:val="32"/>
          <w:rtl/>
        </w:rPr>
        <w:t>מיגונית</w:t>
      </w:r>
      <w:proofErr w:type="spellEnd"/>
      <w:r w:rsidR="00C20FF8">
        <w:rPr>
          <w:rFonts w:ascii="David" w:eastAsia="Calibri" w:hAnsi="David" w:cs="David" w:hint="cs"/>
          <w:b/>
          <w:bCs/>
          <w:sz w:val="32"/>
          <w:szCs w:val="32"/>
          <w:rtl/>
        </w:rPr>
        <w:t xml:space="preserve"> ולשימוש בה) (הוראת שעה) (תיקון) (יהודה ושומרון), התשפ"ה-2024</w:t>
      </w:r>
    </w:p>
    <w:bookmarkEnd w:id="0"/>
    <w:p w14:paraId="65CC500E" w14:textId="77777777" w:rsidR="00D53AC9" w:rsidRDefault="00D53AC9" w:rsidP="00D53AC9">
      <w:pPr>
        <w:spacing w:after="0" w:line="240" w:lineRule="auto"/>
        <w:jc w:val="center"/>
        <w:rPr>
          <w:rFonts w:ascii="David" w:eastAsia="Calibri" w:hAnsi="David" w:cs="David"/>
          <w:sz w:val="32"/>
          <w:szCs w:val="32"/>
          <w:rtl/>
        </w:rPr>
      </w:pPr>
    </w:p>
    <w:p w14:paraId="6A280D1D" w14:textId="77777777" w:rsidR="00D53AC9" w:rsidRPr="005733BA" w:rsidRDefault="00D53AC9" w:rsidP="00D53AC9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</w:p>
    <w:p w14:paraId="1D8BFE2F" w14:textId="77777777" w:rsidR="00D53AC9" w:rsidRPr="00D53AC9" w:rsidRDefault="00D53AC9" w:rsidP="00C20FF8">
      <w:pPr>
        <w:pStyle w:val="a5"/>
        <w:spacing w:line="360" w:lineRule="auto"/>
        <w:jc w:val="both"/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</w:pP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>בתוקף סמכותי</w:t>
      </w:r>
      <w:r w:rsidRPr="00D53AC9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 xml:space="preserve"> כסגן ראש המנהל האזרחי לאזור יהודה ושומרון לעניינים אזרחיים,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 </w:t>
      </w:r>
      <w:r w:rsidRPr="00D53AC9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לפי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 סעי</w:t>
      </w:r>
      <w:r w:rsidR="00C20FF8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פים 34ב ו-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>67 לחוק תכנון ערים, כפרים ובנינים, מס' 79 לשנת 1966</w:t>
      </w:r>
      <w:r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 xml:space="preserve">, </w:t>
      </w:r>
      <w:r w:rsidRPr="00D53AC9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ויתר סמכויותיי לפי כל דין או תחיקת בטחון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, </w:t>
      </w:r>
      <w:r w:rsidRPr="00D53AC9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ולאחר שנועצתי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 </w:t>
      </w:r>
      <w:r w:rsidRPr="00D53AC9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ב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מועצת התכנון העליונה, </w:t>
      </w:r>
      <w:r w:rsidRPr="00D53AC9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אני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 </w:t>
      </w:r>
      <w:r w:rsidRPr="00D53AC9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מתקן בזה לאמור</w:t>
      </w:r>
      <w:r w:rsidRPr="00D53AC9">
        <w:rPr>
          <w:rFonts w:ascii="David" w:eastAsia="Calibri" w:hAnsi="David"/>
          <w:kern w:val="2"/>
          <w:sz w:val="24"/>
          <w:szCs w:val="24"/>
          <w:lang w:eastAsia="en-US"/>
          <w14:ligatures w14:val="standardContextual"/>
        </w:rPr>
        <w:t>:</w:t>
      </w:r>
    </w:p>
    <w:p w14:paraId="1EA31317" w14:textId="77777777" w:rsidR="00D53AC9" w:rsidRPr="00D53AC9" w:rsidRDefault="00D53AC9" w:rsidP="00D53AC9">
      <w:pPr>
        <w:spacing w:after="0" w:line="276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D53AC9">
        <w:rPr>
          <w:rFonts w:ascii="David" w:eastAsia="Calibri" w:hAnsi="David" w:cs="David"/>
          <w:sz w:val="24"/>
          <w:szCs w:val="24"/>
          <w:rtl/>
        </w:rPr>
        <w:t xml:space="preserve">                              </w:t>
      </w:r>
    </w:p>
    <w:tbl>
      <w:tblPr>
        <w:bidiVisual/>
        <w:tblW w:w="9097" w:type="dxa"/>
        <w:tblLayout w:type="fixed"/>
        <w:tblLook w:val="0000" w:firstRow="0" w:lastRow="0" w:firstColumn="0" w:lastColumn="0" w:noHBand="0" w:noVBand="0"/>
      </w:tblPr>
      <w:tblGrid>
        <w:gridCol w:w="1018"/>
        <w:gridCol w:w="561"/>
        <w:gridCol w:w="7518"/>
      </w:tblGrid>
      <w:tr w:rsidR="00D53AC9" w:rsidRPr="00D53AC9" w14:paraId="5045D657" w14:textId="77777777" w:rsidTr="007E1DF6">
        <w:trPr>
          <w:trHeight w:val="227"/>
        </w:trPr>
        <w:tc>
          <w:tcPr>
            <w:tcW w:w="1018" w:type="dxa"/>
          </w:tcPr>
          <w:p w14:paraId="71200DCD" w14:textId="77777777" w:rsidR="00D53AC9" w:rsidRPr="00D53AC9" w:rsidRDefault="00D53AC9" w:rsidP="00C20FF8">
            <w:pPr>
              <w:spacing w:after="0"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eastAsia"/>
                <w:b/>
                <w:bCs/>
                <w:sz w:val="24"/>
                <w:szCs w:val="24"/>
                <w:rtl/>
              </w:rPr>
              <w:t>תיקון</w:t>
            </w:r>
            <w:r w:rsidRPr="00D53AC9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 xml:space="preserve">תקנה </w:t>
            </w:r>
            <w:r w:rsidR="00C20FF8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3(ה)</w:t>
            </w:r>
          </w:p>
        </w:tc>
        <w:tc>
          <w:tcPr>
            <w:tcW w:w="561" w:type="dxa"/>
          </w:tcPr>
          <w:p w14:paraId="75BE775E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1.</w:t>
            </w:r>
          </w:p>
        </w:tc>
        <w:tc>
          <w:tcPr>
            <w:tcW w:w="7518" w:type="dxa"/>
          </w:tcPr>
          <w:p w14:paraId="2A739C12" w14:textId="77777777" w:rsidR="00D53AC9" w:rsidRDefault="00C20FF8" w:rsidP="00C20FF8">
            <w:pPr>
              <w:spacing w:after="0" w:line="360" w:lineRule="auto"/>
              <w:jc w:val="both"/>
              <w:rPr>
                <w:rFonts w:ascii="David" w:eastAsia="Calibri" w:hAnsi="David" w:cs="David"/>
                <w:sz w:val="24"/>
                <w:szCs w:val="24"/>
              </w:rPr>
            </w:pP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בתקנה 3 לתקנות ערים כפרים ובניינים (פטור מתכנית ומהיתר להצבת </w:t>
            </w:r>
            <w:proofErr w:type="spellStart"/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מיגונית</w:t>
            </w:r>
            <w:proofErr w:type="spellEnd"/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 ולשימוש בה) (הוראת שעה) (יהודה ושומרון) התשפ"א-2021 (להלן </w:t>
            </w:r>
            <w:r>
              <w:rPr>
                <w:rFonts w:ascii="David" w:eastAsia="Calibri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 התקנות העיקריות), בסעיף קטן (ה), במקום: "6 בינואר 2025" יבוא: "30 בנובמבר 2025".</w:t>
            </w:r>
          </w:p>
          <w:p w14:paraId="26F641C4" w14:textId="77777777" w:rsidR="00D441B5" w:rsidRPr="00D441B5" w:rsidRDefault="00D441B5" w:rsidP="00C20FF8">
            <w:pPr>
              <w:spacing w:after="0" w:line="36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C20FF8" w:rsidRPr="00D53AC9" w14:paraId="2BD9D828" w14:textId="77777777" w:rsidTr="007E1DF6">
        <w:trPr>
          <w:trHeight w:val="227"/>
        </w:trPr>
        <w:tc>
          <w:tcPr>
            <w:tcW w:w="1018" w:type="dxa"/>
          </w:tcPr>
          <w:p w14:paraId="223CB527" w14:textId="77777777" w:rsidR="00C20FF8" w:rsidRPr="00D53AC9" w:rsidRDefault="00C20FF8" w:rsidP="00C20FF8">
            <w:pPr>
              <w:spacing w:after="0"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תיקון תקנה 5</w:t>
            </w:r>
          </w:p>
        </w:tc>
        <w:tc>
          <w:tcPr>
            <w:tcW w:w="561" w:type="dxa"/>
          </w:tcPr>
          <w:p w14:paraId="0DFE6214" w14:textId="77777777" w:rsidR="00C20FF8" w:rsidRPr="00D53AC9" w:rsidRDefault="00C20FF8" w:rsidP="007E1DF6">
            <w:pPr>
              <w:spacing w:after="0" w:line="276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2.</w:t>
            </w:r>
          </w:p>
        </w:tc>
        <w:tc>
          <w:tcPr>
            <w:tcW w:w="7518" w:type="dxa"/>
          </w:tcPr>
          <w:p w14:paraId="730542A0" w14:textId="77777777" w:rsidR="00C20FF8" w:rsidRDefault="00C20FF8" w:rsidP="00C20FF8">
            <w:pPr>
              <w:spacing w:after="0" w:line="36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בתקנה 5 לתקנות העיקריות, במקום: "6 בינואר 2025", יבוא: "30 בנובמבר 2025".</w:t>
            </w:r>
          </w:p>
        </w:tc>
      </w:tr>
      <w:tr w:rsidR="00D53AC9" w:rsidRPr="00D53AC9" w14:paraId="7A2290BC" w14:textId="77777777" w:rsidTr="007E1DF6">
        <w:trPr>
          <w:trHeight w:val="227"/>
        </w:trPr>
        <w:tc>
          <w:tcPr>
            <w:tcW w:w="1018" w:type="dxa"/>
          </w:tcPr>
          <w:p w14:paraId="5F463CE3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" w:type="dxa"/>
          </w:tcPr>
          <w:p w14:paraId="249ABFCF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518" w:type="dxa"/>
          </w:tcPr>
          <w:p w14:paraId="5FBD3EE4" w14:textId="77777777" w:rsidR="00D53AC9" w:rsidRPr="00D53AC9" w:rsidRDefault="00D53AC9" w:rsidP="007E1DF6">
            <w:pPr>
              <w:spacing w:after="0" w:line="276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D53AC9" w:rsidRPr="00D53AC9" w14:paraId="765CE03B" w14:textId="77777777" w:rsidTr="007E1DF6">
        <w:trPr>
          <w:trHeight w:val="227"/>
        </w:trPr>
        <w:tc>
          <w:tcPr>
            <w:tcW w:w="1018" w:type="dxa"/>
          </w:tcPr>
          <w:p w14:paraId="1B176952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eastAsia"/>
                <w:b/>
                <w:bCs/>
                <w:sz w:val="24"/>
                <w:szCs w:val="24"/>
                <w:rtl/>
              </w:rPr>
              <w:t>תחיל</w:t>
            </w:r>
            <w:r w:rsidRPr="00D53AC9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561" w:type="dxa"/>
          </w:tcPr>
          <w:p w14:paraId="6C302D5A" w14:textId="77777777" w:rsidR="00D53AC9" w:rsidRPr="00D53AC9" w:rsidRDefault="00C20FF8" w:rsidP="007E1DF6">
            <w:pPr>
              <w:spacing w:after="0" w:line="276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3.</w:t>
            </w:r>
          </w:p>
        </w:tc>
        <w:tc>
          <w:tcPr>
            <w:tcW w:w="7518" w:type="dxa"/>
          </w:tcPr>
          <w:p w14:paraId="0F48C93D" w14:textId="77777777" w:rsidR="00D53AC9" w:rsidRPr="00D53AC9" w:rsidRDefault="00D53AC9" w:rsidP="00D53AC9">
            <w:pPr>
              <w:spacing w:after="0" w:line="36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eastAsia"/>
                <w:sz w:val="24"/>
                <w:szCs w:val="24"/>
                <w:rtl/>
              </w:rPr>
              <w:t>תחילת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eastAsia"/>
                <w:sz w:val="24"/>
                <w:szCs w:val="24"/>
                <w:rtl/>
              </w:rPr>
              <w:t>תוקפן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eastAsia"/>
                <w:sz w:val="24"/>
                <w:szCs w:val="24"/>
                <w:rtl/>
              </w:rPr>
              <w:t>של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eastAsia"/>
                <w:sz w:val="24"/>
                <w:szCs w:val="24"/>
                <w:rtl/>
              </w:rPr>
              <w:t>תקנות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eastAsia"/>
                <w:sz w:val="24"/>
                <w:szCs w:val="24"/>
                <w:rtl/>
              </w:rPr>
              <w:t>אלה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מיום חתימתן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.</w:t>
            </w:r>
          </w:p>
        </w:tc>
      </w:tr>
      <w:tr w:rsidR="00D53AC9" w:rsidRPr="00D53AC9" w14:paraId="677F3A43" w14:textId="77777777" w:rsidTr="007E1DF6">
        <w:trPr>
          <w:trHeight w:val="227"/>
        </w:trPr>
        <w:tc>
          <w:tcPr>
            <w:tcW w:w="1018" w:type="dxa"/>
          </w:tcPr>
          <w:p w14:paraId="641324AD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" w:type="dxa"/>
          </w:tcPr>
          <w:p w14:paraId="4D72FAC1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518" w:type="dxa"/>
          </w:tcPr>
          <w:p w14:paraId="4F0AAC42" w14:textId="77777777" w:rsidR="00D53AC9" w:rsidRPr="00D53AC9" w:rsidRDefault="00D53AC9" w:rsidP="007E1DF6">
            <w:pPr>
              <w:spacing w:after="0" w:line="276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D53AC9" w:rsidRPr="00D53AC9" w14:paraId="31DAA58B" w14:textId="77777777" w:rsidTr="007E1DF6">
        <w:trPr>
          <w:trHeight w:val="610"/>
        </w:trPr>
        <w:tc>
          <w:tcPr>
            <w:tcW w:w="1018" w:type="dxa"/>
          </w:tcPr>
          <w:p w14:paraId="16EB17D3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noProof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eastAsia"/>
                <w:b/>
                <w:bCs/>
                <w:sz w:val="24"/>
                <w:szCs w:val="24"/>
                <w:rtl/>
              </w:rPr>
              <w:t>השם</w:t>
            </w:r>
          </w:p>
        </w:tc>
        <w:tc>
          <w:tcPr>
            <w:tcW w:w="561" w:type="dxa"/>
          </w:tcPr>
          <w:p w14:paraId="53FDBA51" w14:textId="77777777" w:rsidR="00D53AC9" w:rsidRPr="00D53AC9" w:rsidRDefault="00C20FF8" w:rsidP="007E1DF6">
            <w:pPr>
              <w:spacing w:after="0" w:line="276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4.</w:t>
            </w:r>
          </w:p>
        </w:tc>
        <w:tc>
          <w:tcPr>
            <w:tcW w:w="7518" w:type="dxa"/>
          </w:tcPr>
          <w:p w14:paraId="47E185E6" w14:textId="77777777" w:rsidR="00D53AC9" w:rsidRPr="00D53AC9" w:rsidRDefault="00D53AC9" w:rsidP="00C20FF8">
            <w:pPr>
              <w:spacing w:after="0" w:line="36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eastAsia"/>
                <w:sz w:val="24"/>
                <w:szCs w:val="24"/>
                <w:rtl/>
              </w:rPr>
              <w:t>תקנות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אלו 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תיקראנה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: "</w:t>
            </w:r>
            <w:r w:rsidR="00C20FF8"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תקנות תכנון ערים כפרים ובניינים (פטור מתכנית ומהיתר להצבת </w:t>
            </w:r>
            <w:proofErr w:type="spellStart"/>
            <w:r w:rsidR="00C20FF8">
              <w:rPr>
                <w:rFonts w:ascii="David" w:eastAsia="Calibri" w:hAnsi="David" w:cs="David" w:hint="cs"/>
                <w:sz w:val="24"/>
                <w:szCs w:val="24"/>
                <w:rtl/>
              </w:rPr>
              <w:t>מיגונית</w:t>
            </w:r>
            <w:proofErr w:type="spellEnd"/>
            <w:r w:rsidR="00C20FF8"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 ולשימוש בה) (הוראת שעה)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(יהודה ושומרון), התשפ"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ה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-2024".</w:t>
            </w:r>
          </w:p>
        </w:tc>
      </w:tr>
    </w:tbl>
    <w:p w14:paraId="2C0D88EF" w14:textId="77777777" w:rsidR="00D53AC9" w:rsidRPr="00D53AC9" w:rsidRDefault="00D53AC9" w:rsidP="00D53AC9">
      <w:pPr>
        <w:spacing w:line="276" w:lineRule="auto"/>
        <w:rPr>
          <w:rFonts w:ascii="David" w:eastAsia="Calibri" w:hAnsi="David" w:cs="David"/>
          <w:b/>
          <w:bCs/>
          <w:sz w:val="24"/>
          <w:szCs w:val="24"/>
          <w:rtl/>
        </w:rPr>
      </w:pPr>
    </w:p>
    <w:p w14:paraId="1E4AFE96" w14:textId="0FED498E" w:rsidR="00D53AC9" w:rsidRDefault="00D53AC9" w:rsidP="00D53AC9">
      <w:pPr>
        <w:rPr>
          <w:rFonts w:ascii="David" w:hAnsi="David" w:cs="David"/>
          <w:sz w:val="24"/>
          <w:szCs w:val="24"/>
          <w:rtl/>
        </w:rPr>
      </w:pPr>
    </w:p>
    <w:p w14:paraId="1D2B78F2" w14:textId="77777777" w:rsidR="002C5560" w:rsidRPr="00D53AC9" w:rsidRDefault="002C5560" w:rsidP="00D53AC9">
      <w:pPr>
        <w:rPr>
          <w:rFonts w:ascii="David" w:hAnsi="David" w:cs="David"/>
          <w:sz w:val="24"/>
          <w:szCs w:val="24"/>
          <w:rtl/>
        </w:rPr>
      </w:pPr>
    </w:p>
    <w:p w14:paraId="3E157817" w14:textId="77777777" w:rsidR="00D53AC9" w:rsidRPr="00D53AC9" w:rsidRDefault="00D53AC9" w:rsidP="00D53AC9">
      <w:pPr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0" w:type="dxa"/>
        <w:tblLayout w:type="fixed"/>
        <w:tblLook w:val="01E0" w:firstRow="1" w:lastRow="1" w:firstColumn="1" w:lastColumn="1" w:noHBand="0" w:noVBand="0"/>
      </w:tblPr>
      <w:tblGrid>
        <w:gridCol w:w="2930"/>
        <w:gridCol w:w="3118"/>
        <w:gridCol w:w="3060"/>
      </w:tblGrid>
      <w:tr w:rsidR="002C5560" w14:paraId="6DA6DCE0" w14:textId="77777777" w:rsidTr="002C5560">
        <w:trPr>
          <w:trHeight w:val="523"/>
        </w:trPr>
        <w:tc>
          <w:tcPr>
            <w:tcW w:w="2930" w:type="dxa"/>
            <w:hideMark/>
          </w:tcPr>
          <w:p w14:paraId="5887B81C" w14:textId="77777777" w:rsidR="002C5560" w:rsidRDefault="002C5560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י' בכסלו </w:t>
            </w:r>
            <w:proofErr w:type="spellStart"/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התשפ"ה</w:t>
            </w:r>
            <w:proofErr w:type="spellEnd"/>
            <w:r>
              <w:rPr>
                <w:rFonts w:ascii="David" w:hAnsi="David" w:cs="David"/>
                <w:sz w:val="24"/>
                <w:szCs w:val="24"/>
                <w:rtl/>
              </w:rPr>
              <w:br/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 בדצמבר 2024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3118" w:type="dxa"/>
            <w:vMerge w:val="restart"/>
          </w:tcPr>
          <w:p w14:paraId="69AEE5E2" w14:textId="77777777" w:rsidR="002C5560" w:rsidRDefault="002C556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60" w:type="dxa"/>
            <w:vMerge w:val="restart"/>
          </w:tcPr>
          <w:p w14:paraId="75B5F587" w14:textId="77777777" w:rsidR="002C5560" w:rsidRDefault="002C5560">
            <w:pPr>
              <w:spacing w:line="360" w:lineRule="auto"/>
              <w:ind w:left="29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Cs/>
                <w:sz w:val="24"/>
                <w:szCs w:val="24"/>
                <w:rtl/>
              </w:rPr>
              <w:t>הלל רוט</w:t>
            </w:r>
            <w:r>
              <w:rPr>
                <w:rFonts w:ascii="David" w:hAnsi="David" w:cs="David"/>
                <w:bCs/>
                <w:sz w:val="24"/>
                <w:szCs w:val="24"/>
                <w:rtl/>
              </w:rPr>
              <w:br/>
              <w:t>סגן ראש המנהל האזרחי</w:t>
            </w:r>
            <w:r>
              <w:rPr>
                <w:rFonts w:ascii="David" w:hAnsi="David" w:cs="David"/>
                <w:bCs/>
                <w:sz w:val="24"/>
                <w:szCs w:val="24"/>
                <w:rtl/>
              </w:rPr>
              <w:br/>
            </w:r>
            <w:r>
              <w:rPr>
                <w:rFonts w:ascii="David" w:hAnsi="David" w:cs="David"/>
                <w:b/>
                <w:bCs/>
                <w:color w:val="FFFFFF"/>
                <w:sz w:val="24"/>
                <w:szCs w:val="24"/>
                <w:rtl/>
              </w:rPr>
              <w:t>.</w:t>
            </w:r>
          </w:p>
          <w:p w14:paraId="6099217F" w14:textId="77777777" w:rsidR="002C5560" w:rsidRDefault="002C5560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2C5560" w14:paraId="387C3440" w14:textId="77777777" w:rsidTr="002C5560">
        <w:tc>
          <w:tcPr>
            <w:tcW w:w="2930" w:type="dxa"/>
          </w:tcPr>
          <w:p w14:paraId="3574721D" w14:textId="77777777" w:rsidR="002C5560" w:rsidRDefault="002C556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F4A9C60" w14:textId="77777777" w:rsidR="002C5560" w:rsidRDefault="002C556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  <w:hideMark/>
          </w:tcPr>
          <w:p w14:paraId="7C5DE08B" w14:textId="77777777" w:rsidR="002C5560" w:rsidRDefault="002C556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14:paraId="5F4949C7" w14:textId="77777777" w:rsidR="00D53AC9" w:rsidRPr="002C5560" w:rsidRDefault="00D53AC9" w:rsidP="00D53AC9">
      <w:pPr>
        <w:rPr>
          <w:rFonts w:ascii="David" w:hAnsi="David" w:cs="David"/>
          <w:sz w:val="24"/>
          <w:szCs w:val="24"/>
        </w:rPr>
      </w:pPr>
    </w:p>
    <w:p w14:paraId="19A033D5" w14:textId="77777777" w:rsidR="00D53AC9" w:rsidRPr="002909FC" w:rsidRDefault="00D53AC9" w:rsidP="00D53AC9">
      <w:pPr>
        <w:spacing w:line="276" w:lineRule="auto"/>
        <w:ind w:left="5760"/>
      </w:pPr>
    </w:p>
    <w:p w14:paraId="31F1325E" w14:textId="77777777" w:rsidR="0087428D" w:rsidRPr="00D53AC9" w:rsidRDefault="0087428D"/>
    <w:sectPr w:rsidR="0087428D" w:rsidRPr="00D53AC9" w:rsidSect="002A6908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B684E" w14:textId="77777777" w:rsidR="005D78F3" w:rsidRDefault="005D78F3">
      <w:pPr>
        <w:spacing w:after="0" w:line="240" w:lineRule="auto"/>
      </w:pPr>
      <w:r>
        <w:separator/>
      </w:r>
    </w:p>
  </w:endnote>
  <w:endnote w:type="continuationSeparator" w:id="0">
    <w:p w14:paraId="5E8E9E5C" w14:textId="77777777" w:rsidR="005D78F3" w:rsidRDefault="005D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8318F" w14:textId="77777777" w:rsidR="005D78F3" w:rsidRDefault="005D78F3">
      <w:pPr>
        <w:spacing w:after="0" w:line="240" w:lineRule="auto"/>
      </w:pPr>
      <w:r>
        <w:separator/>
      </w:r>
    </w:p>
  </w:footnote>
  <w:footnote w:type="continuationSeparator" w:id="0">
    <w:p w14:paraId="72B98DDC" w14:textId="77777777" w:rsidR="005D78F3" w:rsidRDefault="005D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29A0E" w14:textId="77777777" w:rsidR="005D78F3" w:rsidRDefault="00D53AC9">
    <w:pPr>
      <w:pStyle w:val="a3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4581E9" wp14:editId="0B9596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4445"/>
              <wp:wrapNone/>
              <wp:docPr id="2057875196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59F5F" w14:textId="77777777" w:rsidR="005D78F3" w:rsidRPr="00C47492" w:rsidRDefault="00D53AC9" w:rsidP="00C474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74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E4581E9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9N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8moP&#10;7SvpeBULUUhYSeVKjpN5j4Nk6R1ItVqlJNKPE7ixWycjdOQpkvjSvwrvRqaRVvQIk4xE8Y7wITf+&#10;GdzqgER72kbkdCBypJq0l/Y5vpMo7l/vKev8mpc/AQ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GBuf00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5D59F5F" w14:textId="77777777" w:rsidR="005D78F3" w:rsidRPr="00C47492" w:rsidRDefault="00D53AC9" w:rsidP="00C474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74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55D9D" w14:textId="77777777" w:rsidR="005D78F3" w:rsidRDefault="00D53AC9">
    <w:pPr>
      <w:pStyle w:val="a3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C0167A" wp14:editId="582AE916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4445"/>
              <wp:wrapNone/>
              <wp:docPr id="1789005214" name="תיבת טקסט 3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3FAD8" w14:textId="77777777" w:rsidR="005D78F3" w:rsidRPr="00C47492" w:rsidRDefault="00D53AC9" w:rsidP="00C474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74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4C0167A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7" type="#_x0000_t202" alt="- בלמ&quot;ס -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th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Xu2hfSE5r2IhCgkrqVzJcTLvcFAuPQepVquURDJyAjd262SEjnRFLp/7F+HdSDjSph5gUpMo3vE+&#10;5MY/g1sdkNhPS4nUDkSOjJME01rH5xI1/vaess6PevkL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GU5rYQ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1E3FAD8" w14:textId="77777777" w:rsidR="005D78F3" w:rsidRPr="00C47492" w:rsidRDefault="00D53AC9" w:rsidP="00C474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74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34F4A" w14:textId="77777777" w:rsidR="005D78F3" w:rsidRDefault="00D53AC9">
    <w:pPr>
      <w:pStyle w:val="a3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3CD5A0" wp14:editId="15DC0C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4445"/>
              <wp:wrapNone/>
              <wp:docPr id="1801761055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3DF79" w14:textId="77777777" w:rsidR="005D78F3" w:rsidRPr="00C47492" w:rsidRDefault="00D53AC9" w:rsidP="00C474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74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13CD5A0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alt="- בלמ&quot;ס -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wn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ejVHto3kvMyFqKQsJLKlRxH8wFPyqXnINVymZJIRk7g2m6cjNCRrsjla/8mvBsIR9rUE4xqEsU7&#10;3k+58c/glnsk9tNSIrUnIgfGSYJprcNziRr/9Z6yLo968RM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uj7wn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B03DF79" w14:textId="77777777" w:rsidR="005D78F3" w:rsidRPr="00C47492" w:rsidRDefault="00D53AC9" w:rsidP="00C474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74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9"/>
    <w:rsid w:val="002C5560"/>
    <w:rsid w:val="0052579B"/>
    <w:rsid w:val="005D78F3"/>
    <w:rsid w:val="0083282D"/>
    <w:rsid w:val="0087428D"/>
    <w:rsid w:val="009F6B86"/>
    <w:rsid w:val="00AD4EF2"/>
    <w:rsid w:val="00B943C4"/>
    <w:rsid w:val="00C20FF8"/>
    <w:rsid w:val="00D441B5"/>
    <w:rsid w:val="00D5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8BB4"/>
  <w15:chartTrackingRefBased/>
  <w15:docId w15:val="{2847CA41-8921-4725-AB75-F03A6CF8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9"/>
    <w:pPr>
      <w:bidi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53AC9"/>
    <w:rPr>
      <w:kern w:val="2"/>
      <w14:ligatures w14:val="standardContextual"/>
    </w:rPr>
  </w:style>
  <w:style w:type="paragraph" w:styleId="a5">
    <w:name w:val="Body Text"/>
    <w:basedOn w:val="a"/>
    <w:link w:val="a6"/>
    <w:rsid w:val="00D53AC9"/>
    <w:pPr>
      <w:spacing w:after="0" w:line="240" w:lineRule="auto"/>
    </w:pPr>
    <w:rPr>
      <w:rFonts w:ascii="Times New Roman" w:eastAsia="Times New Roman" w:hAnsi="Times New Roman" w:cs="David"/>
      <w:kern w:val="0"/>
      <w:sz w:val="20"/>
      <w:szCs w:val="28"/>
      <w:lang w:eastAsia="he-IL"/>
      <w14:ligatures w14:val="none"/>
    </w:rPr>
  </w:style>
  <w:style w:type="character" w:customStyle="1" w:styleId="a6">
    <w:name w:val="גוף טקסט תו"/>
    <w:basedOn w:val="a0"/>
    <w:link w:val="a5"/>
    <w:rsid w:val="00D53AC9"/>
    <w:rPr>
      <w:rFonts w:ascii="Times New Roman" w:eastAsia="Times New Roman" w:hAnsi="Times New Roman" w:cs="David"/>
      <w:sz w:val="20"/>
      <w:szCs w:val="28"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D53AC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53AC9"/>
    <w:rPr>
      <w:rFonts w:ascii="Tahoma" w:hAnsi="Tahoma" w:cs="Tahoma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maor_sabag</dc:creator>
  <cp:keywords/>
  <dc:description/>
  <cp:lastModifiedBy>hpb</cp:lastModifiedBy>
  <cp:revision>2</cp:revision>
  <dcterms:created xsi:type="dcterms:W3CDTF">2024-12-12T15:01:00Z</dcterms:created>
  <dcterms:modified xsi:type="dcterms:W3CDTF">2024-12-12T15:01:00Z</dcterms:modified>
</cp:coreProperties>
</file>