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F0" w:rsidRPr="006F4BF0" w:rsidRDefault="006F4BF0" w:rsidP="006F4BF0">
      <w:pPr>
        <w:spacing w:line="360" w:lineRule="auto"/>
        <w:rPr>
          <w:rFonts w:ascii="Tahoma" w:hAnsi="Tahoma"/>
          <w:sz w:val="28"/>
          <w:szCs w:val="28"/>
          <w:rtl/>
        </w:rPr>
      </w:pPr>
    </w:p>
    <w:p w:rsidR="006F4BF0" w:rsidRPr="006F4BF0" w:rsidRDefault="006F4BF0" w:rsidP="006F4BF0">
      <w:pPr>
        <w:spacing w:line="360" w:lineRule="auto"/>
        <w:rPr>
          <w:rFonts w:ascii="Tahoma" w:hAnsi="Tahoma"/>
          <w:sz w:val="28"/>
          <w:szCs w:val="28"/>
          <w:rtl/>
        </w:rPr>
      </w:pPr>
    </w:p>
    <w:p w:rsidR="006F4BF0" w:rsidRPr="006F4BF0" w:rsidRDefault="006F4BF0" w:rsidP="006F4BF0">
      <w:pPr>
        <w:spacing w:line="360" w:lineRule="auto"/>
        <w:rPr>
          <w:rFonts w:ascii="Tahoma" w:hAnsi="Tahoma"/>
          <w:b/>
          <w:bCs/>
          <w:sz w:val="28"/>
          <w:szCs w:val="28"/>
        </w:rPr>
      </w:pPr>
      <w:r w:rsidRPr="006F4BF0">
        <w:rPr>
          <w:noProof/>
          <w:sz w:val="28"/>
          <w:szCs w:val="28"/>
        </w:rPr>
        <mc:AlternateContent>
          <mc:Choice Requires="wpg">
            <w:drawing>
              <wp:anchor distT="0" distB="0" distL="114300" distR="114300" simplePos="0" relativeHeight="251659264" behindDoc="0" locked="0" layoutInCell="1" allowOverlap="1" wp14:anchorId="015C8696" wp14:editId="55A3CD35">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67D2E3FE"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6F4BF0" w:rsidRPr="006F4BF0" w:rsidRDefault="006F4BF0" w:rsidP="006F4BF0">
      <w:pPr>
        <w:spacing w:line="360" w:lineRule="auto"/>
        <w:rPr>
          <w:rFonts w:ascii="Tahoma" w:hAnsi="Tahoma"/>
          <w:b/>
          <w:bCs/>
          <w:sz w:val="28"/>
          <w:szCs w:val="28"/>
          <w:rtl/>
        </w:rPr>
      </w:pPr>
    </w:p>
    <w:p w:rsidR="006F4BF0" w:rsidRPr="006F4BF0" w:rsidRDefault="006F4BF0" w:rsidP="006F4BF0">
      <w:pPr>
        <w:spacing w:line="360" w:lineRule="auto"/>
        <w:rPr>
          <w:rFonts w:ascii="Tahoma" w:hAnsi="Tahoma"/>
          <w:b/>
          <w:bCs/>
          <w:sz w:val="28"/>
          <w:szCs w:val="28"/>
        </w:rPr>
      </w:pPr>
    </w:p>
    <w:p w:rsidR="006F4BF0" w:rsidRPr="006F4BF0" w:rsidRDefault="006F4BF0" w:rsidP="006F4BF0">
      <w:pPr>
        <w:spacing w:line="360" w:lineRule="auto"/>
        <w:rPr>
          <w:rFonts w:ascii="Tahoma" w:hAnsi="Tahoma"/>
          <w:b/>
          <w:bCs/>
          <w:sz w:val="28"/>
          <w:szCs w:val="28"/>
          <w:rtl/>
        </w:rPr>
      </w:pPr>
      <w:r w:rsidRPr="006F4BF0">
        <w:rPr>
          <w:rFonts w:ascii="Tahoma" w:hAnsi="Tahoma"/>
          <w:b/>
          <w:bCs/>
          <w:sz w:val="28"/>
          <w:szCs w:val="28"/>
          <w:rtl/>
        </w:rPr>
        <w:t>בית הדין הצבאי המחוזי</w:t>
      </w:r>
    </w:p>
    <w:p w:rsidR="006F4BF0" w:rsidRPr="006F4BF0" w:rsidRDefault="006F4BF0" w:rsidP="006F4BF0">
      <w:pPr>
        <w:spacing w:line="360" w:lineRule="auto"/>
        <w:rPr>
          <w:rFonts w:ascii="Tahoma" w:hAnsi="Tahoma"/>
          <w:b/>
          <w:bCs/>
          <w:sz w:val="28"/>
          <w:szCs w:val="28"/>
          <w:rtl/>
        </w:rPr>
      </w:pPr>
      <w:r w:rsidRPr="006F4BF0">
        <w:rPr>
          <w:rFonts w:ascii="Tahoma" w:hAnsi="Tahoma"/>
          <w:b/>
          <w:bCs/>
          <w:sz w:val="28"/>
          <w:szCs w:val="28"/>
          <w:rtl/>
        </w:rPr>
        <w:t xml:space="preserve">מחוז       שיפוטי    </w:t>
      </w:r>
      <w:r w:rsidRPr="006F4BF0">
        <w:rPr>
          <w:rFonts w:ascii="Tahoma" w:hAnsi="Tahoma" w:hint="cs"/>
          <w:b/>
          <w:bCs/>
          <w:sz w:val="28"/>
          <w:szCs w:val="28"/>
          <w:rtl/>
        </w:rPr>
        <w:t>ז"י</w:t>
      </w:r>
    </w:p>
    <w:tbl>
      <w:tblPr>
        <w:bidiVisual/>
        <w:tblW w:w="0" w:type="auto"/>
        <w:tblLayout w:type="fixed"/>
        <w:tblLook w:val="04A0" w:firstRow="1" w:lastRow="0" w:firstColumn="1" w:lastColumn="0" w:noHBand="0" w:noVBand="1"/>
      </w:tblPr>
      <w:tblGrid>
        <w:gridCol w:w="1896"/>
        <w:gridCol w:w="3786"/>
        <w:gridCol w:w="2841"/>
      </w:tblGrid>
      <w:tr w:rsidR="006F4BF0" w:rsidRPr="006F4BF0" w:rsidTr="00694670">
        <w:tc>
          <w:tcPr>
            <w:tcW w:w="1896" w:type="dxa"/>
            <w:hideMark/>
          </w:tcPr>
          <w:p w:rsidR="006F4BF0" w:rsidRPr="006F4BF0" w:rsidRDefault="006F4BF0" w:rsidP="00694670">
            <w:pPr>
              <w:rPr>
                <w:rFonts w:ascii="Tahoma" w:hAnsi="Tahoma"/>
                <w:b/>
                <w:bCs/>
                <w:sz w:val="28"/>
                <w:szCs w:val="28"/>
              </w:rPr>
            </w:pPr>
            <w:r w:rsidRPr="006F4BF0">
              <w:rPr>
                <w:rFonts w:ascii="Tahoma" w:hAnsi="Tahoma" w:hint="cs"/>
                <w:b/>
                <w:bCs/>
                <w:sz w:val="28"/>
                <w:szCs w:val="28"/>
                <w:rtl/>
              </w:rPr>
              <w:t xml:space="preserve">בפני: </w:t>
            </w:r>
          </w:p>
        </w:tc>
        <w:tc>
          <w:tcPr>
            <w:tcW w:w="3786" w:type="dxa"/>
            <w:hideMark/>
          </w:tcPr>
          <w:p w:rsidR="006F4BF0" w:rsidRPr="006F4BF0" w:rsidRDefault="006F4BF0" w:rsidP="006F4BF0">
            <w:pPr>
              <w:rPr>
                <w:rFonts w:ascii="Tahoma" w:hAnsi="Tahoma"/>
                <w:b/>
                <w:bCs/>
                <w:sz w:val="28"/>
                <w:szCs w:val="28"/>
                <w:rtl/>
              </w:rPr>
            </w:pPr>
            <w:r w:rsidRPr="006F4BF0">
              <w:rPr>
                <w:rFonts w:ascii="Tahoma" w:hAnsi="Tahoma" w:hint="cs"/>
                <w:b/>
                <w:bCs/>
                <w:sz w:val="28"/>
                <w:szCs w:val="28"/>
                <w:rtl/>
              </w:rPr>
              <w:t>סא"ל מאיר ויגיסר</w:t>
            </w:r>
            <w:r w:rsidRPr="006F4BF0">
              <w:rPr>
                <w:rFonts w:ascii="Tahoma" w:hAnsi="Tahoma" w:hint="cs"/>
                <w:b/>
                <w:bCs/>
                <w:sz w:val="28"/>
                <w:szCs w:val="28"/>
                <w:rtl/>
              </w:rPr>
              <w:br/>
            </w:r>
          </w:p>
        </w:tc>
        <w:tc>
          <w:tcPr>
            <w:tcW w:w="2841" w:type="dxa"/>
            <w:hideMark/>
          </w:tcPr>
          <w:p w:rsidR="006F4BF0" w:rsidRPr="006F4BF0" w:rsidRDefault="006F4BF0" w:rsidP="00694670">
            <w:pPr>
              <w:rPr>
                <w:rFonts w:ascii="Tahoma" w:hAnsi="Tahoma"/>
                <w:b/>
                <w:bCs/>
                <w:sz w:val="28"/>
                <w:szCs w:val="28"/>
                <w:rtl/>
              </w:rPr>
            </w:pPr>
            <w:r w:rsidRPr="006F4BF0">
              <w:rPr>
                <w:rFonts w:ascii="Tahoma" w:hAnsi="Tahoma" w:hint="cs"/>
                <w:b/>
                <w:bCs/>
                <w:sz w:val="28"/>
                <w:szCs w:val="28"/>
                <w:rtl/>
              </w:rPr>
              <w:t>- אב"ד</w:t>
            </w:r>
          </w:p>
        </w:tc>
      </w:tr>
      <w:tr w:rsidR="006F4BF0" w:rsidRPr="006F4BF0" w:rsidTr="00694670">
        <w:tc>
          <w:tcPr>
            <w:tcW w:w="1896" w:type="dxa"/>
          </w:tcPr>
          <w:p w:rsidR="006F4BF0" w:rsidRPr="006F4BF0" w:rsidRDefault="006F4BF0" w:rsidP="00694670">
            <w:pPr>
              <w:rPr>
                <w:rFonts w:ascii="Tahoma" w:hAnsi="Tahoma"/>
                <w:b/>
                <w:bCs/>
                <w:sz w:val="28"/>
                <w:szCs w:val="28"/>
                <w:highlight w:val="darkMagenta"/>
                <w:rtl/>
              </w:rPr>
            </w:pPr>
          </w:p>
        </w:tc>
        <w:tc>
          <w:tcPr>
            <w:tcW w:w="3786" w:type="dxa"/>
            <w:hideMark/>
          </w:tcPr>
          <w:p w:rsidR="006F4BF0" w:rsidRPr="006F4BF0" w:rsidRDefault="006F4BF0" w:rsidP="006F4BF0">
            <w:pPr>
              <w:rPr>
                <w:rFonts w:ascii="Tahoma" w:hAnsi="Tahoma"/>
                <w:b/>
                <w:bCs/>
                <w:sz w:val="28"/>
                <w:szCs w:val="28"/>
                <w:rtl/>
              </w:rPr>
            </w:pPr>
            <w:r w:rsidRPr="006F4BF0">
              <w:rPr>
                <w:rFonts w:ascii="Tahoma" w:hAnsi="Tahoma" w:hint="cs"/>
                <w:b/>
                <w:bCs/>
                <w:sz w:val="28"/>
                <w:szCs w:val="28"/>
                <w:rtl/>
              </w:rPr>
              <w:t>רס"ן רון כהן</w:t>
            </w:r>
            <w:r w:rsidRPr="006F4BF0">
              <w:rPr>
                <w:rFonts w:ascii="Tahoma" w:hAnsi="Tahoma" w:hint="cs"/>
                <w:b/>
                <w:bCs/>
                <w:sz w:val="28"/>
                <w:szCs w:val="28"/>
                <w:rtl/>
              </w:rPr>
              <w:br/>
            </w:r>
          </w:p>
        </w:tc>
        <w:tc>
          <w:tcPr>
            <w:tcW w:w="2841" w:type="dxa"/>
            <w:hideMark/>
          </w:tcPr>
          <w:p w:rsidR="006F4BF0" w:rsidRPr="006F4BF0" w:rsidRDefault="006F4BF0" w:rsidP="00694670">
            <w:pPr>
              <w:rPr>
                <w:rFonts w:ascii="Tahoma" w:hAnsi="Tahoma"/>
                <w:b/>
                <w:bCs/>
                <w:sz w:val="28"/>
                <w:szCs w:val="28"/>
                <w:rtl/>
              </w:rPr>
            </w:pPr>
            <w:r w:rsidRPr="006F4BF0">
              <w:rPr>
                <w:rFonts w:ascii="Tahoma" w:hAnsi="Tahoma" w:hint="cs"/>
                <w:b/>
                <w:bCs/>
                <w:sz w:val="28"/>
                <w:szCs w:val="28"/>
                <w:rtl/>
              </w:rPr>
              <w:t>- שופט</w:t>
            </w:r>
          </w:p>
        </w:tc>
      </w:tr>
      <w:tr w:rsidR="006F4BF0" w:rsidRPr="006F4BF0" w:rsidTr="00694670">
        <w:tc>
          <w:tcPr>
            <w:tcW w:w="1896" w:type="dxa"/>
          </w:tcPr>
          <w:p w:rsidR="006F4BF0" w:rsidRPr="006F4BF0" w:rsidRDefault="006F4BF0" w:rsidP="00694670">
            <w:pPr>
              <w:rPr>
                <w:rFonts w:ascii="Tahoma" w:hAnsi="Tahoma"/>
                <w:b/>
                <w:bCs/>
                <w:sz w:val="28"/>
                <w:szCs w:val="28"/>
                <w:rtl/>
              </w:rPr>
            </w:pPr>
          </w:p>
        </w:tc>
        <w:tc>
          <w:tcPr>
            <w:tcW w:w="3786" w:type="dxa"/>
            <w:hideMark/>
          </w:tcPr>
          <w:p w:rsidR="006F4BF0" w:rsidRPr="006F4BF0" w:rsidRDefault="006F4BF0" w:rsidP="00694670">
            <w:pPr>
              <w:rPr>
                <w:rFonts w:ascii="Tahoma" w:hAnsi="Tahoma"/>
                <w:b/>
                <w:bCs/>
                <w:sz w:val="28"/>
                <w:szCs w:val="28"/>
                <w:rtl/>
              </w:rPr>
            </w:pPr>
            <w:r w:rsidRPr="006F4BF0">
              <w:rPr>
                <w:rFonts w:ascii="Tahoma" w:hAnsi="Tahoma" w:hint="cs"/>
                <w:b/>
                <w:bCs/>
                <w:sz w:val="28"/>
                <w:szCs w:val="28"/>
                <w:rtl/>
              </w:rPr>
              <w:t>סרן הילה שדה</w:t>
            </w:r>
            <w:r w:rsidRPr="006F4BF0">
              <w:rPr>
                <w:rFonts w:ascii="Tahoma" w:hAnsi="Tahoma" w:hint="cs"/>
                <w:b/>
                <w:bCs/>
                <w:sz w:val="28"/>
                <w:szCs w:val="28"/>
                <w:rtl/>
              </w:rPr>
              <w:br/>
            </w:r>
          </w:p>
        </w:tc>
        <w:tc>
          <w:tcPr>
            <w:tcW w:w="2841" w:type="dxa"/>
            <w:hideMark/>
          </w:tcPr>
          <w:p w:rsidR="006F4BF0" w:rsidRPr="006F4BF0" w:rsidRDefault="006F4BF0" w:rsidP="00694670">
            <w:pPr>
              <w:rPr>
                <w:rFonts w:ascii="Tahoma" w:hAnsi="Tahoma"/>
                <w:b/>
                <w:bCs/>
                <w:sz w:val="28"/>
                <w:szCs w:val="28"/>
                <w:rtl/>
              </w:rPr>
            </w:pPr>
            <w:r w:rsidRPr="006F4BF0">
              <w:rPr>
                <w:rFonts w:ascii="Tahoma" w:hAnsi="Tahoma" w:hint="cs"/>
                <w:b/>
                <w:bCs/>
                <w:sz w:val="28"/>
                <w:szCs w:val="28"/>
                <w:rtl/>
              </w:rPr>
              <w:t>- שופטת</w:t>
            </w:r>
          </w:p>
        </w:tc>
      </w:tr>
    </w:tbl>
    <w:p w:rsidR="006F4BF0" w:rsidRPr="006F4BF0" w:rsidRDefault="006F4BF0" w:rsidP="006F4BF0">
      <w:pPr>
        <w:spacing w:line="360" w:lineRule="auto"/>
        <w:rPr>
          <w:rFonts w:ascii="Tahoma" w:hAnsi="Tahoma"/>
          <w:b/>
          <w:bCs/>
          <w:sz w:val="28"/>
          <w:szCs w:val="28"/>
          <w:rtl/>
        </w:rPr>
      </w:pPr>
    </w:p>
    <w:p w:rsidR="006F4BF0" w:rsidRPr="006F4BF0" w:rsidRDefault="006F4BF0" w:rsidP="006F4BF0">
      <w:pPr>
        <w:spacing w:line="360" w:lineRule="auto"/>
        <w:rPr>
          <w:rFonts w:ascii="Tahoma" w:hAnsi="Tahoma"/>
          <w:b/>
          <w:bCs/>
          <w:sz w:val="28"/>
          <w:szCs w:val="28"/>
          <w:rtl/>
        </w:rPr>
      </w:pPr>
      <w:r w:rsidRPr="006F4BF0">
        <w:rPr>
          <w:rFonts w:ascii="Tahoma" w:hAnsi="Tahoma" w:hint="cs"/>
          <w:b/>
          <w:bCs/>
          <w:sz w:val="28"/>
          <w:szCs w:val="28"/>
          <w:rtl/>
        </w:rPr>
        <w:t xml:space="preserve">בעניין: </w:t>
      </w:r>
      <w:r w:rsidRPr="006F4BF0">
        <w:rPr>
          <w:rFonts w:ascii="Tahoma" w:hAnsi="Tahoma"/>
          <w:b/>
          <w:bCs/>
          <w:sz w:val="28"/>
          <w:szCs w:val="28"/>
          <w:rtl/>
        </w:rPr>
        <w:t xml:space="preserve">התובע </w:t>
      </w:r>
      <w:r>
        <w:rPr>
          <w:rFonts w:ascii="Tahoma" w:hAnsi="Tahoma"/>
          <w:b/>
          <w:bCs/>
          <w:sz w:val="28"/>
          <w:szCs w:val="28"/>
          <w:rtl/>
        </w:rPr>
        <w:t>הצבאי</w:t>
      </w:r>
      <w:r>
        <w:rPr>
          <w:rFonts w:ascii="Tahoma" w:hAnsi="Tahoma"/>
          <w:b/>
          <w:bCs/>
          <w:sz w:val="28"/>
          <w:szCs w:val="28"/>
          <w:rtl/>
        </w:rPr>
        <w:tab/>
      </w:r>
      <w:r w:rsidRPr="006F4BF0">
        <w:rPr>
          <w:rFonts w:ascii="Tahoma" w:hAnsi="Tahoma"/>
          <w:b/>
          <w:bCs/>
          <w:sz w:val="28"/>
          <w:szCs w:val="28"/>
          <w:rtl/>
        </w:rPr>
        <w:t>(</w:t>
      </w:r>
      <w:r w:rsidRPr="006F4BF0">
        <w:rPr>
          <w:rFonts w:ascii="Tahoma" w:hAnsi="Tahoma" w:hint="cs"/>
          <w:b/>
          <w:bCs/>
          <w:sz w:val="28"/>
          <w:szCs w:val="28"/>
          <w:rtl/>
        </w:rPr>
        <w:t>ע"י ב"כ, רס"ן ליאור עייש וסרן איבון אברמוביץ)</w:t>
      </w:r>
    </w:p>
    <w:p w:rsidR="006F4BF0" w:rsidRPr="006F4BF0" w:rsidRDefault="006F4BF0" w:rsidP="006F4BF0">
      <w:pPr>
        <w:spacing w:line="360" w:lineRule="auto"/>
        <w:rPr>
          <w:rFonts w:ascii="Tahoma" w:hAnsi="Tahoma"/>
          <w:b/>
          <w:bCs/>
          <w:sz w:val="28"/>
          <w:szCs w:val="28"/>
          <w:rtl/>
        </w:rPr>
      </w:pPr>
    </w:p>
    <w:p w:rsidR="006F4BF0" w:rsidRPr="006F4BF0" w:rsidRDefault="006F4BF0" w:rsidP="006F4BF0">
      <w:pPr>
        <w:spacing w:line="360" w:lineRule="auto"/>
        <w:jc w:val="center"/>
        <w:rPr>
          <w:rFonts w:ascii="Tahoma" w:hAnsi="Tahoma"/>
          <w:b/>
          <w:bCs/>
          <w:sz w:val="28"/>
          <w:szCs w:val="28"/>
          <w:rtl/>
        </w:rPr>
      </w:pPr>
      <w:r w:rsidRPr="006F4BF0">
        <w:rPr>
          <w:rFonts w:ascii="Tahoma" w:hAnsi="Tahoma"/>
          <w:b/>
          <w:bCs/>
          <w:sz w:val="28"/>
          <w:szCs w:val="28"/>
          <w:rtl/>
        </w:rPr>
        <w:t>נגד</w:t>
      </w:r>
    </w:p>
    <w:p w:rsidR="006F4BF0" w:rsidRPr="006F4BF0" w:rsidRDefault="006F4BF0" w:rsidP="006F4BF0">
      <w:pPr>
        <w:spacing w:line="360" w:lineRule="auto"/>
        <w:rPr>
          <w:rFonts w:ascii="Tahoma" w:hAnsi="Tahoma"/>
          <w:b/>
          <w:bCs/>
          <w:sz w:val="28"/>
          <w:szCs w:val="28"/>
          <w:rtl/>
        </w:rPr>
      </w:pPr>
    </w:p>
    <w:p w:rsidR="006F4BF0" w:rsidRPr="006F4BF0" w:rsidRDefault="006F4BF0" w:rsidP="00E36C90">
      <w:pPr>
        <w:spacing w:line="360" w:lineRule="auto"/>
        <w:rPr>
          <w:rFonts w:ascii="Tahoma" w:hAnsi="Tahoma"/>
          <w:sz w:val="28"/>
          <w:szCs w:val="28"/>
          <w:rtl/>
        </w:rPr>
      </w:pPr>
      <w:r w:rsidRPr="006F4BF0">
        <w:rPr>
          <w:rFonts w:ascii="Tahoma" w:hAnsi="Tahoma" w:hint="cs"/>
          <w:b/>
          <w:bCs/>
          <w:sz w:val="28"/>
          <w:szCs w:val="28"/>
          <w:rtl/>
        </w:rPr>
        <w:t>ח/</w:t>
      </w:r>
      <w:r w:rsidRPr="006F4BF0">
        <w:rPr>
          <w:rFonts w:asciiTheme="majorBidi" w:hAnsiTheme="majorBidi"/>
          <w:b/>
          <w:bCs/>
          <w:sz w:val="28"/>
          <w:szCs w:val="28"/>
        </w:rPr>
        <w:t>XXX</w:t>
      </w:r>
      <w:r w:rsidRPr="006F4BF0">
        <w:rPr>
          <w:rFonts w:ascii="Tahoma" w:hAnsi="Tahoma" w:hint="cs"/>
          <w:b/>
          <w:bCs/>
          <w:sz w:val="28"/>
          <w:szCs w:val="28"/>
          <w:rtl/>
        </w:rPr>
        <w:t xml:space="preserve"> רב"ט </w:t>
      </w:r>
      <w:r w:rsidR="00E36C90">
        <w:rPr>
          <w:rFonts w:ascii="Tahoma" w:hAnsi="Tahoma" w:hint="cs"/>
          <w:b/>
          <w:bCs/>
          <w:sz w:val="28"/>
          <w:szCs w:val="28"/>
          <w:rtl/>
        </w:rPr>
        <w:t>ר' ל'</w:t>
      </w:r>
      <w:bookmarkStart w:id="0" w:name="_GoBack"/>
      <w:bookmarkEnd w:id="0"/>
      <w:r>
        <w:rPr>
          <w:rFonts w:ascii="Tahoma" w:hAnsi="Tahoma"/>
          <w:b/>
          <w:bCs/>
          <w:sz w:val="28"/>
          <w:szCs w:val="28"/>
          <w:rtl/>
        </w:rPr>
        <w:tab/>
      </w:r>
      <w:r w:rsidRPr="006F4BF0">
        <w:rPr>
          <w:rFonts w:ascii="Tahoma" w:hAnsi="Tahoma"/>
          <w:b/>
          <w:bCs/>
          <w:sz w:val="28"/>
          <w:szCs w:val="28"/>
          <w:rtl/>
        </w:rPr>
        <w:t>(ע"י ב"כ,</w:t>
      </w:r>
      <w:r w:rsidRPr="006F4BF0">
        <w:rPr>
          <w:rFonts w:ascii="Tahoma" w:hAnsi="Tahoma" w:hint="cs"/>
          <w:sz w:val="28"/>
          <w:szCs w:val="28"/>
          <w:rtl/>
        </w:rPr>
        <w:t xml:space="preserve"> </w:t>
      </w:r>
      <w:r w:rsidRPr="006F4BF0">
        <w:rPr>
          <w:rFonts w:ascii="Tahoma" w:hAnsi="Tahoma" w:hint="cs"/>
          <w:b/>
          <w:bCs/>
          <w:sz w:val="28"/>
          <w:szCs w:val="28"/>
          <w:rtl/>
        </w:rPr>
        <w:t>עו"ד שי רודה</w:t>
      </w:r>
      <w:r w:rsidRPr="006F4BF0">
        <w:rPr>
          <w:rFonts w:ascii="Tahoma" w:hAnsi="Tahoma" w:hint="cs"/>
          <w:sz w:val="28"/>
          <w:szCs w:val="28"/>
          <w:rtl/>
        </w:rPr>
        <w:t>)</w:t>
      </w:r>
    </w:p>
    <w:p w:rsidR="00096700" w:rsidRPr="006F4BF0" w:rsidRDefault="00096700" w:rsidP="00096700">
      <w:pPr>
        <w:rPr>
          <w:rFonts w:ascii="Tahoma" w:hAnsi="Tahoma"/>
          <w:sz w:val="28"/>
          <w:szCs w:val="28"/>
          <w:u w:val="single"/>
          <w:rtl/>
        </w:rPr>
      </w:pPr>
    </w:p>
    <w:p w:rsidR="00096700" w:rsidRPr="006F4BF0" w:rsidRDefault="00096700" w:rsidP="00096700">
      <w:pPr>
        <w:jc w:val="center"/>
        <w:rPr>
          <w:rFonts w:ascii="Tahoma" w:hAnsi="Tahoma"/>
          <w:b/>
          <w:bCs/>
          <w:sz w:val="28"/>
          <w:szCs w:val="28"/>
          <w:u w:val="single"/>
          <w:rtl/>
        </w:rPr>
      </w:pPr>
      <w:r w:rsidRPr="006F4BF0">
        <w:rPr>
          <w:rFonts w:ascii="Tahoma" w:hAnsi="Tahoma"/>
          <w:b/>
          <w:bCs/>
          <w:sz w:val="28"/>
          <w:szCs w:val="28"/>
          <w:u w:val="single"/>
          <w:rtl/>
        </w:rPr>
        <w:t xml:space="preserve">הכרעת </w:t>
      </w:r>
      <w:r w:rsidR="00317B91" w:rsidRPr="006F4BF0">
        <w:rPr>
          <w:rFonts w:ascii="Tahoma" w:hAnsi="Tahoma"/>
          <w:b/>
          <w:bCs/>
          <w:sz w:val="28"/>
          <w:szCs w:val="28"/>
          <w:u w:val="single"/>
          <w:rtl/>
        </w:rPr>
        <w:t>–</w:t>
      </w:r>
      <w:r w:rsidRPr="006F4BF0">
        <w:rPr>
          <w:rFonts w:ascii="Tahoma" w:hAnsi="Tahoma"/>
          <w:b/>
          <w:bCs/>
          <w:sz w:val="28"/>
          <w:szCs w:val="28"/>
          <w:u w:val="single"/>
          <w:rtl/>
        </w:rPr>
        <w:t xml:space="preserve"> דין</w:t>
      </w:r>
    </w:p>
    <w:p w:rsidR="00317B91" w:rsidRPr="006F4BF0" w:rsidRDefault="00317B91" w:rsidP="00096700">
      <w:pPr>
        <w:jc w:val="center"/>
        <w:rPr>
          <w:rFonts w:ascii="Tahoma" w:hAnsi="Tahoma"/>
          <w:sz w:val="28"/>
          <w:szCs w:val="28"/>
          <w:u w:val="single"/>
          <w:rtl/>
        </w:rPr>
      </w:pPr>
    </w:p>
    <w:p w:rsidR="00317B91" w:rsidRPr="006F4BF0" w:rsidRDefault="00317B91" w:rsidP="00317B91">
      <w:pPr>
        <w:spacing w:line="360" w:lineRule="auto"/>
        <w:rPr>
          <w:sz w:val="28"/>
          <w:szCs w:val="28"/>
          <w:rtl/>
        </w:rPr>
      </w:pPr>
      <w:r w:rsidRPr="006F4BF0">
        <w:rPr>
          <w:rFonts w:hint="cs"/>
          <w:sz w:val="28"/>
          <w:szCs w:val="28"/>
          <w:rtl/>
        </w:rPr>
        <w:t>על</w:t>
      </w:r>
      <w:r w:rsidRPr="006F4BF0">
        <w:rPr>
          <w:sz w:val="28"/>
          <w:szCs w:val="28"/>
          <w:rtl/>
        </w:rPr>
        <w:t xml:space="preserve"> </w:t>
      </w:r>
      <w:r w:rsidRPr="006F4BF0">
        <w:rPr>
          <w:rFonts w:hint="cs"/>
          <w:sz w:val="28"/>
          <w:szCs w:val="28"/>
          <w:rtl/>
        </w:rPr>
        <w:t>פי</w:t>
      </w:r>
      <w:r w:rsidRPr="006F4BF0">
        <w:rPr>
          <w:sz w:val="28"/>
          <w:szCs w:val="28"/>
          <w:rtl/>
        </w:rPr>
        <w:t xml:space="preserve"> </w:t>
      </w:r>
      <w:r w:rsidRPr="006F4BF0">
        <w:rPr>
          <w:rFonts w:hint="cs"/>
          <w:sz w:val="28"/>
          <w:szCs w:val="28"/>
          <w:rtl/>
        </w:rPr>
        <w:t>הודאתו</w:t>
      </w:r>
      <w:r w:rsidRPr="006F4BF0">
        <w:rPr>
          <w:sz w:val="28"/>
          <w:szCs w:val="28"/>
          <w:rtl/>
        </w:rPr>
        <w:t xml:space="preserve">, </w:t>
      </w:r>
      <w:r w:rsidRPr="006F4BF0">
        <w:rPr>
          <w:rFonts w:hint="cs"/>
          <w:sz w:val="28"/>
          <w:szCs w:val="28"/>
          <w:rtl/>
        </w:rPr>
        <w:t>מורשע</w:t>
      </w:r>
      <w:r w:rsidRPr="006F4BF0">
        <w:rPr>
          <w:sz w:val="28"/>
          <w:szCs w:val="28"/>
          <w:rtl/>
        </w:rPr>
        <w:t xml:space="preserve"> </w:t>
      </w:r>
      <w:r w:rsidRPr="006F4BF0">
        <w:rPr>
          <w:rFonts w:hint="cs"/>
          <w:sz w:val="28"/>
          <w:szCs w:val="28"/>
          <w:rtl/>
        </w:rPr>
        <w:t>הנאשם</w:t>
      </w:r>
      <w:r w:rsidRPr="006F4BF0">
        <w:rPr>
          <w:sz w:val="28"/>
          <w:szCs w:val="28"/>
          <w:rtl/>
        </w:rPr>
        <w:t xml:space="preserve"> </w:t>
      </w:r>
      <w:r w:rsidRPr="006F4BF0">
        <w:rPr>
          <w:rFonts w:hint="cs"/>
          <w:sz w:val="28"/>
          <w:szCs w:val="28"/>
          <w:rtl/>
        </w:rPr>
        <w:t xml:space="preserve">בעבירה של החזקת סם מסוכן שלא לצריכה עצמית, לפי סעיף 7(א) + (ג) רישא לפקודת הסמים המסוכנים [נוסח חדש], תשל"ג-1973, ובשלוש עבירות של סחר בסמים מסוכנים, לפי סעיף 13 + 19א לפקודת הסמים המסוכנים (נוסח חדש), התשל"ג </w:t>
      </w:r>
      <w:r w:rsidRPr="006F4BF0">
        <w:rPr>
          <w:sz w:val="28"/>
          <w:szCs w:val="28"/>
          <w:rtl/>
        </w:rPr>
        <w:t>–</w:t>
      </w:r>
      <w:r w:rsidRPr="006F4BF0">
        <w:rPr>
          <w:rFonts w:hint="cs"/>
          <w:sz w:val="28"/>
          <w:szCs w:val="28"/>
          <w:rtl/>
        </w:rPr>
        <w:t xml:space="preserve"> 1973</w:t>
      </w:r>
      <w:r w:rsidRPr="006F4BF0">
        <w:rPr>
          <w:sz w:val="28"/>
          <w:szCs w:val="28"/>
          <w:rtl/>
        </w:rPr>
        <w:t xml:space="preserve">, </w:t>
      </w:r>
      <w:r w:rsidRPr="006F4BF0">
        <w:rPr>
          <w:rFonts w:hint="cs"/>
          <w:sz w:val="28"/>
          <w:szCs w:val="28"/>
          <w:rtl/>
        </w:rPr>
        <w:t>בהתאם</w:t>
      </w:r>
      <w:r w:rsidRPr="006F4BF0">
        <w:rPr>
          <w:sz w:val="28"/>
          <w:szCs w:val="28"/>
          <w:rtl/>
        </w:rPr>
        <w:t xml:space="preserve"> </w:t>
      </w:r>
      <w:r w:rsidRPr="006F4BF0">
        <w:rPr>
          <w:rFonts w:hint="cs"/>
          <w:sz w:val="28"/>
          <w:szCs w:val="28"/>
          <w:rtl/>
        </w:rPr>
        <w:t>לכתב האישום המתוקן ולפרטים</w:t>
      </w:r>
      <w:r w:rsidRPr="006F4BF0">
        <w:rPr>
          <w:sz w:val="28"/>
          <w:szCs w:val="28"/>
          <w:rtl/>
        </w:rPr>
        <w:t xml:space="preserve"> </w:t>
      </w:r>
      <w:r w:rsidRPr="006F4BF0">
        <w:rPr>
          <w:rFonts w:hint="cs"/>
          <w:sz w:val="28"/>
          <w:szCs w:val="28"/>
          <w:rtl/>
        </w:rPr>
        <w:t>הנוספים</w:t>
      </w:r>
      <w:r w:rsidRPr="006F4BF0">
        <w:rPr>
          <w:sz w:val="28"/>
          <w:szCs w:val="28"/>
          <w:rtl/>
        </w:rPr>
        <w:t>.</w:t>
      </w:r>
    </w:p>
    <w:p w:rsidR="00317B91" w:rsidRPr="006F4BF0" w:rsidRDefault="00317B91" w:rsidP="006F4BF0">
      <w:pPr>
        <w:autoSpaceDE w:val="0"/>
        <w:autoSpaceDN w:val="0"/>
        <w:spacing w:line="360" w:lineRule="auto"/>
        <w:rPr>
          <w:sz w:val="28"/>
          <w:szCs w:val="28"/>
        </w:rPr>
      </w:pPr>
      <w:r w:rsidRPr="006F4BF0">
        <w:rPr>
          <w:rFonts w:hint="cs"/>
          <w:b/>
          <w:bCs/>
          <w:sz w:val="28"/>
          <w:szCs w:val="28"/>
          <w:rtl/>
        </w:rPr>
        <w:t xml:space="preserve">ניתנה היום, ב' באייר תש"פ, </w:t>
      </w:r>
      <w:r w:rsidR="006F4BF0" w:rsidRPr="006F4BF0">
        <w:rPr>
          <w:rFonts w:hint="cs"/>
          <w:b/>
          <w:bCs/>
          <w:sz w:val="28"/>
          <w:szCs w:val="28"/>
          <w:rtl/>
        </w:rPr>
        <w:t xml:space="preserve">26/04/2020, </w:t>
      </w:r>
      <w:r w:rsidRPr="006F4BF0">
        <w:rPr>
          <w:rFonts w:hint="cs"/>
          <w:b/>
          <w:bCs/>
          <w:sz w:val="28"/>
          <w:szCs w:val="28"/>
          <w:rtl/>
        </w:rPr>
        <w:t>והודעה בפומבי ובמעמד הצדדים.</w:t>
      </w:r>
    </w:p>
    <w:p w:rsidR="00096700" w:rsidRPr="006F4BF0" w:rsidRDefault="00096700" w:rsidP="00096700">
      <w:pPr>
        <w:rPr>
          <w:rFonts w:ascii="Tahoma" w:hAnsi="Tahoma"/>
          <w:sz w:val="28"/>
          <w:szCs w:val="28"/>
          <w:rtl/>
        </w:rPr>
      </w:pPr>
    </w:p>
    <w:p w:rsidR="00096700" w:rsidRPr="006F4BF0" w:rsidRDefault="00096700" w:rsidP="00096700">
      <w:pPr>
        <w:jc w:val="center"/>
        <w:rPr>
          <w:rFonts w:ascii="Tahoma" w:hAnsi="Tahoma"/>
          <w:sz w:val="28"/>
          <w:szCs w:val="28"/>
          <w:rtl/>
        </w:rPr>
      </w:pPr>
      <w:r w:rsidRPr="006F4BF0">
        <w:rPr>
          <w:rFonts w:ascii="Tahoma" w:hAnsi="Tahoma"/>
          <w:sz w:val="28"/>
          <w:szCs w:val="28"/>
          <w:u w:val="single"/>
          <w:rtl/>
        </w:rPr>
        <w:t>____(_-_)______</w:t>
      </w:r>
      <w:r w:rsidRPr="006F4BF0">
        <w:rPr>
          <w:rFonts w:ascii="Tahoma" w:hAnsi="Tahoma"/>
          <w:sz w:val="28"/>
          <w:szCs w:val="28"/>
          <w:u w:val="single"/>
          <w:rtl/>
        </w:rPr>
        <w:softHyphen/>
      </w:r>
      <w:r w:rsidRPr="006F4BF0">
        <w:rPr>
          <w:rFonts w:ascii="Tahoma" w:hAnsi="Tahoma"/>
          <w:sz w:val="28"/>
          <w:szCs w:val="28"/>
          <w:rtl/>
        </w:rPr>
        <w:t xml:space="preserve">            </w:t>
      </w:r>
      <w:r w:rsidRPr="006F4BF0">
        <w:rPr>
          <w:rFonts w:ascii="Tahoma" w:hAnsi="Tahoma"/>
          <w:sz w:val="28"/>
          <w:szCs w:val="28"/>
          <w:u w:val="single"/>
          <w:rtl/>
        </w:rPr>
        <w:t>____(_-_)____</w:t>
      </w:r>
      <w:r w:rsidRPr="006F4BF0">
        <w:rPr>
          <w:rFonts w:ascii="Tahoma" w:hAnsi="Tahoma"/>
          <w:sz w:val="28"/>
          <w:szCs w:val="28"/>
          <w:rtl/>
        </w:rPr>
        <w:t xml:space="preserve">               </w:t>
      </w:r>
      <w:r w:rsidRPr="006F4BF0">
        <w:rPr>
          <w:rFonts w:ascii="Tahoma" w:hAnsi="Tahoma"/>
          <w:sz w:val="28"/>
          <w:szCs w:val="28"/>
          <w:u w:val="single"/>
          <w:rtl/>
        </w:rPr>
        <w:t>____(_-_)____</w:t>
      </w:r>
    </w:p>
    <w:p w:rsidR="00096700" w:rsidRPr="006F4BF0" w:rsidRDefault="006F4BF0" w:rsidP="00096700">
      <w:pPr>
        <w:rPr>
          <w:rFonts w:ascii="Tahoma" w:hAnsi="Tahoma"/>
          <w:sz w:val="28"/>
          <w:szCs w:val="28"/>
          <w:rtl/>
        </w:rPr>
      </w:pPr>
      <w:r>
        <w:rPr>
          <w:rFonts w:ascii="Tahoma" w:hAnsi="Tahoma" w:hint="cs"/>
          <w:sz w:val="28"/>
          <w:szCs w:val="28"/>
          <w:rtl/>
        </w:rPr>
        <w:t xml:space="preserve">        </w:t>
      </w:r>
      <w:r w:rsidR="00096700" w:rsidRPr="006F4BF0">
        <w:rPr>
          <w:rFonts w:ascii="Tahoma" w:hAnsi="Tahoma" w:hint="cs"/>
          <w:sz w:val="28"/>
          <w:szCs w:val="28"/>
          <w:rtl/>
        </w:rPr>
        <w:t xml:space="preserve">            שופט                                   אב"ד                                 </w:t>
      </w:r>
      <w:r w:rsidR="00096700" w:rsidRPr="006F4BF0">
        <w:rPr>
          <w:rFonts w:ascii="Tahoma" w:hAnsi="Tahoma"/>
          <w:sz w:val="28"/>
          <w:szCs w:val="28"/>
          <w:rtl/>
        </w:rPr>
        <w:t>שופט</w:t>
      </w:r>
      <w:r w:rsidR="00096700" w:rsidRPr="006F4BF0">
        <w:rPr>
          <w:rFonts w:ascii="Tahoma" w:hAnsi="Tahoma" w:hint="cs"/>
          <w:sz w:val="28"/>
          <w:szCs w:val="28"/>
          <w:rtl/>
        </w:rPr>
        <w:t>ת</w:t>
      </w:r>
    </w:p>
    <w:p w:rsidR="00096700" w:rsidRPr="006F4BF0" w:rsidRDefault="00096700" w:rsidP="00096700">
      <w:pPr>
        <w:jc w:val="center"/>
        <w:rPr>
          <w:rFonts w:ascii="Tahoma" w:hAnsi="Tahoma"/>
          <w:sz w:val="28"/>
          <w:szCs w:val="28"/>
          <w:rtl/>
        </w:rPr>
      </w:pPr>
    </w:p>
    <w:p w:rsidR="00096700" w:rsidRPr="006F4BF0" w:rsidRDefault="00096700" w:rsidP="00096700">
      <w:pPr>
        <w:jc w:val="center"/>
        <w:rPr>
          <w:rFonts w:ascii="Tahoma" w:hAnsi="Tahoma"/>
          <w:b/>
          <w:bCs/>
          <w:sz w:val="28"/>
          <w:szCs w:val="28"/>
          <w:u w:val="single"/>
          <w:rtl/>
        </w:rPr>
      </w:pPr>
      <w:r w:rsidRPr="006F4BF0">
        <w:rPr>
          <w:rFonts w:ascii="Tahoma" w:hAnsi="Tahoma"/>
          <w:b/>
          <w:bCs/>
          <w:sz w:val="28"/>
          <w:szCs w:val="28"/>
          <w:u w:val="single"/>
          <w:rtl/>
        </w:rPr>
        <w:t xml:space="preserve">גזר </w:t>
      </w:r>
      <w:r w:rsidR="00317B91" w:rsidRPr="006F4BF0">
        <w:rPr>
          <w:rFonts w:ascii="Tahoma" w:hAnsi="Tahoma"/>
          <w:b/>
          <w:bCs/>
          <w:sz w:val="28"/>
          <w:szCs w:val="28"/>
          <w:u w:val="single"/>
          <w:rtl/>
        </w:rPr>
        <w:t>–</w:t>
      </w:r>
      <w:r w:rsidRPr="006F4BF0">
        <w:rPr>
          <w:rFonts w:ascii="Tahoma" w:hAnsi="Tahoma"/>
          <w:b/>
          <w:bCs/>
          <w:sz w:val="28"/>
          <w:szCs w:val="28"/>
          <w:u w:val="single"/>
          <w:rtl/>
        </w:rPr>
        <w:t xml:space="preserve"> דין</w:t>
      </w:r>
    </w:p>
    <w:p w:rsidR="00317B91" w:rsidRPr="006F4BF0" w:rsidRDefault="00317B91" w:rsidP="00096700">
      <w:pPr>
        <w:jc w:val="center"/>
        <w:rPr>
          <w:rFonts w:ascii="Tahoma" w:hAnsi="Tahoma"/>
          <w:sz w:val="28"/>
          <w:szCs w:val="28"/>
          <w:u w:val="single"/>
          <w:rtl/>
        </w:rPr>
      </w:pPr>
    </w:p>
    <w:p w:rsidR="00317B91" w:rsidRPr="006F4BF0" w:rsidRDefault="00317B91" w:rsidP="00317B91">
      <w:pPr>
        <w:pStyle w:val="ListParagraph"/>
        <w:numPr>
          <w:ilvl w:val="0"/>
          <w:numId w:val="5"/>
        </w:numPr>
        <w:spacing w:after="0" w:line="360" w:lineRule="auto"/>
        <w:ind w:left="-58" w:hanging="567"/>
        <w:jc w:val="both"/>
        <w:rPr>
          <w:rFonts w:ascii="Arial (W1)" w:hAnsi="Arial (W1)"/>
          <w:sz w:val="28"/>
          <w:szCs w:val="28"/>
        </w:rPr>
      </w:pPr>
      <w:r w:rsidRPr="006F4BF0">
        <w:rPr>
          <w:rFonts w:hint="cs"/>
          <w:sz w:val="28"/>
          <w:szCs w:val="28"/>
          <w:rtl/>
        </w:rPr>
        <w:t xml:space="preserve">הנאשם הורשע בשורה של עבירות סמים חמורות. פרטי האישום הראשון עד השלישי עוסקים בשלוש עבירות של סחר בסמים מסוכנים שביצע הנאשם עם סוכן מצ"ח 063 שפעל מולו. הנאשם פגש בסוכנים בעיר חדרה והם יצאו יחדיו למשימה צבאית. </w:t>
      </w:r>
    </w:p>
    <w:p w:rsidR="00317B91" w:rsidRPr="006F4BF0" w:rsidRDefault="00317B91" w:rsidP="00317B91">
      <w:pPr>
        <w:pStyle w:val="ListParagraph"/>
        <w:spacing w:after="0" w:line="360" w:lineRule="auto"/>
        <w:ind w:left="-58"/>
        <w:jc w:val="both"/>
        <w:rPr>
          <w:rFonts w:ascii="Arial (W1)" w:hAnsi="Arial (W1)"/>
          <w:sz w:val="28"/>
          <w:szCs w:val="28"/>
        </w:rPr>
      </w:pPr>
      <w:r w:rsidRPr="006F4BF0">
        <w:rPr>
          <w:rFonts w:hint="cs"/>
          <w:b/>
          <w:bCs/>
          <w:sz w:val="28"/>
          <w:szCs w:val="28"/>
          <w:rtl/>
        </w:rPr>
        <w:lastRenderedPageBreak/>
        <w:t>ביום 9 ביולי 2019</w:t>
      </w:r>
      <w:r w:rsidRPr="006F4BF0">
        <w:rPr>
          <w:rFonts w:hint="cs"/>
          <w:sz w:val="28"/>
          <w:szCs w:val="28"/>
          <w:rtl/>
        </w:rPr>
        <w:t xml:space="preserve">, ביחידתו הצבאית של הנאשם, בסיס טירונים דותן, מסר הנאשם לסוכן 063 שקית ניילון שקופה אשר הכילה סם מסוכן מסוג קוקאין במשקל של כ- 0.56 גרם. לבקשת הסוכן, הם נפגשו שוב בהמשך אותו היום, בחניון בחדרה ושם קיבל הנאשם מאדם אחר סם מסוכן מסוג קוקאין במשקל 5.14 גרם והעבירו אל הסוכן, בתמורה ל-4,800 ש"ח. </w:t>
      </w:r>
    </w:p>
    <w:p w:rsidR="00317B91" w:rsidRPr="006F4BF0" w:rsidRDefault="00317B91" w:rsidP="00317B91">
      <w:pPr>
        <w:pStyle w:val="ListParagraph"/>
        <w:spacing w:after="0" w:line="360" w:lineRule="auto"/>
        <w:ind w:left="-58"/>
        <w:jc w:val="both"/>
        <w:rPr>
          <w:rFonts w:ascii="Arial (W1)" w:hAnsi="Arial (W1)"/>
          <w:sz w:val="28"/>
          <w:szCs w:val="28"/>
          <w:rtl/>
        </w:rPr>
      </w:pPr>
      <w:r w:rsidRPr="006F4BF0">
        <w:rPr>
          <w:rFonts w:hint="cs"/>
          <w:b/>
          <w:bCs/>
          <w:sz w:val="28"/>
          <w:szCs w:val="28"/>
          <w:rtl/>
        </w:rPr>
        <w:t>ביום 15 ביולי 2019</w:t>
      </w:r>
      <w:r w:rsidRPr="006F4BF0">
        <w:rPr>
          <w:rFonts w:hint="cs"/>
          <w:sz w:val="28"/>
          <w:szCs w:val="28"/>
          <w:rtl/>
        </w:rPr>
        <w:t xml:space="preserve">, בהתאם לסיכום מראש, נפגשו הנאשם והסוכן בחניון בחדרה והנאשם העביר לסוכן שתי שקיות שבתוכן תערובת של סמים מסוכנים מסוג </w:t>
      </w:r>
      <w:r w:rsidRPr="006F4BF0">
        <w:rPr>
          <w:rFonts w:hint="cs"/>
          <w:sz w:val="28"/>
          <w:szCs w:val="28"/>
        </w:rPr>
        <w:t>MDMA</w:t>
      </w:r>
      <w:r w:rsidRPr="006F4BF0">
        <w:rPr>
          <w:rFonts w:hint="cs"/>
          <w:sz w:val="28"/>
          <w:szCs w:val="28"/>
          <w:rtl/>
        </w:rPr>
        <w:t xml:space="preserve"> ו"קטמין" במשקל של כ- 9.83 גרם תמורת 5,000 ש"ח.</w:t>
      </w:r>
      <w:r w:rsidRPr="006F4BF0">
        <w:rPr>
          <w:rFonts w:ascii="Arial (W1)" w:hAnsi="Arial (W1)" w:hint="cs"/>
          <w:sz w:val="28"/>
          <w:szCs w:val="28"/>
          <w:rtl/>
        </w:rPr>
        <w:t xml:space="preserve"> </w:t>
      </w:r>
    </w:p>
    <w:p w:rsidR="00317B91" w:rsidRPr="006F4BF0" w:rsidRDefault="00317B91" w:rsidP="00317B91">
      <w:pPr>
        <w:pStyle w:val="ListParagraph"/>
        <w:spacing w:after="0" w:line="360" w:lineRule="auto"/>
        <w:ind w:left="-58"/>
        <w:jc w:val="both"/>
        <w:rPr>
          <w:rFonts w:ascii="Arial (W1)" w:hAnsi="Arial (W1)"/>
          <w:sz w:val="28"/>
          <w:szCs w:val="28"/>
          <w:rtl/>
        </w:rPr>
      </w:pPr>
      <w:r w:rsidRPr="006F4BF0">
        <w:rPr>
          <w:rFonts w:ascii="Arial (W1)" w:hAnsi="Arial (W1)" w:hint="cs"/>
          <w:sz w:val="28"/>
          <w:szCs w:val="28"/>
          <w:rtl/>
        </w:rPr>
        <w:t xml:space="preserve">העסקה השלישית התרחשה </w:t>
      </w:r>
      <w:r w:rsidRPr="006F4BF0">
        <w:rPr>
          <w:rFonts w:ascii="Arial (W1)" w:hAnsi="Arial (W1)" w:hint="cs"/>
          <w:b/>
          <w:bCs/>
          <w:sz w:val="28"/>
          <w:szCs w:val="28"/>
          <w:rtl/>
        </w:rPr>
        <w:t>ביום 29 ביולי 2019</w:t>
      </w:r>
      <w:r w:rsidRPr="006F4BF0">
        <w:rPr>
          <w:rFonts w:ascii="Arial (W1)" w:hAnsi="Arial (W1)" w:hint="cs"/>
          <w:sz w:val="28"/>
          <w:szCs w:val="28"/>
          <w:rtl/>
        </w:rPr>
        <w:t xml:space="preserve"> בחניון הסמוך לחוף אולגה בחדרה. הנאשם העביר לסוכן 4 שקיות שקופות שהכילו 17.94 גרם של </w:t>
      </w:r>
      <w:r w:rsidRPr="006F4BF0">
        <w:rPr>
          <w:rFonts w:hint="cs"/>
          <w:sz w:val="28"/>
          <w:szCs w:val="28"/>
          <w:rtl/>
        </w:rPr>
        <w:t xml:space="preserve">תערובת של סמים מסוכנים מסוג </w:t>
      </w:r>
      <w:r w:rsidRPr="006F4BF0">
        <w:rPr>
          <w:rFonts w:hint="cs"/>
          <w:sz w:val="28"/>
          <w:szCs w:val="28"/>
        </w:rPr>
        <w:t>MDMA</w:t>
      </w:r>
      <w:r w:rsidRPr="006F4BF0">
        <w:rPr>
          <w:rFonts w:hint="cs"/>
          <w:sz w:val="28"/>
          <w:szCs w:val="28"/>
          <w:rtl/>
        </w:rPr>
        <w:t xml:space="preserve"> ו"קטמין"</w:t>
      </w:r>
      <w:r w:rsidRPr="006F4BF0">
        <w:rPr>
          <w:rFonts w:ascii="Arial (W1)" w:hAnsi="Arial (W1)" w:hint="cs"/>
          <w:sz w:val="28"/>
          <w:szCs w:val="28"/>
          <w:rtl/>
        </w:rPr>
        <w:t xml:space="preserve"> תמורת 9,000 ש"ח.</w:t>
      </w:r>
    </w:p>
    <w:p w:rsidR="00317B91" w:rsidRPr="006F4BF0" w:rsidRDefault="00317B91" w:rsidP="00317B91">
      <w:pPr>
        <w:pStyle w:val="ListParagraph"/>
        <w:spacing w:after="0" w:line="360" w:lineRule="auto"/>
        <w:ind w:left="-58"/>
        <w:jc w:val="both"/>
        <w:rPr>
          <w:rFonts w:ascii="Arial (W1)" w:hAnsi="Arial (W1)"/>
          <w:sz w:val="28"/>
          <w:szCs w:val="28"/>
        </w:rPr>
      </w:pPr>
      <w:r w:rsidRPr="006F4BF0">
        <w:rPr>
          <w:rFonts w:ascii="Arial (W1)" w:hAnsi="Arial (W1)" w:hint="cs"/>
          <w:sz w:val="28"/>
          <w:szCs w:val="28"/>
          <w:rtl/>
        </w:rPr>
        <w:t xml:space="preserve">בפרט האישום </w:t>
      </w:r>
      <w:r w:rsidRPr="006F4BF0">
        <w:rPr>
          <w:rFonts w:ascii="Arial (W1)" w:hAnsi="Arial (W1)" w:hint="cs"/>
          <w:b/>
          <w:bCs/>
          <w:sz w:val="28"/>
          <w:szCs w:val="28"/>
          <w:rtl/>
        </w:rPr>
        <w:t>הרביעי</w:t>
      </w:r>
      <w:r w:rsidRPr="006F4BF0">
        <w:rPr>
          <w:rFonts w:ascii="Arial (W1)" w:hAnsi="Arial (W1)" w:hint="cs"/>
          <w:sz w:val="28"/>
          <w:szCs w:val="28"/>
          <w:rtl/>
        </w:rPr>
        <w:t>, הורשע הנאשם בכך שבסמוך ליום מעצרו 29 ביולי 2019 החזיק על גופו של סם מסוג קטאמין במשקל 1.53 גרם (כמות שהיא לא לצריכה עצמית).</w:t>
      </w:r>
    </w:p>
    <w:p w:rsidR="00317B91" w:rsidRPr="006F4BF0" w:rsidRDefault="00317B91" w:rsidP="00317B91">
      <w:pPr>
        <w:pStyle w:val="ListParagraph"/>
        <w:spacing w:after="0" w:line="360" w:lineRule="auto"/>
        <w:ind w:left="-58"/>
        <w:jc w:val="both"/>
        <w:rPr>
          <w:rFonts w:ascii="Arial (W1)" w:hAnsi="Arial (W1)"/>
          <w:sz w:val="28"/>
          <w:szCs w:val="28"/>
          <w:rtl/>
        </w:rPr>
      </w:pP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הצדדים הציגו בפנינו הסדר טיעון ובו הסכמה על כלל מרכיבי הענישה; הם ביקשו במשותף כי יוטל על הנאשם עונש של 18 חודשי מאסר לריצוי בפועל, לצד מאסר על תנאי, קנס בסך 10,000 ₪, 364 ימי פסילת רישיון נהיגה והורדה בדרגה. ההגנה ביקשה (בניגוד לעמדת התביעה) כי נורה על כך שעונש הפסילה יחל באופן מיידי, בעוד הנאשם מצוי במאסר.</w:t>
      </w:r>
    </w:p>
    <w:p w:rsidR="00317B91" w:rsidRPr="006F4BF0" w:rsidRDefault="00317B91" w:rsidP="00317B91">
      <w:pPr>
        <w:pStyle w:val="ListParagraph"/>
        <w:spacing w:after="0" w:line="360" w:lineRule="auto"/>
        <w:ind w:left="-58"/>
        <w:jc w:val="both"/>
        <w:rPr>
          <w:sz w:val="28"/>
          <w:szCs w:val="28"/>
          <w:rtl/>
        </w:rPr>
      </w:pP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הצדדים התחשבו בחומרת העבירות בהן הורשע הנאשם. מנגד התחשבו בהודאתו במעשיו, בנטילת האחריות על מעשיו ובנסיבותיו האישיות. כמו כן, התחשבו בפגיעה בזכויותיו של הנאשם כמפורט בהחלטה שנתנה בטענות הזוטא. ההגנה הוסיפה כי הנאשם היה מצוי לקראת שחרורו מן השירות. בדברו האחרון, הביע הנאשם חרטה על מעשיו.</w:t>
      </w:r>
    </w:p>
    <w:p w:rsidR="00317B91" w:rsidRPr="006F4BF0" w:rsidRDefault="00317B91" w:rsidP="00317B91">
      <w:pPr>
        <w:pStyle w:val="ListParagraph"/>
        <w:spacing w:after="0" w:line="360" w:lineRule="auto"/>
        <w:ind w:left="-58"/>
        <w:jc w:val="both"/>
        <w:rPr>
          <w:sz w:val="28"/>
          <w:szCs w:val="28"/>
          <w:rtl/>
        </w:rPr>
      </w:pPr>
    </w:p>
    <w:p w:rsidR="00317B91" w:rsidRPr="006F4BF0" w:rsidRDefault="00317B91" w:rsidP="00317B91">
      <w:pPr>
        <w:pStyle w:val="ListParagraph"/>
        <w:spacing w:after="0" w:line="360" w:lineRule="auto"/>
        <w:ind w:left="-58"/>
        <w:jc w:val="both"/>
        <w:rPr>
          <w:b/>
          <w:bCs/>
          <w:sz w:val="28"/>
          <w:szCs w:val="28"/>
          <w:u w:val="single"/>
          <w:rtl/>
        </w:rPr>
      </w:pPr>
      <w:r w:rsidRPr="006F4BF0">
        <w:rPr>
          <w:rFonts w:hint="cs"/>
          <w:b/>
          <w:bCs/>
          <w:sz w:val="28"/>
          <w:szCs w:val="28"/>
          <w:u w:val="single"/>
          <w:rtl/>
        </w:rPr>
        <w:t>על החומרה שבעבירות הסחר בסמים</w:t>
      </w:r>
    </w:p>
    <w:p w:rsidR="00317B91" w:rsidRPr="006F4BF0" w:rsidRDefault="00317B91" w:rsidP="00317B91">
      <w:pPr>
        <w:pStyle w:val="ListParagraph"/>
        <w:numPr>
          <w:ilvl w:val="0"/>
          <w:numId w:val="5"/>
        </w:numPr>
        <w:spacing w:after="0" w:line="360" w:lineRule="auto"/>
        <w:ind w:left="-58" w:hanging="567"/>
        <w:jc w:val="both"/>
        <w:rPr>
          <w:b/>
          <w:bCs/>
          <w:sz w:val="28"/>
          <w:szCs w:val="28"/>
        </w:rPr>
      </w:pPr>
      <w:r w:rsidRPr="006F4BF0">
        <w:rPr>
          <w:rFonts w:hint="cs"/>
          <w:sz w:val="28"/>
          <w:szCs w:val="28"/>
          <w:rtl/>
        </w:rPr>
        <w:t xml:space="preserve">כידוע, הנזק הנגרם ממנגנון הפצת הסמים המסוכנים, למשתמשים עצמם, לבני משפחותיהם ולחברה כולה הוא עצום. בית המשפט העליון עמד על כך שעבירות הסחר בסמים הן גורם מחולל פשיעה המצוי ברקע ביצוען של עבירות רבות נוספות - במיוחד עבירות רכוש ואלימות. פועל יוצא מכך, שהצורך לגדוע את מנגנון הפצת הסם הוא צו המוטל על מערכת המשפט בכלל ועל בתי הדין הצבאיים בפרט וביתר שאת. </w:t>
      </w:r>
    </w:p>
    <w:p w:rsidR="00317B91" w:rsidRPr="006F4BF0" w:rsidRDefault="00317B91" w:rsidP="00317B91">
      <w:pPr>
        <w:pStyle w:val="ListParagraph"/>
        <w:spacing w:line="360" w:lineRule="auto"/>
        <w:ind w:left="-52"/>
        <w:rPr>
          <w:b/>
          <w:bCs/>
          <w:sz w:val="28"/>
          <w:szCs w:val="28"/>
        </w:rPr>
      </w:pPr>
    </w:p>
    <w:p w:rsidR="00317B91" w:rsidRPr="006F4BF0" w:rsidRDefault="00317B91" w:rsidP="00317B91">
      <w:pPr>
        <w:pStyle w:val="ListParagraph"/>
        <w:numPr>
          <w:ilvl w:val="0"/>
          <w:numId w:val="5"/>
        </w:numPr>
        <w:spacing w:after="0" w:line="360" w:lineRule="auto"/>
        <w:ind w:left="-58" w:hanging="567"/>
        <w:jc w:val="both"/>
        <w:rPr>
          <w:b/>
          <w:bCs/>
          <w:sz w:val="28"/>
          <w:szCs w:val="28"/>
          <w:rtl/>
        </w:rPr>
      </w:pPr>
      <w:r w:rsidRPr="006F4BF0">
        <w:rPr>
          <w:rFonts w:hint="cs"/>
          <w:sz w:val="28"/>
          <w:szCs w:val="28"/>
          <w:rtl/>
        </w:rPr>
        <w:t>כפי שנקבע בפסיקה, בעת בחינת העונש בעבירות של סחר בסם מסוכן יש להתחשב ב</w:t>
      </w:r>
      <w:r w:rsidRPr="006F4BF0">
        <w:rPr>
          <w:rFonts w:hint="cs"/>
          <w:b/>
          <w:bCs/>
          <w:sz w:val="28"/>
          <w:szCs w:val="28"/>
          <w:rtl/>
        </w:rPr>
        <w:t xml:space="preserve">תפקידו ובמעמדו של הנאשם </w:t>
      </w:r>
      <w:r w:rsidRPr="006F4BF0">
        <w:rPr>
          <w:rFonts w:hint="cs"/>
          <w:sz w:val="28"/>
          <w:szCs w:val="28"/>
          <w:rtl/>
        </w:rPr>
        <w:t>בהיררכיה העבריינית ובתרומתו לפעולות שקידמו את עסקי הסמים אשר בגינם הועמד לדין ב</w:t>
      </w:r>
      <w:r w:rsidRPr="006F4BF0">
        <w:rPr>
          <w:rFonts w:hint="cs"/>
          <w:b/>
          <w:bCs/>
          <w:sz w:val="28"/>
          <w:szCs w:val="28"/>
          <w:rtl/>
        </w:rPr>
        <w:t>כמות</w:t>
      </w:r>
      <w:r w:rsidRPr="006F4BF0">
        <w:rPr>
          <w:rFonts w:hint="cs"/>
          <w:sz w:val="28"/>
          <w:szCs w:val="28"/>
          <w:rtl/>
        </w:rPr>
        <w:t xml:space="preserve"> </w:t>
      </w:r>
      <w:r w:rsidRPr="006F4BF0">
        <w:rPr>
          <w:rFonts w:hint="cs"/>
          <w:b/>
          <w:bCs/>
          <w:sz w:val="28"/>
          <w:szCs w:val="28"/>
          <w:rtl/>
        </w:rPr>
        <w:t>הסמים,</w:t>
      </w:r>
      <w:r w:rsidRPr="006F4BF0">
        <w:rPr>
          <w:rFonts w:hint="cs"/>
          <w:sz w:val="28"/>
          <w:szCs w:val="28"/>
          <w:rtl/>
        </w:rPr>
        <w:t xml:space="preserve"> מספר העסקאות בהם נטל חלק הנאשם ותדירותן של העסקאות הנ"ל; </w:t>
      </w:r>
      <w:r w:rsidRPr="006F4BF0">
        <w:rPr>
          <w:rFonts w:hint="cs"/>
          <w:b/>
          <w:bCs/>
          <w:sz w:val="28"/>
          <w:szCs w:val="28"/>
          <w:rtl/>
        </w:rPr>
        <w:t>בשיתוף הפעולה מצד הנאשם עם החוקרים</w:t>
      </w:r>
      <w:r w:rsidRPr="006F4BF0">
        <w:rPr>
          <w:rFonts w:hint="cs"/>
          <w:sz w:val="28"/>
          <w:szCs w:val="28"/>
          <w:rtl/>
        </w:rPr>
        <w:t xml:space="preserve"> ובאופן ניהול משפטו. הובהר, כי גם במקרים שבהם מדובר במכירה של כמויות סם שאינן גדולות הרי ש"אין בכך כדי להפחית מחומרתן של עבירות אלה ומהצורך למגר אותן באמצעות הטלת עונש בעל היבט הרתעתי" (רע"פ 7996/12 </w:t>
      </w:r>
      <w:r w:rsidRPr="006F4BF0">
        <w:rPr>
          <w:rFonts w:hint="cs"/>
          <w:b/>
          <w:bCs/>
          <w:sz w:val="28"/>
          <w:szCs w:val="28"/>
          <w:rtl/>
        </w:rPr>
        <w:t xml:space="preserve">יוסף נ' מדינת ישראל </w:t>
      </w:r>
      <w:r w:rsidRPr="006F4BF0">
        <w:rPr>
          <w:rFonts w:hint="cs"/>
          <w:sz w:val="28"/>
          <w:szCs w:val="28"/>
          <w:rtl/>
        </w:rPr>
        <w:t xml:space="preserve">(2013), בעמ' 7). אשר לנסיבותיו האישיות של הנאשם, קשות ככל שיהיו - בעבירות מסוג זה יש לייחס להן את המשקל השולי ביותר (ע"פ 3759/03 </w:t>
      </w:r>
      <w:r w:rsidRPr="006F4BF0">
        <w:rPr>
          <w:rFonts w:hint="cs"/>
          <w:b/>
          <w:bCs/>
          <w:sz w:val="28"/>
          <w:szCs w:val="28"/>
          <w:rtl/>
        </w:rPr>
        <w:t>תמיר נ' מדינת ישראל</w:t>
      </w:r>
      <w:r w:rsidRPr="006F4BF0">
        <w:rPr>
          <w:rFonts w:hint="cs"/>
          <w:sz w:val="28"/>
          <w:szCs w:val="28"/>
          <w:rtl/>
        </w:rPr>
        <w:t xml:space="preserve"> [פורסם בנבו] (19.2.2004))</w:t>
      </w:r>
      <w:r w:rsidRPr="006F4BF0">
        <w:rPr>
          <w:rFonts w:ascii="Calibri" w:hAnsi="Calibri" w:hint="cs"/>
          <w:sz w:val="28"/>
          <w:szCs w:val="28"/>
          <w:rtl/>
        </w:rPr>
        <w:t xml:space="preserve">. </w:t>
      </w:r>
    </w:p>
    <w:p w:rsidR="00317B91" w:rsidRPr="006F4BF0" w:rsidRDefault="00317B91" w:rsidP="00317B91">
      <w:pPr>
        <w:pStyle w:val="ListParagraph"/>
        <w:spacing w:line="360" w:lineRule="auto"/>
        <w:ind w:left="-52"/>
        <w:rPr>
          <w:sz w:val="28"/>
          <w:szCs w:val="28"/>
        </w:rPr>
      </w:pP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 xml:space="preserve">נפסק כי: "נגע הסמים מכלה בישראל כל חלקה טובה. כמות המילים שהושמעו באשר לצורך להילחם בנגע זה היא אין סופית. אין לך בית משפט בכל ערכאה שהיא, שלא חוזר על האמירות שעניינן המלחמה שהוקדשה לביעור התופעה, ענישה מחמירה ככלי מרכזי במלחמה זו, והצורך להכות בכל אחת מחוליות הפצת הסם בין אם מדובר בבלדר, ובין אם מדובר במי שמעמדו בהיררכיה באותה פעולה ספציפית שעליה נסוב הדיון גבוה יותר" (ע"פ 484/05 </w:t>
      </w:r>
      <w:r w:rsidRPr="006F4BF0">
        <w:rPr>
          <w:rFonts w:hint="cs"/>
          <w:b/>
          <w:bCs/>
          <w:sz w:val="28"/>
          <w:szCs w:val="28"/>
          <w:rtl/>
        </w:rPr>
        <w:t xml:space="preserve">שגב נ' מדינת ישראל </w:t>
      </w:r>
      <w:r w:rsidRPr="006F4BF0">
        <w:rPr>
          <w:rFonts w:hint="cs"/>
          <w:sz w:val="28"/>
          <w:szCs w:val="28"/>
          <w:rtl/>
        </w:rPr>
        <w:t xml:space="preserve">(2006)). </w:t>
      </w:r>
    </w:p>
    <w:p w:rsidR="00317B91" w:rsidRPr="006F4BF0" w:rsidRDefault="00317B91" w:rsidP="00317B91">
      <w:pPr>
        <w:pStyle w:val="ListParagraph"/>
        <w:spacing w:after="0" w:line="360" w:lineRule="auto"/>
        <w:ind w:left="-58"/>
        <w:jc w:val="both"/>
        <w:rPr>
          <w:sz w:val="28"/>
          <w:szCs w:val="28"/>
        </w:rPr>
      </w:pP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 xml:space="preserve">עוד נקבע, כי ראוי כי הענישה בעבירות אלה תהיה מרתיעה במיוחד כאשר מדובר בחייל אשר נמנה עם שורות הצבא וחב חובות אמון מוגברות כלפי עמיתיו לשירות, מפקדיו והציבור כולו (ע/17,18/14 </w:t>
      </w:r>
      <w:r w:rsidRPr="006F4BF0">
        <w:rPr>
          <w:rFonts w:hint="cs"/>
          <w:b/>
          <w:bCs/>
          <w:sz w:val="28"/>
          <w:szCs w:val="28"/>
          <w:rtl/>
        </w:rPr>
        <w:t>סמל אבו זהרי נ' התצ"ר</w:t>
      </w:r>
      <w:r w:rsidRPr="006F4BF0">
        <w:rPr>
          <w:rFonts w:hint="cs"/>
          <w:sz w:val="28"/>
          <w:szCs w:val="28"/>
          <w:rtl/>
        </w:rPr>
        <w:t xml:space="preserve"> (2015)).</w:t>
      </w:r>
    </w:p>
    <w:p w:rsidR="00317B91" w:rsidRPr="006F4BF0" w:rsidRDefault="00317B91" w:rsidP="00317B91">
      <w:pPr>
        <w:pStyle w:val="ListParagraph"/>
        <w:rPr>
          <w:sz w:val="28"/>
          <w:szCs w:val="28"/>
          <w:rtl/>
        </w:rPr>
      </w:pP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 xml:space="preserve">באשר לרמות הענישה בעבירות של סחר בקוקאין ראו רע"פ 6871/19 </w:t>
      </w:r>
      <w:r w:rsidRPr="006F4BF0">
        <w:rPr>
          <w:rFonts w:hint="cs"/>
          <w:b/>
          <w:bCs/>
          <w:sz w:val="28"/>
          <w:szCs w:val="28"/>
          <w:rtl/>
        </w:rPr>
        <w:t>סאמר אבו טאיע נ' מדינת ישראל</w:t>
      </w:r>
      <w:r w:rsidRPr="006F4BF0">
        <w:rPr>
          <w:rFonts w:hint="cs"/>
          <w:sz w:val="28"/>
          <w:szCs w:val="28"/>
          <w:rtl/>
        </w:rPr>
        <w:t xml:space="preserve"> (2019) שם הוטל עונש של 24 חודשי מאסר בפועל לצד עונשי מאסר מותנים, קנס וחילוט. נקבע כי העונש ההולם לכל אירוע של סחר בסם מסוכן מסוג קוקאין במשקלים שבין 9 ל-40 גרם נע בין 12-40 חודשי מאסר בפועל. ברע"פ 126/15 </w:t>
      </w:r>
      <w:r w:rsidRPr="006F4BF0">
        <w:rPr>
          <w:rFonts w:hint="cs"/>
          <w:b/>
          <w:bCs/>
          <w:sz w:val="28"/>
          <w:szCs w:val="28"/>
          <w:rtl/>
        </w:rPr>
        <w:t>טל חביף נ' מדינת ישראל</w:t>
      </w:r>
      <w:r w:rsidRPr="006F4BF0">
        <w:rPr>
          <w:rFonts w:hint="cs"/>
          <w:sz w:val="28"/>
          <w:szCs w:val="28"/>
          <w:rtl/>
        </w:rPr>
        <w:t xml:space="preserve"> (2015) נקבע כי מתחם העונש ההולם בגין כל אירוע של מכירת סם מסוכן מסוג קוקאין נע בין 8 ל-18 חודשי מאסר בפועל. </w:t>
      </w:r>
    </w:p>
    <w:p w:rsidR="00317B91" w:rsidRPr="006F4BF0" w:rsidRDefault="00317B91" w:rsidP="00317B91">
      <w:pPr>
        <w:pStyle w:val="ListParagraph"/>
        <w:spacing w:after="0" w:line="360" w:lineRule="auto"/>
        <w:ind w:left="-58"/>
        <w:jc w:val="both"/>
        <w:rPr>
          <w:sz w:val="28"/>
          <w:szCs w:val="28"/>
          <w:rtl/>
        </w:rPr>
      </w:pPr>
    </w:p>
    <w:p w:rsidR="00317B91" w:rsidRPr="006F4BF0" w:rsidRDefault="00317B91" w:rsidP="00317B91">
      <w:pPr>
        <w:pStyle w:val="ListParagraph"/>
        <w:spacing w:after="0" w:line="360" w:lineRule="auto"/>
        <w:ind w:left="-58"/>
        <w:jc w:val="both"/>
        <w:rPr>
          <w:b/>
          <w:bCs/>
          <w:sz w:val="28"/>
          <w:szCs w:val="28"/>
          <w:u w:val="single"/>
        </w:rPr>
      </w:pPr>
      <w:r w:rsidRPr="006F4BF0">
        <w:rPr>
          <w:rFonts w:hint="cs"/>
          <w:b/>
          <w:bCs/>
          <w:sz w:val="28"/>
          <w:szCs w:val="28"/>
          <w:u w:val="single"/>
          <w:rtl/>
        </w:rPr>
        <w:t>מן הכלל אל הפרט</w:t>
      </w: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 xml:space="preserve">הנאשם הורשע בעבירות סמים חמורות; ב-3 הזדמנויות שונות ובתוך פרק זמן קצר של פחות משלושה שבועות, הוא סחר </w:t>
      </w:r>
      <w:r w:rsidRPr="006F4BF0">
        <w:rPr>
          <w:rFonts w:hint="cs"/>
          <w:b/>
          <w:bCs/>
          <w:sz w:val="28"/>
          <w:szCs w:val="28"/>
          <w:rtl/>
        </w:rPr>
        <w:t xml:space="preserve">בסמים מסוכנים מסוגים שונים: בקוקאין </w:t>
      </w:r>
      <w:r w:rsidRPr="006F4BF0">
        <w:rPr>
          <w:rFonts w:hint="cs"/>
          <w:b/>
          <w:bCs/>
          <w:sz w:val="28"/>
          <w:szCs w:val="28"/>
          <w:rtl/>
        </w:rPr>
        <w:lastRenderedPageBreak/>
        <w:t xml:space="preserve">ובתערובת של סמים מסוכנים מסוג </w:t>
      </w:r>
      <w:r w:rsidRPr="006F4BF0">
        <w:rPr>
          <w:rFonts w:hint="cs"/>
          <w:b/>
          <w:bCs/>
          <w:sz w:val="28"/>
          <w:szCs w:val="28"/>
        </w:rPr>
        <w:t>MDMA</w:t>
      </w:r>
      <w:r w:rsidRPr="006F4BF0">
        <w:rPr>
          <w:rFonts w:hint="cs"/>
          <w:b/>
          <w:bCs/>
          <w:sz w:val="28"/>
          <w:szCs w:val="28"/>
          <w:rtl/>
        </w:rPr>
        <w:t xml:space="preserve"> ו"קטמין", שהשלכותיהם על התודעה היא קשה.</w:t>
      </w:r>
      <w:r w:rsidRPr="006F4BF0">
        <w:rPr>
          <w:rFonts w:hint="cs"/>
          <w:sz w:val="28"/>
          <w:szCs w:val="28"/>
          <w:rtl/>
        </w:rPr>
        <w:t xml:space="preserve"> הנאשם קיבל </w:t>
      </w:r>
      <w:r w:rsidRPr="006F4BF0">
        <w:rPr>
          <w:rFonts w:hint="cs"/>
          <w:b/>
          <w:bCs/>
          <w:sz w:val="28"/>
          <w:szCs w:val="28"/>
          <w:rtl/>
        </w:rPr>
        <w:t>תמורה משמעותית</w:t>
      </w:r>
      <w:r w:rsidRPr="006F4BF0">
        <w:rPr>
          <w:rFonts w:hint="cs"/>
          <w:sz w:val="28"/>
          <w:szCs w:val="28"/>
          <w:rtl/>
        </w:rPr>
        <w:t xml:space="preserve"> עבורם </w:t>
      </w:r>
      <w:r w:rsidRPr="006F4BF0">
        <w:rPr>
          <w:sz w:val="28"/>
          <w:szCs w:val="28"/>
          <w:rtl/>
        </w:rPr>
        <w:t>–</w:t>
      </w:r>
      <w:r w:rsidRPr="006F4BF0">
        <w:rPr>
          <w:rFonts w:hint="cs"/>
          <w:sz w:val="28"/>
          <w:szCs w:val="28"/>
          <w:rtl/>
        </w:rPr>
        <w:t xml:space="preserve"> סכום מצטבר של קרוב ל 20,000 ₪. </w:t>
      </w:r>
    </w:p>
    <w:p w:rsidR="00317B91" w:rsidRPr="006F4BF0" w:rsidRDefault="00317B91" w:rsidP="00317B91">
      <w:pPr>
        <w:pStyle w:val="ListParagraph"/>
        <w:spacing w:after="0" w:line="360" w:lineRule="auto"/>
        <w:ind w:left="-58"/>
        <w:jc w:val="both"/>
        <w:rPr>
          <w:sz w:val="28"/>
          <w:szCs w:val="28"/>
          <w:rtl/>
        </w:rPr>
      </w:pP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 xml:space="preserve">התחשבנו בשיקולים שפירטו הצדדים: הנאשם נטל אחריות על המעשים, תוך ויתור על טענות משפטיות וראייתיות. הצדדים אף הסכימו כי יש להחלטה במשפט הזוטא, על הפגיעה בזכויותיו של הנאשם המפורטות בה משמעות בנוגע לקביעת מידת העונש. לאחר ששקלנו את כלל השיקולים הצריכים לעניין, סברנו כי העונש אליו הגיעו הינו סביר, </w:t>
      </w:r>
      <w:r w:rsidRPr="006F4BF0">
        <w:rPr>
          <w:rFonts w:hint="cs"/>
          <w:b/>
          <w:bCs/>
          <w:sz w:val="28"/>
          <w:szCs w:val="28"/>
          <w:rtl/>
        </w:rPr>
        <w:t>אף כי הוא מקל עם הנאשם במידה רבה</w:t>
      </w:r>
      <w:r w:rsidRPr="006F4BF0">
        <w:rPr>
          <w:rFonts w:hint="cs"/>
          <w:sz w:val="28"/>
          <w:szCs w:val="28"/>
          <w:rtl/>
        </w:rPr>
        <w:t>.</w:t>
      </w:r>
    </w:p>
    <w:p w:rsidR="00317B91" w:rsidRPr="006F4BF0" w:rsidRDefault="00317B91" w:rsidP="00317B91">
      <w:pPr>
        <w:pStyle w:val="ListParagraph"/>
        <w:spacing w:after="0" w:line="360" w:lineRule="auto"/>
        <w:ind w:left="-58"/>
        <w:jc w:val="both"/>
        <w:rPr>
          <w:sz w:val="28"/>
          <w:szCs w:val="28"/>
        </w:rPr>
      </w:pP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באשר למועד תחילת ריצוי עונש הפסילה, לא מצאנו כי ההגנה הציגה בפנינו טעם מיוחד המצדיק את בקשתה, שמשמעותה המעשית היא איון 3 חודשים מתוך תקופת הפסילה המוסכמת. סברנו, כי ההקלה שאותה קיבל הנאשם במידת העונש די בה כדי לסייע לו בשיקומו לאחר השחרור. אנו תקווה כי הנאשם ישתלב היטב בחיים האזרחיים וימצא עבודה שתסייע בשיקומו.</w:t>
      </w:r>
    </w:p>
    <w:p w:rsidR="00317B91" w:rsidRPr="006F4BF0" w:rsidRDefault="00317B91" w:rsidP="00317B91">
      <w:pPr>
        <w:pStyle w:val="ListParagraph"/>
        <w:spacing w:after="0" w:line="360" w:lineRule="auto"/>
        <w:ind w:left="-58"/>
        <w:jc w:val="both"/>
        <w:rPr>
          <w:sz w:val="28"/>
          <w:szCs w:val="28"/>
        </w:rPr>
      </w:pPr>
    </w:p>
    <w:p w:rsidR="00317B91" w:rsidRPr="006F4BF0" w:rsidRDefault="00317B91" w:rsidP="00317B91">
      <w:pPr>
        <w:spacing w:before="120" w:after="120" w:line="360" w:lineRule="auto"/>
        <w:rPr>
          <w:b/>
          <w:bCs/>
          <w:sz w:val="28"/>
          <w:szCs w:val="28"/>
          <w:u w:val="single"/>
          <w:rtl/>
        </w:rPr>
      </w:pPr>
      <w:r w:rsidRPr="006F4BF0">
        <w:rPr>
          <w:rFonts w:hint="cs"/>
          <w:b/>
          <w:bCs/>
          <w:sz w:val="28"/>
          <w:szCs w:val="28"/>
          <w:u w:val="single"/>
          <w:rtl/>
        </w:rPr>
        <w:t>סוף דבר</w:t>
      </w:r>
    </w:p>
    <w:p w:rsidR="00317B91" w:rsidRPr="006F4BF0" w:rsidRDefault="00317B91" w:rsidP="00317B91">
      <w:pPr>
        <w:pStyle w:val="ListParagraph"/>
        <w:numPr>
          <w:ilvl w:val="0"/>
          <w:numId w:val="5"/>
        </w:numPr>
        <w:spacing w:after="0" w:line="360" w:lineRule="auto"/>
        <w:ind w:left="-58" w:hanging="567"/>
        <w:jc w:val="both"/>
        <w:rPr>
          <w:sz w:val="28"/>
          <w:szCs w:val="28"/>
        </w:rPr>
      </w:pPr>
      <w:r w:rsidRPr="006F4BF0">
        <w:rPr>
          <w:rFonts w:hint="cs"/>
          <w:sz w:val="28"/>
          <w:szCs w:val="28"/>
          <w:rtl/>
        </w:rPr>
        <w:t>על הנאשם יוטלו, אפוא, העונשים הבאים:</w:t>
      </w:r>
    </w:p>
    <w:p w:rsidR="00317B91" w:rsidRPr="006F4BF0" w:rsidRDefault="00317B91" w:rsidP="00317B91">
      <w:pPr>
        <w:pStyle w:val="BodyText"/>
        <w:numPr>
          <w:ilvl w:val="0"/>
          <w:numId w:val="6"/>
        </w:numPr>
        <w:autoSpaceDE w:val="0"/>
        <w:autoSpaceDN w:val="0"/>
        <w:contextualSpacing/>
        <w:jc w:val="left"/>
        <w:rPr>
          <w:rFonts w:cs="David"/>
          <w:sz w:val="28"/>
          <w:szCs w:val="28"/>
          <w:rtl/>
        </w:rPr>
      </w:pPr>
      <w:r w:rsidRPr="006F4BF0">
        <w:rPr>
          <w:rFonts w:cs="David" w:hint="cs"/>
          <w:sz w:val="28"/>
          <w:szCs w:val="28"/>
          <w:rtl/>
        </w:rPr>
        <w:t>שמונה עשר (18) חודשי מאסר לריצוי בפועל, שיימנו החל מיום מעצרו.</w:t>
      </w:r>
    </w:p>
    <w:p w:rsidR="00317B91" w:rsidRPr="006F4BF0" w:rsidRDefault="00317B91" w:rsidP="00317B91">
      <w:pPr>
        <w:pStyle w:val="ListParagraph"/>
        <w:numPr>
          <w:ilvl w:val="0"/>
          <w:numId w:val="6"/>
        </w:numPr>
        <w:spacing w:after="0" w:line="360" w:lineRule="auto"/>
        <w:jc w:val="both"/>
        <w:rPr>
          <w:sz w:val="28"/>
          <w:szCs w:val="28"/>
        </w:rPr>
      </w:pPr>
      <w:r w:rsidRPr="006F4BF0">
        <w:rPr>
          <w:rFonts w:hint="cs"/>
          <w:sz w:val="28"/>
          <w:szCs w:val="28"/>
          <w:rtl/>
        </w:rPr>
        <w:t>עונש מאסר מותנה בן שמונה עשר (18) חודשים למשך שלוש (3) שנים, שלא יעבור עבירה מסוג פשע לפי פקודת הסמים המסוכנים [נוסח חדש], התשל"ג – 1973.</w:t>
      </w:r>
    </w:p>
    <w:p w:rsidR="00317B91" w:rsidRPr="006F4BF0" w:rsidRDefault="00317B91" w:rsidP="00317B91">
      <w:pPr>
        <w:pStyle w:val="ListParagraph"/>
        <w:numPr>
          <w:ilvl w:val="0"/>
          <w:numId w:val="6"/>
        </w:numPr>
        <w:spacing w:after="0" w:line="360" w:lineRule="auto"/>
        <w:jc w:val="both"/>
        <w:rPr>
          <w:sz w:val="28"/>
          <w:szCs w:val="28"/>
          <w:rtl/>
        </w:rPr>
      </w:pPr>
      <w:r w:rsidRPr="006F4BF0">
        <w:rPr>
          <w:rFonts w:hint="cs"/>
          <w:sz w:val="28"/>
          <w:szCs w:val="28"/>
          <w:rtl/>
        </w:rPr>
        <w:t xml:space="preserve">עונש מאסר מותנה בן שלושה (3) חודשים למשך שלוש (3) שנים, שלא יעבור עבירה אחרת לפי פקודת הסמים המסוכנים [נוסח חדש], התשל"ג – 1973 </w:t>
      </w:r>
      <w:r w:rsidRPr="006F4BF0">
        <w:rPr>
          <w:rFonts w:ascii="Arial" w:hAnsi="Arial" w:hint="cs"/>
          <w:sz w:val="28"/>
          <w:szCs w:val="28"/>
          <w:rtl/>
        </w:rPr>
        <w:t xml:space="preserve">וכן עבירה לפי חוק המאבק בתופעת השימוש בחומרים מסכנים, התשע"ג </w:t>
      </w:r>
      <w:r w:rsidRPr="006F4BF0">
        <w:rPr>
          <w:rFonts w:ascii="Arial" w:hAnsi="Arial"/>
          <w:sz w:val="28"/>
          <w:szCs w:val="28"/>
          <w:rtl/>
        </w:rPr>
        <w:t>–</w:t>
      </w:r>
      <w:r w:rsidRPr="006F4BF0">
        <w:rPr>
          <w:rFonts w:ascii="Arial" w:hAnsi="Arial" w:hint="cs"/>
          <w:sz w:val="28"/>
          <w:szCs w:val="28"/>
          <w:rtl/>
        </w:rPr>
        <w:t xml:space="preserve"> 2013.</w:t>
      </w:r>
    </w:p>
    <w:p w:rsidR="00317B91" w:rsidRPr="006F4BF0" w:rsidRDefault="00317B91" w:rsidP="00317B91">
      <w:pPr>
        <w:pStyle w:val="ListParagraph"/>
        <w:numPr>
          <w:ilvl w:val="0"/>
          <w:numId w:val="6"/>
        </w:numPr>
        <w:spacing w:after="0" w:line="360" w:lineRule="auto"/>
        <w:jc w:val="both"/>
        <w:rPr>
          <w:rFonts w:ascii="Arial" w:hAnsi="Arial"/>
          <w:sz w:val="28"/>
          <w:szCs w:val="28"/>
        </w:rPr>
      </w:pPr>
      <w:r w:rsidRPr="006F4BF0">
        <w:rPr>
          <w:rFonts w:hint="cs"/>
          <w:sz w:val="28"/>
          <w:szCs w:val="28"/>
          <w:rtl/>
        </w:rPr>
        <w:t>עונש מאסר מותנה בן שלושים (30) ימים למשך שנתיים (2), שלא יעבור עבירה לפי סעיף 127א לחוק השיפוט הצבאי, התשט"ו – 1955</w:t>
      </w:r>
      <w:r w:rsidRPr="006F4BF0">
        <w:rPr>
          <w:rFonts w:ascii="Arial" w:hAnsi="Arial" w:hint="cs"/>
          <w:sz w:val="28"/>
          <w:szCs w:val="28"/>
          <w:rtl/>
        </w:rPr>
        <w:t>, או עבירה שעניינה אי קיום הוראות המחייבות בצבא לפי סעיף 133 לחוק השיפוט הצבאי, התשט"ו -1955, בגין שימוש בחומר משכר כהגדרתו בפקודת מטכ"ל 33.0220, למעט משקה משכר.</w:t>
      </w:r>
    </w:p>
    <w:p w:rsidR="00317B91" w:rsidRPr="006F4BF0" w:rsidRDefault="00317B91" w:rsidP="00317B91">
      <w:pPr>
        <w:pStyle w:val="ListParagraph"/>
        <w:numPr>
          <w:ilvl w:val="0"/>
          <w:numId w:val="6"/>
        </w:numPr>
        <w:spacing w:after="0" w:line="360" w:lineRule="auto"/>
        <w:jc w:val="both"/>
        <w:rPr>
          <w:sz w:val="28"/>
          <w:szCs w:val="28"/>
        </w:rPr>
      </w:pPr>
      <w:r w:rsidRPr="006F4BF0">
        <w:rPr>
          <w:rFonts w:hint="cs"/>
          <w:sz w:val="28"/>
          <w:szCs w:val="28"/>
          <w:rtl/>
        </w:rPr>
        <w:t>הורדה לדרגת טוראי.</w:t>
      </w:r>
    </w:p>
    <w:p w:rsidR="00317B91" w:rsidRPr="006F4BF0" w:rsidRDefault="00317B91" w:rsidP="00317B91">
      <w:pPr>
        <w:pStyle w:val="ListParagraph"/>
        <w:numPr>
          <w:ilvl w:val="0"/>
          <w:numId w:val="6"/>
        </w:numPr>
        <w:spacing w:after="0" w:line="360" w:lineRule="auto"/>
        <w:jc w:val="both"/>
        <w:rPr>
          <w:sz w:val="28"/>
          <w:szCs w:val="28"/>
        </w:rPr>
      </w:pPr>
      <w:r w:rsidRPr="006F4BF0">
        <w:rPr>
          <w:rFonts w:hint="cs"/>
          <w:sz w:val="28"/>
          <w:szCs w:val="28"/>
          <w:rtl/>
        </w:rPr>
        <w:lastRenderedPageBreak/>
        <w:t xml:space="preserve">קנס כספי בסך עשרת אלפים (10,000) ש"ח אשר ישולם ב-עשרה (10) </w:t>
      </w:r>
      <w:r w:rsidRPr="006F4BF0">
        <w:rPr>
          <w:rFonts w:hint="cs"/>
          <w:b/>
          <w:bCs/>
          <w:sz w:val="28"/>
          <w:szCs w:val="28"/>
          <w:rtl/>
        </w:rPr>
        <w:t>תשלומים חודשיים ושווים החל מיום 1 בספטמבר 2020. אי עמידה בתשלום אחד מן התשלומים יעמיד את הקנס כולו לפירעון מידי. לא ישולם הקנס, יישא הנאשם ב-שלושה (3) חודשי מאסר תמורתו.</w:t>
      </w:r>
      <w:r w:rsidRPr="006F4BF0">
        <w:rPr>
          <w:rFonts w:hint="cs"/>
          <w:sz w:val="28"/>
          <w:szCs w:val="28"/>
          <w:rtl/>
        </w:rPr>
        <w:t xml:space="preserve"> הקנס יועבר לטובת קרן החילוט. </w:t>
      </w:r>
    </w:p>
    <w:p w:rsidR="00317B91" w:rsidRPr="006F4BF0" w:rsidRDefault="00317B91" w:rsidP="00317B91">
      <w:pPr>
        <w:pStyle w:val="ListParagraph"/>
        <w:numPr>
          <w:ilvl w:val="0"/>
          <w:numId w:val="6"/>
        </w:numPr>
        <w:spacing w:after="0" w:line="360" w:lineRule="auto"/>
        <w:jc w:val="both"/>
        <w:rPr>
          <w:sz w:val="28"/>
          <w:szCs w:val="28"/>
          <w:rtl/>
        </w:rPr>
      </w:pPr>
      <w:r w:rsidRPr="006F4BF0">
        <w:rPr>
          <w:rFonts w:hint="cs"/>
          <w:sz w:val="28"/>
          <w:szCs w:val="28"/>
          <w:rtl/>
        </w:rPr>
        <w:t>שלוש מאות שישים וארבעה (364) ימי פסילה של רנצ"א שמניינם החל מיום שחרורו מן המאסר. תקופת הפסילה תחל להימנות רק מיום הפקדת רישיונו של הנאשם בסמכות רישוי צה"ל ביפו.</w:t>
      </w:r>
    </w:p>
    <w:p w:rsidR="00317B91" w:rsidRPr="006F4BF0" w:rsidRDefault="00317B91" w:rsidP="00317B91">
      <w:pPr>
        <w:spacing w:line="360" w:lineRule="auto"/>
        <w:rPr>
          <w:b/>
          <w:bCs/>
          <w:sz w:val="28"/>
          <w:szCs w:val="28"/>
          <w:rtl/>
        </w:rPr>
      </w:pPr>
      <w:r w:rsidRPr="006F4BF0">
        <w:rPr>
          <w:rStyle w:val="normal-h"/>
          <w:rFonts w:hint="cs"/>
          <w:b/>
          <w:bCs/>
          <w:sz w:val="28"/>
          <w:szCs w:val="28"/>
          <w:rtl/>
        </w:rPr>
        <w:t>מכשירו הסלולארי של הנאשם שנתפס בידי רשויות מצ"ח יחולט. מצ"ח תאפשר לנאשם להעתיק מן המכשיר את המדיה המצויה בו.</w:t>
      </w:r>
      <w:r w:rsidRPr="006F4BF0">
        <w:rPr>
          <w:rFonts w:hint="cs"/>
          <w:b/>
          <w:bCs/>
          <w:sz w:val="28"/>
          <w:szCs w:val="28"/>
          <w:rtl/>
        </w:rPr>
        <w:t xml:space="preserve"> האופנוע, מ.ר. 87-47167 שנתפס יושב לנאשם או למי מטעמו. </w:t>
      </w:r>
    </w:p>
    <w:p w:rsidR="00317B91" w:rsidRPr="006F4BF0" w:rsidRDefault="00317B91" w:rsidP="00317B91">
      <w:pPr>
        <w:spacing w:line="360" w:lineRule="auto"/>
        <w:rPr>
          <w:b/>
          <w:bCs/>
          <w:sz w:val="28"/>
          <w:szCs w:val="28"/>
          <w:rtl/>
        </w:rPr>
      </w:pPr>
      <w:r w:rsidRPr="006F4BF0">
        <w:rPr>
          <w:rFonts w:hint="cs"/>
          <w:b/>
          <w:bCs/>
          <w:sz w:val="28"/>
          <w:szCs w:val="28"/>
          <w:rtl/>
        </w:rPr>
        <w:t>זכות ערעור כחוק.</w:t>
      </w:r>
    </w:p>
    <w:p w:rsidR="00317B91" w:rsidRPr="006F4BF0" w:rsidRDefault="00317B91" w:rsidP="00317B91">
      <w:pPr>
        <w:spacing w:line="360" w:lineRule="auto"/>
        <w:ind w:left="720" w:hanging="720"/>
        <w:rPr>
          <w:sz w:val="28"/>
          <w:szCs w:val="28"/>
          <w:rtl/>
        </w:rPr>
      </w:pPr>
      <w:r w:rsidRPr="006F4BF0">
        <w:rPr>
          <w:rFonts w:hint="cs"/>
          <w:b/>
          <w:bCs/>
          <w:sz w:val="28"/>
          <w:szCs w:val="28"/>
          <w:rtl/>
        </w:rPr>
        <w:t>ניתן</w:t>
      </w:r>
      <w:r w:rsidRPr="006F4BF0">
        <w:rPr>
          <w:b/>
          <w:bCs/>
          <w:sz w:val="28"/>
          <w:szCs w:val="28"/>
          <w:rtl/>
        </w:rPr>
        <w:t xml:space="preserve"> היום, </w:t>
      </w:r>
      <w:r w:rsidRPr="006F4BF0">
        <w:rPr>
          <w:rFonts w:hint="cs"/>
          <w:b/>
          <w:bCs/>
          <w:sz w:val="28"/>
          <w:szCs w:val="28"/>
          <w:rtl/>
        </w:rPr>
        <w:t>ב'</w:t>
      </w:r>
      <w:r w:rsidRPr="006F4BF0">
        <w:rPr>
          <w:b/>
          <w:bCs/>
          <w:sz w:val="28"/>
          <w:szCs w:val="28"/>
          <w:rtl/>
        </w:rPr>
        <w:t xml:space="preserve"> </w:t>
      </w:r>
      <w:r w:rsidRPr="006F4BF0">
        <w:rPr>
          <w:rFonts w:hint="cs"/>
          <w:b/>
          <w:bCs/>
          <w:sz w:val="28"/>
          <w:szCs w:val="28"/>
          <w:rtl/>
        </w:rPr>
        <w:t>באייר</w:t>
      </w:r>
      <w:r w:rsidRPr="006F4BF0">
        <w:rPr>
          <w:b/>
          <w:bCs/>
          <w:sz w:val="28"/>
          <w:szCs w:val="28"/>
          <w:rtl/>
        </w:rPr>
        <w:t xml:space="preserve"> </w:t>
      </w:r>
      <w:r w:rsidRPr="006F4BF0">
        <w:rPr>
          <w:rFonts w:hint="cs"/>
          <w:b/>
          <w:bCs/>
          <w:sz w:val="28"/>
          <w:szCs w:val="28"/>
          <w:rtl/>
        </w:rPr>
        <w:t>ה</w:t>
      </w:r>
      <w:r w:rsidRPr="006F4BF0">
        <w:rPr>
          <w:b/>
          <w:bCs/>
          <w:sz w:val="28"/>
          <w:szCs w:val="28"/>
          <w:rtl/>
        </w:rPr>
        <w:t>תש"</w:t>
      </w:r>
      <w:r w:rsidRPr="006F4BF0">
        <w:rPr>
          <w:rFonts w:hint="cs"/>
          <w:b/>
          <w:bCs/>
          <w:sz w:val="28"/>
          <w:szCs w:val="28"/>
          <w:rtl/>
        </w:rPr>
        <w:t>ף</w:t>
      </w:r>
      <w:r w:rsidRPr="006F4BF0">
        <w:rPr>
          <w:b/>
          <w:bCs/>
          <w:sz w:val="28"/>
          <w:szCs w:val="28"/>
          <w:rtl/>
        </w:rPr>
        <w:t xml:space="preserve">, </w:t>
      </w:r>
      <w:r w:rsidRPr="006F4BF0">
        <w:rPr>
          <w:rFonts w:hint="cs"/>
          <w:b/>
          <w:bCs/>
          <w:sz w:val="28"/>
          <w:szCs w:val="28"/>
          <w:rtl/>
        </w:rPr>
        <w:t>26 באפריל</w:t>
      </w:r>
      <w:r w:rsidRPr="006F4BF0">
        <w:rPr>
          <w:b/>
          <w:bCs/>
          <w:sz w:val="28"/>
          <w:szCs w:val="28"/>
          <w:rtl/>
        </w:rPr>
        <w:t xml:space="preserve"> 20</w:t>
      </w:r>
      <w:r w:rsidRPr="006F4BF0">
        <w:rPr>
          <w:rFonts w:hint="cs"/>
          <w:b/>
          <w:bCs/>
          <w:sz w:val="28"/>
          <w:szCs w:val="28"/>
          <w:rtl/>
        </w:rPr>
        <w:t>20</w:t>
      </w:r>
      <w:r w:rsidRPr="006F4BF0">
        <w:rPr>
          <w:b/>
          <w:bCs/>
          <w:sz w:val="28"/>
          <w:szCs w:val="28"/>
          <w:rtl/>
        </w:rPr>
        <w:t>, והודע בפומבי ובמעמד הצדדים.</w:t>
      </w:r>
    </w:p>
    <w:p w:rsidR="00096700" w:rsidRPr="006F4BF0" w:rsidRDefault="00096700" w:rsidP="00096700">
      <w:pPr>
        <w:jc w:val="center"/>
        <w:rPr>
          <w:rFonts w:ascii="Tahoma" w:hAnsi="Tahoma"/>
          <w:sz w:val="28"/>
          <w:szCs w:val="28"/>
          <w:rtl/>
        </w:rPr>
      </w:pPr>
    </w:p>
    <w:p w:rsidR="00096700" w:rsidRPr="006F4BF0" w:rsidRDefault="00096700" w:rsidP="00096700">
      <w:pPr>
        <w:jc w:val="center"/>
        <w:rPr>
          <w:rFonts w:ascii="Tahoma" w:hAnsi="Tahoma"/>
          <w:sz w:val="28"/>
          <w:szCs w:val="28"/>
          <w:rtl/>
        </w:rPr>
      </w:pPr>
      <w:r w:rsidRPr="006F4BF0">
        <w:rPr>
          <w:rFonts w:ascii="Tahoma" w:hAnsi="Tahoma"/>
          <w:sz w:val="28"/>
          <w:szCs w:val="28"/>
          <w:u w:val="single"/>
          <w:rtl/>
        </w:rPr>
        <w:t>____(_-_)______</w:t>
      </w:r>
      <w:r w:rsidRPr="006F4BF0">
        <w:rPr>
          <w:rFonts w:ascii="Tahoma" w:hAnsi="Tahoma"/>
          <w:sz w:val="28"/>
          <w:szCs w:val="28"/>
          <w:u w:val="single"/>
          <w:rtl/>
        </w:rPr>
        <w:softHyphen/>
      </w:r>
      <w:r w:rsidRPr="006F4BF0">
        <w:rPr>
          <w:rFonts w:ascii="Tahoma" w:hAnsi="Tahoma"/>
          <w:sz w:val="28"/>
          <w:szCs w:val="28"/>
          <w:rtl/>
        </w:rPr>
        <w:t xml:space="preserve">            </w:t>
      </w:r>
      <w:r w:rsidRPr="006F4BF0">
        <w:rPr>
          <w:rFonts w:ascii="Tahoma" w:hAnsi="Tahoma"/>
          <w:sz w:val="28"/>
          <w:szCs w:val="28"/>
          <w:u w:val="single"/>
          <w:rtl/>
        </w:rPr>
        <w:t>____(_-_)____</w:t>
      </w:r>
      <w:r w:rsidRPr="006F4BF0">
        <w:rPr>
          <w:rFonts w:ascii="Tahoma" w:hAnsi="Tahoma"/>
          <w:sz w:val="28"/>
          <w:szCs w:val="28"/>
          <w:rtl/>
        </w:rPr>
        <w:t xml:space="preserve">               </w:t>
      </w:r>
      <w:r w:rsidRPr="006F4BF0">
        <w:rPr>
          <w:rFonts w:ascii="Tahoma" w:hAnsi="Tahoma"/>
          <w:sz w:val="28"/>
          <w:szCs w:val="28"/>
          <w:u w:val="single"/>
          <w:rtl/>
        </w:rPr>
        <w:t>____(_-_)____</w:t>
      </w:r>
    </w:p>
    <w:p w:rsidR="00096700" w:rsidRPr="006F4BF0" w:rsidRDefault="006F4BF0" w:rsidP="00096700">
      <w:pPr>
        <w:rPr>
          <w:rFonts w:ascii="Tahoma" w:hAnsi="Tahoma"/>
          <w:sz w:val="28"/>
          <w:szCs w:val="28"/>
          <w:rtl/>
        </w:rPr>
      </w:pPr>
      <w:r>
        <w:rPr>
          <w:rFonts w:ascii="Tahoma" w:hAnsi="Tahoma" w:hint="cs"/>
          <w:sz w:val="28"/>
          <w:szCs w:val="28"/>
          <w:rtl/>
        </w:rPr>
        <w:t xml:space="preserve">        </w:t>
      </w:r>
      <w:r w:rsidR="00096700" w:rsidRPr="006F4BF0">
        <w:rPr>
          <w:rFonts w:ascii="Tahoma" w:hAnsi="Tahoma" w:hint="cs"/>
          <w:sz w:val="28"/>
          <w:szCs w:val="28"/>
          <w:rtl/>
        </w:rPr>
        <w:t xml:space="preserve">             שופט                                  אב"ד                                </w:t>
      </w:r>
      <w:r w:rsidR="00096700" w:rsidRPr="006F4BF0">
        <w:rPr>
          <w:rFonts w:ascii="Tahoma" w:hAnsi="Tahoma"/>
          <w:sz w:val="28"/>
          <w:szCs w:val="28"/>
          <w:rtl/>
        </w:rPr>
        <w:t>שופט</w:t>
      </w:r>
      <w:r w:rsidR="00096700" w:rsidRPr="006F4BF0">
        <w:rPr>
          <w:rFonts w:ascii="Tahoma" w:hAnsi="Tahoma" w:hint="cs"/>
          <w:sz w:val="28"/>
          <w:szCs w:val="28"/>
          <w:rtl/>
        </w:rPr>
        <w:t>ת</w:t>
      </w:r>
    </w:p>
    <w:p w:rsidR="00096700" w:rsidRPr="006F4BF0" w:rsidRDefault="00096700" w:rsidP="00096700">
      <w:pPr>
        <w:rPr>
          <w:rFonts w:ascii="Tahoma" w:hAnsi="Tahoma"/>
          <w:sz w:val="28"/>
          <w:szCs w:val="28"/>
          <w:rtl/>
        </w:rPr>
      </w:pPr>
    </w:p>
    <w:p w:rsidR="00096700" w:rsidRPr="006F4BF0" w:rsidRDefault="00096700" w:rsidP="00096700">
      <w:pPr>
        <w:rPr>
          <w:rFonts w:ascii="Tahoma" w:hAnsi="Tahoma"/>
          <w:sz w:val="28"/>
          <w:szCs w:val="28"/>
        </w:rPr>
      </w:pPr>
    </w:p>
    <w:p w:rsidR="00096700" w:rsidRPr="006F4BF0" w:rsidRDefault="00096700" w:rsidP="00096700">
      <w:pPr>
        <w:rPr>
          <w:sz w:val="28"/>
          <w:szCs w:val="28"/>
          <w:rtl/>
        </w:rPr>
      </w:pPr>
      <w:r w:rsidRPr="006F4BF0">
        <w:rPr>
          <w:rFonts w:hint="cs"/>
          <w:sz w:val="28"/>
          <w:szCs w:val="28"/>
          <w:rtl/>
        </w:rPr>
        <w:t>העתק נכון מן המקור</w:t>
      </w:r>
    </w:p>
    <w:p w:rsidR="00096700" w:rsidRPr="006F4BF0" w:rsidRDefault="00096700" w:rsidP="00096700">
      <w:pPr>
        <w:rPr>
          <w:sz w:val="28"/>
          <w:szCs w:val="28"/>
          <w:rtl/>
        </w:rPr>
      </w:pPr>
      <w:r w:rsidRPr="006F4BF0">
        <w:rPr>
          <w:rFonts w:hint="cs"/>
          <w:sz w:val="28"/>
          <w:szCs w:val="28"/>
          <w:rtl/>
        </w:rPr>
        <w:t>ליבי יעקובי, סרן</w:t>
      </w:r>
    </w:p>
    <w:p w:rsidR="00096700" w:rsidRPr="006F4BF0" w:rsidRDefault="00096700" w:rsidP="00096700">
      <w:pPr>
        <w:rPr>
          <w:sz w:val="28"/>
          <w:szCs w:val="28"/>
          <w:rtl/>
        </w:rPr>
      </w:pPr>
      <w:r w:rsidRPr="006F4BF0">
        <w:rPr>
          <w:rFonts w:hint="cs"/>
          <w:sz w:val="28"/>
          <w:szCs w:val="28"/>
          <w:rtl/>
        </w:rPr>
        <w:t>ע. משפטית לנשיאת בית הדין</w:t>
      </w:r>
    </w:p>
    <w:p w:rsidR="00096700" w:rsidRPr="006F4BF0" w:rsidRDefault="00096700" w:rsidP="00096700">
      <w:pPr>
        <w:rPr>
          <w:rFonts w:ascii="Tahoma" w:hAnsi="Tahoma"/>
          <w:sz w:val="28"/>
          <w:szCs w:val="28"/>
          <w:rtl/>
        </w:rPr>
      </w:pPr>
    </w:p>
    <w:p w:rsidR="00096700" w:rsidRPr="006F4BF0" w:rsidRDefault="00096700" w:rsidP="00096700">
      <w:pPr>
        <w:rPr>
          <w:rFonts w:ascii="Tahoma" w:hAnsi="Tahoma"/>
          <w:sz w:val="28"/>
          <w:szCs w:val="28"/>
          <w:rtl/>
        </w:rPr>
      </w:pPr>
      <w:r w:rsidRPr="006F4BF0">
        <w:rPr>
          <w:rFonts w:ascii="Tahoma" w:hAnsi="Tahoma" w:hint="cs"/>
          <w:sz w:val="28"/>
          <w:szCs w:val="28"/>
          <w:rtl/>
        </w:rPr>
        <w:t xml:space="preserve">חתימת </w:t>
      </w:r>
      <w:r w:rsidR="006F4BF0">
        <w:rPr>
          <w:rFonts w:ascii="Tahoma" w:hAnsi="Tahoma" w:hint="cs"/>
          <w:sz w:val="28"/>
          <w:szCs w:val="28"/>
          <w:rtl/>
        </w:rPr>
        <w:t>המגיה</w:t>
      </w:r>
      <w:r w:rsidR="006F4BF0">
        <w:rPr>
          <w:rFonts w:ascii="Tahoma" w:hAnsi="Tahoma" w:hint="cs"/>
          <w:sz w:val="28"/>
          <w:szCs w:val="28"/>
          <w:rtl/>
        </w:rPr>
        <w:tab/>
        <w:t xml:space="preserve">                      </w:t>
      </w:r>
      <w:r w:rsidR="006F4BF0">
        <w:rPr>
          <w:rFonts w:ascii="Tahoma" w:hAnsi="Tahoma" w:hint="cs"/>
          <w:sz w:val="28"/>
          <w:szCs w:val="28"/>
          <w:rtl/>
        </w:rPr>
        <w:tab/>
      </w:r>
      <w:r w:rsidR="006F4BF0">
        <w:rPr>
          <w:rFonts w:ascii="Tahoma" w:hAnsi="Tahoma" w:hint="cs"/>
          <w:sz w:val="28"/>
          <w:szCs w:val="28"/>
          <w:rtl/>
        </w:rPr>
        <w:tab/>
      </w:r>
      <w:r w:rsidRPr="006F4BF0">
        <w:rPr>
          <w:rFonts w:ascii="Tahoma" w:hAnsi="Tahoma" w:hint="cs"/>
          <w:sz w:val="28"/>
          <w:szCs w:val="28"/>
          <w:rtl/>
        </w:rPr>
        <w:t xml:space="preserve">      תאריך הדפסה: 26/04/2020</w:t>
      </w:r>
    </w:p>
    <w:p w:rsidR="00096700" w:rsidRPr="006F4BF0" w:rsidRDefault="00096700" w:rsidP="00096700">
      <w:pPr>
        <w:rPr>
          <w:rFonts w:ascii="Tahoma" w:hAnsi="Tahoma"/>
          <w:sz w:val="28"/>
          <w:szCs w:val="28"/>
          <w:rtl/>
        </w:rPr>
      </w:pPr>
      <w:r w:rsidRPr="006F4BF0">
        <w:rPr>
          <w:rFonts w:ascii="Tahoma" w:hAnsi="Tahoma" w:hint="cs"/>
          <w:sz w:val="28"/>
          <w:szCs w:val="28"/>
          <w:rtl/>
        </w:rPr>
        <w:t>נערך על ידי א.מ.</w:t>
      </w:r>
    </w:p>
    <w:p w:rsidR="00096700" w:rsidRPr="006F4BF0" w:rsidRDefault="00096700" w:rsidP="00096700">
      <w:pPr>
        <w:rPr>
          <w:rFonts w:ascii="Tahoma" w:hAnsi="Tahoma"/>
          <w:sz w:val="28"/>
          <w:szCs w:val="28"/>
        </w:rPr>
      </w:pPr>
    </w:p>
    <w:p w:rsidR="00B82938" w:rsidRDefault="00B82938">
      <w:pPr>
        <w:rPr>
          <w:b/>
          <w:bCs/>
          <w:rtl/>
        </w:rPr>
      </w:pPr>
    </w:p>
    <w:sectPr w:rsidR="00B82938"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64" w:rsidRDefault="00943A64">
      <w:r>
        <w:separator/>
      </w:r>
    </w:p>
  </w:endnote>
  <w:endnote w:type="continuationSeparator" w:id="0">
    <w:p w:rsidR="00943A64" w:rsidRDefault="0094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6F4BF0" w:rsidRDefault="0011094D" w:rsidP="007A0A9D">
    <w:pPr>
      <w:pStyle w:val="Footer"/>
      <w:framePr w:wrap="around" w:vAnchor="text" w:hAnchor="text" w:xAlign="center" w:y="1"/>
      <w:rPr>
        <w:rStyle w:val="PageNumber"/>
        <w:sz w:val="28"/>
        <w:szCs w:val="28"/>
      </w:rPr>
    </w:pPr>
    <w:r w:rsidRPr="006F4BF0">
      <w:rPr>
        <w:rStyle w:val="PageNumber"/>
        <w:sz w:val="28"/>
        <w:szCs w:val="28"/>
        <w:rtl/>
      </w:rPr>
      <w:fldChar w:fldCharType="begin"/>
    </w:r>
    <w:r w:rsidRPr="006F4BF0">
      <w:rPr>
        <w:rStyle w:val="PageNumber"/>
        <w:sz w:val="28"/>
        <w:szCs w:val="28"/>
      </w:rPr>
      <w:instrText xml:space="preserve">PAGE  </w:instrText>
    </w:r>
    <w:r w:rsidRPr="006F4BF0">
      <w:rPr>
        <w:rStyle w:val="PageNumber"/>
        <w:sz w:val="28"/>
        <w:szCs w:val="28"/>
        <w:rtl/>
      </w:rPr>
      <w:fldChar w:fldCharType="separate"/>
    </w:r>
    <w:r w:rsidR="00E36C90">
      <w:rPr>
        <w:rStyle w:val="PageNumber"/>
        <w:noProof/>
        <w:sz w:val="28"/>
        <w:szCs w:val="28"/>
        <w:rtl/>
      </w:rPr>
      <w:t>1</w:t>
    </w:r>
    <w:r w:rsidRPr="006F4BF0">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64" w:rsidRDefault="00943A64">
      <w:r>
        <w:separator/>
      </w:r>
    </w:p>
  </w:footnote>
  <w:footnote w:type="continuationSeparator" w:id="0">
    <w:p w:rsidR="00943A64" w:rsidRDefault="0094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Pr="006F4BF0" w:rsidRDefault="00950E87" w:rsidP="00096700">
    <w:pPr>
      <w:pStyle w:val="Header"/>
      <w:jc w:val="right"/>
      <w:rPr>
        <w:sz w:val="28"/>
        <w:szCs w:val="28"/>
        <w:rtl/>
      </w:rPr>
    </w:pPr>
    <w:r w:rsidRPr="006F4BF0">
      <w:rPr>
        <w:sz w:val="28"/>
        <w:szCs w:val="28"/>
        <w:rtl/>
      </w:rPr>
      <w:fldChar w:fldCharType="begin"/>
    </w:r>
    <w:r w:rsidRPr="006F4BF0">
      <w:rPr>
        <w:sz w:val="28"/>
        <w:szCs w:val="28"/>
        <w:rtl/>
      </w:rPr>
      <w:instrText xml:space="preserve"> </w:instrText>
    </w:r>
    <w:r w:rsidRPr="006F4BF0">
      <w:rPr>
        <w:sz w:val="28"/>
        <w:szCs w:val="28"/>
      </w:rPr>
      <w:instrText>DOCPROPERTY  mispartik  \* MERGEFORMAT</w:instrText>
    </w:r>
    <w:r w:rsidRPr="006F4BF0">
      <w:rPr>
        <w:sz w:val="28"/>
        <w:szCs w:val="28"/>
        <w:rtl/>
      </w:rPr>
      <w:instrText xml:space="preserve"> </w:instrText>
    </w:r>
    <w:r w:rsidRPr="006F4BF0">
      <w:rPr>
        <w:sz w:val="28"/>
        <w:szCs w:val="28"/>
        <w:rtl/>
      </w:rPr>
      <w:fldChar w:fldCharType="separate"/>
    </w:r>
    <w:r w:rsidRPr="006F4BF0">
      <w:rPr>
        <w:sz w:val="28"/>
        <w:szCs w:val="28"/>
        <w:rtl/>
      </w:rPr>
      <w:t>ז"י (מחוזי) 269/19</w:t>
    </w:r>
    <w:r w:rsidRPr="006F4BF0">
      <w:rPr>
        <w:sz w:val="28"/>
        <w:szCs w:val="28"/>
        <w:rtl/>
      </w:rPr>
      <w:fldChar w:fldCharType="end"/>
    </w:r>
  </w:p>
  <w:p w:rsidR="0011094D" w:rsidRPr="006F4BF0" w:rsidRDefault="00096700" w:rsidP="006F4BF0">
    <w:pPr>
      <w:pStyle w:val="Header"/>
      <w:jc w:val="center"/>
      <w:rPr>
        <w:sz w:val="28"/>
        <w:szCs w:val="28"/>
      </w:rPr>
    </w:pPr>
    <w:r w:rsidRPr="006F4BF0">
      <w:rPr>
        <w:rFonts w:hint="cs"/>
        <w:sz w:val="28"/>
        <w:szCs w:val="28"/>
        <w:rtl/>
      </w:rPr>
      <w:t>-</w:t>
    </w:r>
    <w:r w:rsidR="006F4BF0" w:rsidRPr="006F4BF0">
      <w:rPr>
        <w:rFonts w:hint="cs"/>
        <w:sz w:val="28"/>
        <w:szCs w:val="28"/>
        <w:rtl/>
      </w:rPr>
      <w:t>בלמ"ס</w:t>
    </w:r>
    <w:r w:rsidRPr="006F4BF0">
      <w:rPr>
        <w:rFonts w:hint="cs"/>
        <w:sz w:val="28"/>
        <w:szCs w:val="28"/>
        <w:rt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C54241"/>
    <w:multiLevelType w:val="hybridMultilevel"/>
    <w:tmpl w:val="E0CA4A28"/>
    <w:lvl w:ilvl="0" w:tplc="323A6AC6">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D1D69"/>
    <w:multiLevelType w:val="hybridMultilevel"/>
    <w:tmpl w:val="EFD0A3B6"/>
    <w:lvl w:ilvl="0" w:tplc="EB221B5A">
      <w:start w:val="1"/>
      <w:numFmt w:val="hebrew1"/>
      <w:lvlText w:val="%1."/>
      <w:lvlJc w:val="left"/>
      <w:pPr>
        <w:tabs>
          <w:tab w:val="num" w:pos="720"/>
        </w:tabs>
        <w:ind w:left="720" w:hanging="360"/>
      </w:pPr>
      <w:rPr>
        <w:rFonts w:ascii="Times New Roman" w:eastAsia="Times New Roman" w:hAnsi="Times New Roman" w:cs="Davi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FB648E1"/>
    <w:multiLevelType w:val="hybridMultilevel"/>
    <w:tmpl w:val="526C6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096700"/>
    <w:rsid w:val="0011094D"/>
    <w:rsid w:val="00112126"/>
    <w:rsid w:val="001C7675"/>
    <w:rsid w:val="001D759C"/>
    <w:rsid w:val="001E4FB7"/>
    <w:rsid w:val="001E6971"/>
    <w:rsid w:val="002709C4"/>
    <w:rsid w:val="0027299E"/>
    <w:rsid w:val="002A2C9C"/>
    <w:rsid w:val="002C04D8"/>
    <w:rsid w:val="002E097C"/>
    <w:rsid w:val="00302582"/>
    <w:rsid w:val="00317B91"/>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4BF0"/>
    <w:rsid w:val="006F6E0E"/>
    <w:rsid w:val="007740FF"/>
    <w:rsid w:val="007902A1"/>
    <w:rsid w:val="007A0A9D"/>
    <w:rsid w:val="007A1455"/>
    <w:rsid w:val="007C7F10"/>
    <w:rsid w:val="007F51C4"/>
    <w:rsid w:val="00803F79"/>
    <w:rsid w:val="00822979"/>
    <w:rsid w:val="00834A6E"/>
    <w:rsid w:val="0084475E"/>
    <w:rsid w:val="00862C0C"/>
    <w:rsid w:val="00865F44"/>
    <w:rsid w:val="008B4844"/>
    <w:rsid w:val="008C4836"/>
    <w:rsid w:val="008D729E"/>
    <w:rsid w:val="00931769"/>
    <w:rsid w:val="00937A52"/>
    <w:rsid w:val="00943A64"/>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36C90"/>
    <w:rsid w:val="00E41A2F"/>
    <w:rsid w:val="00E43288"/>
    <w:rsid w:val="00E44F6B"/>
    <w:rsid w:val="00E65743"/>
    <w:rsid w:val="00EA0407"/>
    <w:rsid w:val="00EA05AF"/>
    <w:rsid w:val="00EA297A"/>
    <w:rsid w:val="00EC105E"/>
    <w:rsid w:val="00EE2B0E"/>
    <w:rsid w:val="00EF14C0"/>
    <w:rsid w:val="00EF7BAF"/>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65E1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1"/>
    <w:uiPriority w:val="34"/>
    <w:qFormat/>
    <w:rsid w:val="00317B91"/>
    <w:pPr>
      <w:spacing w:after="160" w:line="259" w:lineRule="auto"/>
      <w:ind w:left="720"/>
      <w:contextualSpacing/>
      <w:jc w:val="left"/>
    </w:pPr>
    <w:rPr>
      <w:rFonts w:ascii="David" w:eastAsia="Calibri" w:hAnsi="David"/>
    </w:rPr>
  </w:style>
  <w:style w:type="character" w:customStyle="1" w:styleId="BodyTextChar">
    <w:name w:val="Body Text Char"/>
    <w:link w:val="BodyText"/>
    <w:locked/>
    <w:rsid w:val="00317B91"/>
    <w:rPr>
      <w:lang w:val="x-none" w:eastAsia="he-IL"/>
    </w:rPr>
  </w:style>
  <w:style w:type="paragraph" w:styleId="BodyText">
    <w:name w:val="Body Text"/>
    <w:basedOn w:val="Normal"/>
    <w:link w:val="BodyTextChar"/>
    <w:rsid w:val="00317B91"/>
    <w:pPr>
      <w:spacing w:line="360" w:lineRule="auto"/>
    </w:pPr>
    <w:rPr>
      <w:rFonts w:cs="Times New Roman"/>
      <w:sz w:val="20"/>
      <w:szCs w:val="20"/>
      <w:lang w:val="x-none" w:eastAsia="he-IL"/>
    </w:rPr>
  </w:style>
  <w:style w:type="character" w:customStyle="1" w:styleId="BodyTextChar1">
    <w:name w:val="Body Text Char1"/>
    <w:basedOn w:val="DefaultParagraphFont"/>
    <w:rsid w:val="00317B91"/>
    <w:rPr>
      <w:rFonts w:cs="David"/>
      <w:sz w:val="24"/>
      <w:szCs w:val="24"/>
    </w:rPr>
  </w:style>
  <w:style w:type="character" w:customStyle="1" w:styleId="ListParagraphChar1">
    <w:name w:val="List Paragraph Char1"/>
    <w:link w:val="ListParagraph"/>
    <w:uiPriority w:val="34"/>
    <w:locked/>
    <w:rsid w:val="00317B91"/>
    <w:rPr>
      <w:rFonts w:ascii="David" w:eastAsia="Calibri" w:hAnsi="David" w:cs="David"/>
      <w:sz w:val="24"/>
      <w:szCs w:val="24"/>
    </w:rPr>
  </w:style>
  <w:style w:type="character" w:customStyle="1" w:styleId="normal-h">
    <w:name w:val="normal-h"/>
    <w:rsid w:val="00317B91"/>
  </w:style>
  <w:style w:type="character" w:customStyle="1" w:styleId="ListParagraphChar">
    <w:name w:val="List Paragraph Char"/>
    <w:uiPriority w:val="34"/>
    <w:locked/>
    <w:rsid w:val="00317B9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1201</Words>
  <Characters>6009</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4</cp:revision>
  <dcterms:created xsi:type="dcterms:W3CDTF">2020-05-05T10:27:00Z</dcterms:created>
  <dcterms:modified xsi:type="dcterms:W3CDTF">2020-07-01T08:39:00Z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269/19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8371418</vt:lpwstr>
  </property>
  <property fmtid="{D5CDD505-2E9C-101B-9397-08002B2CF9AE}" pid="7" name="shempratigorem">
    <vt:lpwstr>רועי</vt:lpwstr>
  </property>
  <property fmtid="{D5CDD505-2E9C-101B-9397-08002B2CF9AE}" pid="8" name="shemmishpachagorem">
    <vt:lpwstr>לחמי</vt:lpwstr>
  </property>
  <property fmtid="{D5CDD505-2E9C-101B-9397-08002B2CF9AE}" pid="9" name="dargagorem">
    <vt:lpwstr>רב"ט</vt:lpwstr>
  </property>
  <property fmtid="{D5CDD505-2E9C-101B-9397-08002B2CF9AE}" pid="10" name="yechidagorm">
    <vt:lpwstr>ב סהר 394 מעצר</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רונן שור</vt:lpwstr>
  </property>
  <property fmtid="{D5CDD505-2E9C-101B-9397-08002B2CF9AE}" pid="14" name="taarichnochechievri">
    <vt:lpwstr>ב' באייר התשף"</vt:lpwstr>
  </property>
  <property fmtid="{D5CDD505-2E9C-101B-9397-08002B2CF9AE}" pid="15" name="taarichnochechi">
    <vt:lpwstr>26 באפריל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