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21B6" w14:textId="77777777" w:rsidR="00677379" w:rsidRPr="00126E94" w:rsidRDefault="00677379" w:rsidP="00677379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20A09C10" wp14:editId="4C8FE67B">
            <wp:extent cx="866775" cy="790575"/>
            <wp:effectExtent l="0" t="0" r="9525" b="9525"/>
            <wp:docPr id="1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4789E043" wp14:editId="0F6D538B">
            <wp:extent cx="581025" cy="790575"/>
            <wp:effectExtent l="0" t="0" r="9525" b="9525"/>
            <wp:docPr id="2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4FDCA" w14:textId="77777777" w:rsidR="00677379" w:rsidRPr="00FD2DDA" w:rsidRDefault="00677379" w:rsidP="00677379">
      <w:pPr>
        <w:bidi w:val="0"/>
        <w:spacing w:line="480" w:lineRule="auto"/>
        <w:jc w:val="center"/>
        <w:rPr>
          <w:rFonts w:ascii="David" w:hAnsi="David"/>
          <w:b/>
          <w:bCs/>
          <w:u w:val="single"/>
        </w:rPr>
      </w:pPr>
      <w:r w:rsidRPr="00FD2DDA">
        <w:rPr>
          <w:rFonts w:ascii="David" w:hAnsi="David" w:hint="cs"/>
          <w:b/>
          <w:bCs/>
          <w:u w:val="single"/>
          <w:rtl/>
        </w:rPr>
        <w:t>בבית הדין הצבאי לערעורים</w:t>
      </w:r>
    </w:p>
    <w:p w14:paraId="3310A021" w14:textId="1FDBDBA5" w:rsidR="00677379" w:rsidRPr="00FD2DDA" w:rsidRDefault="00677379" w:rsidP="00677379">
      <w:pPr>
        <w:spacing w:before="120" w:line="480" w:lineRule="auto"/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בפני:</w:t>
      </w:r>
    </w:p>
    <w:p w14:paraId="184817B9" w14:textId="5086119F" w:rsidR="00677379" w:rsidRDefault="00677379" w:rsidP="00677379">
      <w:pPr>
        <w:spacing w:line="240" w:lineRule="auto"/>
        <w:jc w:val="center"/>
        <w:rPr>
          <w:rtl/>
        </w:rPr>
      </w:pPr>
      <w:r w:rsidRPr="00ED4EF3">
        <w:rPr>
          <w:rFonts w:hint="cs"/>
          <w:b/>
          <w:bCs/>
          <w:rtl/>
        </w:rPr>
        <w:t>אל"ם מאיה גולדשמידט</w:t>
      </w:r>
      <w:r>
        <w:rPr>
          <w:rFonts w:hint="cs"/>
          <w:rtl/>
        </w:rPr>
        <w:t xml:space="preserve">    </w:t>
      </w:r>
      <w:r w:rsidRPr="00FD2DDA">
        <w:rPr>
          <w:rFonts w:ascii="David" w:hAnsi="David" w:hint="cs"/>
          <w:b/>
          <w:bCs/>
          <w:rtl/>
        </w:rPr>
        <w:t>–</w:t>
      </w:r>
      <w:r>
        <w:rPr>
          <w:rFonts w:hint="cs"/>
          <w:rtl/>
        </w:rPr>
        <w:t xml:space="preserve">   שופטת</w:t>
      </w:r>
    </w:p>
    <w:p w14:paraId="425EE1F2" w14:textId="4D0ECAF1" w:rsidR="00677379" w:rsidRDefault="00677379" w:rsidP="00677379">
      <w:pPr>
        <w:spacing w:line="240" w:lineRule="auto"/>
        <w:jc w:val="center"/>
        <w:rPr>
          <w:rtl/>
        </w:rPr>
      </w:pPr>
    </w:p>
    <w:p w14:paraId="4B8C6B13" w14:textId="77777777" w:rsidR="00677379" w:rsidRPr="00677379" w:rsidRDefault="00677379" w:rsidP="00677379">
      <w:pPr>
        <w:spacing w:line="240" w:lineRule="auto"/>
        <w:jc w:val="center"/>
        <w:rPr>
          <w:sz w:val="18"/>
          <w:szCs w:val="18"/>
          <w:rtl/>
        </w:rPr>
      </w:pPr>
    </w:p>
    <w:p w14:paraId="20C2E01D" w14:textId="6C78319B" w:rsidR="00677379" w:rsidRDefault="00677379" w:rsidP="00677379">
      <w:pPr>
        <w:rPr>
          <w:rFonts w:ascii="David" w:hAnsi="David"/>
          <w:rtl/>
        </w:rPr>
      </w:pPr>
      <w:r w:rsidRPr="00FD2DDA">
        <w:rPr>
          <w:rFonts w:ascii="David" w:hAnsi="David" w:hint="cs"/>
          <w:rtl/>
        </w:rPr>
        <w:t>בעניין:</w:t>
      </w:r>
    </w:p>
    <w:p w14:paraId="5A13F6A7" w14:textId="77777777" w:rsidR="00677379" w:rsidRPr="00677379" w:rsidRDefault="00677379" w:rsidP="00677379">
      <w:pPr>
        <w:rPr>
          <w:rFonts w:ascii="David" w:hAnsi="David" w:hint="cs"/>
          <w:sz w:val="18"/>
          <w:szCs w:val="18"/>
          <w:rtl/>
        </w:rPr>
      </w:pPr>
    </w:p>
    <w:p w14:paraId="6F1C6C15" w14:textId="5EA5C02C" w:rsidR="00677379" w:rsidRDefault="00677379" w:rsidP="00B22C4C">
      <w:pPr>
        <w:jc w:val="center"/>
        <w:rPr>
          <w:rFonts w:ascii="David" w:hAnsi="David"/>
          <w:rtl/>
        </w:rPr>
      </w:pPr>
      <w:r>
        <w:rPr>
          <w:rFonts w:ascii="David" w:hAnsi="David" w:hint="cs"/>
          <w:b/>
          <w:bCs/>
          <w:rtl/>
        </w:rPr>
        <w:t>ח/</w:t>
      </w:r>
      <w:r w:rsidR="00B22C4C">
        <w:rPr>
          <w:rFonts w:ascii="David" w:hAnsi="David" w:hint="cs"/>
          <w:b/>
          <w:bCs/>
        </w:rPr>
        <w:t>XXXXXXX</w:t>
      </w:r>
      <w:r>
        <w:rPr>
          <w:rFonts w:ascii="David" w:hAnsi="David" w:hint="cs"/>
          <w:b/>
          <w:bCs/>
          <w:rtl/>
        </w:rPr>
        <w:t xml:space="preserve"> טור' נופר ברמי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המערער (ע"י ב"כ,</w:t>
      </w:r>
      <w:r>
        <w:rPr>
          <w:rFonts w:ascii="David" w:hAnsi="David" w:hint="cs"/>
          <w:rtl/>
        </w:rPr>
        <w:t xml:space="preserve"> סרן מישל </w:t>
      </w:r>
      <w:proofErr w:type="spellStart"/>
      <w:r>
        <w:rPr>
          <w:rFonts w:ascii="David" w:hAnsi="David" w:hint="cs"/>
          <w:rtl/>
        </w:rPr>
        <w:t>צ'רנחובסקי</w:t>
      </w:r>
      <w:proofErr w:type="spellEnd"/>
      <w:r w:rsidRPr="00FD2DDA">
        <w:rPr>
          <w:rFonts w:ascii="David" w:hAnsi="David" w:hint="cs"/>
          <w:rtl/>
        </w:rPr>
        <w:t>)</w:t>
      </w:r>
    </w:p>
    <w:p w14:paraId="66CF7C07" w14:textId="77777777" w:rsidR="00677379" w:rsidRPr="00FD2DDA" w:rsidRDefault="00677379" w:rsidP="00677379">
      <w:pPr>
        <w:bidi w:val="0"/>
        <w:jc w:val="center"/>
        <w:rPr>
          <w:rFonts w:ascii="David" w:hAnsi="David"/>
          <w:rtl/>
        </w:rPr>
      </w:pPr>
    </w:p>
    <w:p w14:paraId="306B60A2" w14:textId="77777777" w:rsidR="00677379" w:rsidRPr="00FD2DDA" w:rsidRDefault="00677379" w:rsidP="00677379">
      <w:pPr>
        <w:jc w:val="center"/>
        <w:rPr>
          <w:rFonts w:ascii="David" w:hAnsi="David"/>
          <w:rtl/>
        </w:rPr>
      </w:pPr>
    </w:p>
    <w:p w14:paraId="2266FC32" w14:textId="4AEA3B82" w:rsidR="00677379" w:rsidRDefault="00677379" w:rsidP="00677379">
      <w:pPr>
        <w:spacing w:after="360"/>
        <w:jc w:val="center"/>
        <w:rPr>
          <w:rFonts w:ascii="David" w:hAnsi="David"/>
          <w:b/>
          <w:bCs/>
          <w:rtl/>
        </w:rPr>
      </w:pPr>
      <w:r w:rsidRPr="00FD2DDA">
        <w:rPr>
          <w:rFonts w:ascii="David" w:hAnsi="David" w:hint="cs"/>
          <w:b/>
          <w:bCs/>
          <w:rtl/>
        </w:rPr>
        <w:t xml:space="preserve">נ ג ד </w:t>
      </w:r>
    </w:p>
    <w:p w14:paraId="16F9D813" w14:textId="77777777" w:rsidR="00677379" w:rsidRPr="00677379" w:rsidRDefault="00677379" w:rsidP="00677379">
      <w:pPr>
        <w:spacing w:after="360"/>
        <w:jc w:val="center"/>
        <w:rPr>
          <w:rFonts w:ascii="David" w:hAnsi="David"/>
          <w:b/>
          <w:bCs/>
          <w:sz w:val="16"/>
          <w:szCs w:val="16"/>
          <w:rtl/>
        </w:rPr>
      </w:pPr>
    </w:p>
    <w:p w14:paraId="63E5DFBB" w14:textId="267B78DD" w:rsidR="00677379" w:rsidRPr="00FD2DDA" w:rsidRDefault="00677379" w:rsidP="00677379">
      <w:pPr>
        <w:spacing w:after="120"/>
        <w:jc w:val="center"/>
        <w:rPr>
          <w:rFonts w:ascii="David" w:hAnsi="David"/>
          <w:rtl/>
        </w:rPr>
      </w:pPr>
      <w:r>
        <w:rPr>
          <w:rFonts w:hint="cs"/>
          <w:b/>
          <w:bCs/>
          <w:sz w:val="32"/>
          <w:rtl/>
        </w:rPr>
        <w:t>התובע הצבאי הראשי</w:t>
      </w:r>
      <w:r w:rsidRPr="00FD2DDA">
        <w:rPr>
          <w:rFonts w:ascii="David" w:hAnsi="David" w:hint="cs"/>
          <w:b/>
          <w:bCs/>
          <w:rtl/>
        </w:rPr>
        <w:t xml:space="preserve"> –</w:t>
      </w:r>
      <w:r w:rsidRPr="00FD2DDA">
        <w:rPr>
          <w:rFonts w:ascii="David" w:hAnsi="David" w:hint="cs"/>
          <w:rtl/>
        </w:rPr>
        <w:t xml:space="preserve"> המשיב (ע"י ב"כ,</w:t>
      </w:r>
      <w:r>
        <w:rPr>
          <w:rFonts w:ascii="David" w:hAnsi="David" w:hint="cs"/>
          <w:rtl/>
        </w:rPr>
        <w:t xml:space="preserve"> סרן דיוויד </w:t>
      </w:r>
      <w:proofErr w:type="spellStart"/>
      <w:r>
        <w:rPr>
          <w:rFonts w:ascii="David" w:hAnsi="David" w:hint="cs"/>
          <w:rtl/>
        </w:rPr>
        <w:t>סמולר</w:t>
      </w:r>
      <w:proofErr w:type="spellEnd"/>
      <w:r w:rsidRPr="00FD2DDA">
        <w:rPr>
          <w:rFonts w:ascii="David" w:hAnsi="David" w:hint="cs"/>
          <w:rtl/>
        </w:rPr>
        <w:t>)</w:t>
      </w:r>
    </w:p>
    <w:p w14:paraId="04C4F369" w14:textId="77777777" w:rsidR="00677379" w:rsidRPr="00FD2DDA" w:rsidRDefault="00677379" w:rsidP="00677379">
      <w:pPr>
        <w:spacing w:after="360"/>
        <w:rPr>
          <w:rFonts w:ascii="David" w:hAnsi="David"/>
          <w:b/>
          <w:bCs/>
          <w:u w:val="single"/>
          <w:rtl/>
        </w:rPr>
      </w:pPr>
    </w:p>
    <w:bookmarkEnd w:id="0"/>
    <w:bookmarkEnd w:id="1"/>
    <w:p w14:paraId="6C80D719" w14:textId="05037F5F" w:rsidR="00677379" w:rsidRPr="00EE22D0" w:rsidRDefault="00677379" w:rsidP="00677379">
      <w:pPr>
        <w:spacing w:after="360"/>
        <w:rPr>
          <w:rFonts w:ascii="David" w:hAnsi="David"/>
          <w:rtl/>
        </w:rPr>
      </w:pPr>
      <w:r w:rsidRPr="00EE22D0">
        <w:rPr>
          <w:rFonts w:ascii="David" w:hAnsi="David" w:hint="cs"/>
          <w:rtl/>
        </w:rPr>
        <w:t xml:space="preserve">ערעור על החלטה של בית הדין הצבאי המחוזי במחוז שיפוטי המטכ"ל שניתן בתיק מטכ"ל </w:t>
      </w:r>
      <w:proofErr w:type="spellStart"/>
      <w:r w:rsidRPr="00EE22D0">
        <w:rPr>
          <w:rFonts w:ascii="David" w:hAnsi="David" w:hint="cs"/>
          <w:rtl/>
        </w:rPr>
        <w:t>מ"</w:t>
      </w:r>
      <w:r>
        <w:rPr>
          <w:rFonts w:ascii="David" w:hAnsi="David" w:hint="cs"/>
          <w:rtl/>
        </w:rPr>
        <w:t>ת</w:t>
      </w:r>
      <w:proofErr w:type="spellEnd"/>
      <w:r w:rsidRPr="00EE22D0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51736</w:t>
      </w:r>
      <w:r w:rsidRPr="00EE22D0">
        <w:rPr>
          <w:rFonts w:ascii="David" w:hAnsi="David" w:hint="cs"/>
          <w:rtl/>
        </w:rPr>
        <w:t>-</w:t>
      </w:r>
      <w:r>
        <w:rPr>
          <w:rFonts w:ascii="David" w:hAnsi="David" w:hint="cs"/>
          <w:rtl/>
        </w:rPr>
        <w:t>11</w:t>
      </w:r>
      <w:r w:rsidRPr="00EE22D0">
        <w:rPr>
          <w:rFonts w:ascii="David" w:hAnsi="David" w:hint="cs"/>
          <w:rtl/>
        </w:rPr>
        <w:t xml:space="preserve">-25 (סא"ל </w:t>
      </w:r>
      <w:r>
        <w:rPr>
          <w:rFonts w:ascii="David" w:hAnsi="David" w:hint="cs"/>
          <w:rtl/>
        </w:rPr>
        <w:t>סבסטיאן אוסובסקי</w:t>
      </w:r>
      <w:r w:rsidRPr="00EE22D0">
        <w:rPr>
          <w:rFonts w:ascii="David" w:hAnsi="David" w:hint="cs"/>
          <w:rtl/>
        </w:rPr>
        <w:t xml:space="preserve"> – </w:t>
      </w:r>
      <w:r>
        <w:rPr>
          <w:rFonts w:ascii="David" w:hAnsi="David" w:hint="cs"/>
          <w:rtl/>
        </w:rPr>
        <w:t>סגן הנשיאה</w:t>
      </w:r>
      <w:r w:rsidRPr="00EE22D0">
        <w:rPr>
          <w:rFonts w:ascii="David" w:hAnsi="David" w:hint="cs"/>
          <w:rtl/>
        </w:rPr>
        <w:t xml:space="preserve">) ביום </w:t>
      </w:r>
      <w:r>
        <w:rPr>
          <w:rFonts w:ascii="David" w:hAnsi="David" w:hint="cs"/>
          <w:rtl/>
        </w:rPr>
        <w:t>19</w:t>
      </w:r>
      <w:r w:rsidRPr="00EE22D0">
        <w:rPr>
          <w:rFonts w:ascii="David" w:hAnsi="David" w:hint="cs"/>
          <w:rtl/>
        </w:rPr>
        <w:t>.</w:t>
      </w:r>
      <w:r>
        <w:rPr>
          <w:rFonts w:ascii="David" w:hAnsi="David" w:hint="cs"/>
          <w:rtl/>
        </w:rPr>
        <w:t>11</w:t>
      </w:r>
      <w:r w:rsidRPr="00EE22D0">
        <w:rPr>
          <w:rFonts w:ascii="David" w:hAnsi="David" w:hint="cs"/>
          <w:rtl/>
        </w:rPr>
        <w:t xml:space="preserve">.2025. הערעור </w:t>
      </w:r>
      <w:r>
        <w:rPr>
          <w:rFonts w:ascii="David" w:hAnsi="David" w:hint="cs"/>
          <w:rtl/>
        </w:rPr>
        <w:t>התקבל באופן חלקי</w:t>
      </w:r>
      <w:r w:rsidRPr="00EE22D0">
        <w:rPr>
          <w:rFonts w:ascii="David" w:hAnsi="David" w:hint="cs"/>
          <w:rtl/>
        </w:rPr>
        <w:t>.</w:t>
      </w:r>
    </w:p>
    <w:p w14:paraId="791A6D11" w14:textId="77777777" w:rsidR="00677379" w:rsidRDefault="00677379" w:rsidP="00677379">
      <w:pPr>
        <w:pStyle w:val="ListParagraph"/>
        <w:tabs>
          <w:tab w:val="left" w:pos="226"/>
        </w:tabs>
        <w:ind w:left="-58"/>
        <w:jc w:val="center"/>
        <w:rPr>
          <w:b/>
          <w:bCs/>
          <w:u w:val="single"/>
          <w:rtl/>
        </w:rPr>
      </w:pPr>
    </w:p>
    <w:p w14:paraId="11B6AF99" w14:textId="1F06508D" w:rsidR="00677379" w:rsidRPr="000C308B" w:rsidRDefault="00677379" w:rsidP="00677379">
      <w:pPr>
        <w:pStyle w:val="ListParagraph"/>
        <w:tabs>
          <w:tab w:val="left" w:pos="226"/>
        </w:tabs>
        <w:ind w:left="-58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 ח ל ט ה </w:t>
      </w:r>
    </w:p>
    <w:p w14:paraId="287B4658" w14:textId="77777777" w:rsidR="00677379" w:rsidRDefault="00677379" w:rsidP="00677379">
      <w:pPr>
        <w:pStyle w:val="ListParagraph"/>
        <w:tabs>
          <w:tab w:val="left" w:pos="226"/>
        </w:tabs>
        <w:ind w:left="-58"/>
        <w:rPr>
          <w:rtl/>
        </w:rPr>
      </w:pPr>
    </w:p>
    <w:p w14:paraId="1C465591" w14:textId="77777777" w:rsidR="00677379" w:rsidRDefault="00677379" w:rsidP="00677379">
      <w:pPr>
        <w:pStyle w:val="ListParagraph"/>
        <w:numPr>
          <w:ilvl w:val="0"/>
          <w:numId w:val="1"/>
        </w:numPr>
        <w:tabs>
          <w:tab w:val="left" w:pos="226"/>
        </w:tabs>
        <w:rPr>
          <w:rtl/>
        </w:rPr>
      </w:pPr>
      <w:r>
        <w:rPr>
          <w:rFonts w:hint="cs"/>
          <w:rtl/>
        </w:rPr>
        <w:t>ערעורה של ההגנה עוסק הן בהצדקה להארכת המעצר, לאור טענות ראייתיו</w:t>
      </w:r>
      <w:r>
        <w:rPr>
          <w:rFonts w:hint="eastAsia"/>
          <w:rtl/>
        </w:rPr>
        <w:t>ת</w:t>
      </w:r>
      <w:r>
        <w:rPr>
          <w:rFonts w:hint="cs"/>
          <w:rtl/>
        </w:rPr>
        <w:t xml:space="preserve"> והן בטענות שהעלתה באשר להפניית התיק להשלמת חקירה לאחר טיעוניה בבית הדין קמא ובעקבות אותם טיעונים.  </w:t>
      </w:r>
    </w:p>
    <w:p w14:paraId="514D6CF9" w14:textId="77777777" w:rsidR="00677379" w:rsidRDefault="00677379" w:rsidP="00677379">
      <w:pPr>
        <w:pStyle w:val="ListParagraph"/>
        <w:numPr>
          <w:ilvl w:val="0"/>
          <w:numId w:val="1"/>
        </w:numPr>
        <w:tabs>
          <w:tab w:val="left" w:pos="226"/>
        </w:tabs>
        <w:rPr>
          <w:rtl/>
        </w:rPr>
      </w:pPr>
      <w:r>
        <w:rPr>
          <w:rFonts w:hint="cs"/>
          <w:rtl/>
        </w:rPr>
        <w:t>אכן עסקינן בטענות שיש להן משקל, אולם אלה נטענו בשלב מוקדם, בטרם ניתנה החלטה על ידי בית הדין קמא לגופו של עניין.</w:t>
      </w:r>
    </w:p>
    <w:p w14:paraId="225A695F" w14:textId="77777777" w:rsidR="00677379" w:rsidRDefault="00677379" w:rsidP="00677379">
      <w:pPr>
        <w:pStyle w:val="ListParagraph"/>
        <w:numPr>
          <w:ilvl w:val="0"/>
          <w:numId w:val="1"/>
        </w:numPr>
        <w:tabs>
          <w:tab w:val="left" w:pos="226"/>
        </w:tabs>
        <w:rPr>
          <w:rtl/>
        </w:rPr>
      </w:pPr>
      <w:r>
        <w:rPr>
          <w:rFonts w:hint="cs"/>
          <w:rtl/>
        </w:rPr>
        <w:lastRenderedPageBreak/>
        <w:t>בנסיבות העניין, לאחר שמיעת הערותי</w:t>
      </w:r>
      <w:r>
        <w:rPr>
          <w:rFonts w:hint="eastAsia"/>
          <w:rtl/>
        </w:rPr>
        <w:t>י</w:t>
      </w:r>
      <w:r>
        <w:rPr>
          <w:rFonts w:hint="cs"/>
          <w:rtl/>
        </w:rPr>
        <w:t xml:space="preserve">, הגיעו הצדדים להסכמה לפיה ראוי להמתין לקבלת החלטת בית הדין קמא לגופו של עניין, ולקצר במידת מה את משך המעצר עד ליום א' הקרוב. </w:t>
      </w:r>
    </w:p>
    <w:p w14:paraId="01891DFC" w14:textId="77777777" w:rsidR="00677379" w:rsidRDefault="00677379" w:rsidP="00677379">
      <w:pPr>
        <w:pStyle w:val="ListParagraph"/>
        <w:numPr>
          <w:ilvl w:val="0"/>
          <w:numId w:val="1"/>
        </w:numPr>
        <w:tabs>
          <w:tab w:val="left" w:pos="226"/>
        </w:tabs>
        <w:rPr>
          <w:rtl/>
        </w:rPr>
      </w:pPr>
      <w:r>
        <w:rPr>
          <w:rFonts w:hint="cs"/>
          <w:rtl/>
        </w:rPr>
        <w:t xml:space="preserve">הערעור מתקבל אפוא באופן חלקי, כך שמעצרה של המערערת יוארך עד ליום 23 בנובמבר 2025 בשעה 16:00. </w:t>
      </w:r>
    </w:p>
    <w:p w14:paraId="044FF011" w14:textId="77777777" w:rsidR="00677379" w:rsidRDefault="00677379" w:rsidP="00677379">
      <w:pPr>
        <w:pStyle w:val="ListParagraph"/>
        <w:tabs>
          <w:tab w:val="left" w:pos="226"/>
        </w:tabs>
        <w:ind w:left="-58"/>
        <w:rPr>
          <w:rtl/>
        </w:rPr>
      </w:pPr>
    </w:p>
    <w:p w14:paraId="09B97367" w14:textId="77777777" w:rsidR="00677379" w:rsidRPr="003C7A3E" w:rsidRDefault="00677379" w:rsidP="00677379">
      <w:pPr>
        <w:pStyle w:val="ListParagraph"/>
        <w:tabs>
          <w:tab w:val="left" w:pos="226"/>
        </w:tabs>
        <w:ind w:left="-58"/>
        <w:rPr>
          <w:rtl/>
        </w:rPr>
      </w:pPr>
      <w:r w:rsidRPr="003C7A3E">
        <w:rPr>
          <w:rFonts w:hint="cs"/>
          <w:rtl/>
        </w:rPr>
        <w:t>ניתנה היום,</w:t>
      </w:r>
      <w:r>
        <w:rPr>
          <w:rFonts w:hint="cs"/>
          <w:rtl/>
        </w:rPr>
        <w:t xml:space="preserve">  כ"ט בחשוון </w:t>
      </w:r>
      <w:proofErr w:type="spellStart"/>
      <w:r w:rsidRPr="003C7A3E">
        <w:rPr>
          <w:rFonts w:hint="cs"/>
          <w:rtl/>
        </w:rPr>
        <w:t>התשפ"</w:t>
      </w:r>
      <w:r>
        <w:rPr>
          <w:rFonts w:hint="cs"/>
          <w:rtl/>
        </w:rPr>
        <w:t>ו</w:t>
      </w:r>
      <w:proofErr w:type="spellEnd"/>
      <w:r w:rsidRPr="003C7A3E">
        <w:rPr>
          <w:rFonts w:hint="cs"/>
          <w:rtl/>
        </w:rPr>
        <w:t xml:space="preserve">, </w:t>
      </w:r>
      <w:r>
        <w:rPr>
          <w:rFonts w:hint="cs"/>
          <w:rtl/>
        </w:rPr>
        <w:t>20 בנובמבר 2025,</w:t>
      </w:r>
      <w:r w:rsidRPr="003C7A3E">
        <w:rPr>
          <w:rFonts w:hint="cs"/>
          <w:rtl/>
        </w:rPr>
        <w:t xml:space="preserve"> בפומבי ובמעמד הצדדים.</w:t>
      </w:r>
    </w:p>
    <w:p w14:paraId="2A8CF05F" w14:textId="77777777" w:rsidR="00677379" w:rsidRPr="003C7A3E" w:rsidRDefault="00677379" w:rsidP="00677379">
      <w:pPr>
        <w:pStyle w:val="ListParagraph"/>
        <w:tabs>
          <w:tab w:val="left" w:pos="226"/>
        </w:tabs>
        <w:ind w:left="-58"/>
        <w:rPr>
          <w:rtl/>
        </w:rPr>
      </w:pPr>
    </w:p>
    <w:p w14:paraId="7BEE3EB0" w14:textId="77777777" w:rsidR="00677379" w:rsidRPr="001033BC" w:rsidRDefault="00677379" w:rsidP="00677379">
      <w:pPr>
        <w:rPr>
          <w:rtl/>
        </w:rPr>
      </w:pPr>
      <w:r w:rsidRPr="003C7A3E">
        <w:rPr>
          <w:rFonts w:hint="cs"/>
          <w:b/>
          <w:bCs/>
          <w:rtl/>
        </w:rPr>
        <w:t xml:space="preserve">                                                                                 </w:t>
      </w:r>
    </w:p>
    <w:p w14:paraId="43A10ADF" w14:textId="0F4872B3" w:rsidR="00677379" w:rsidRPr="00B54F91" w:rsidRDefault="00677379" w:rsidP="00677379">
      <w:pPr>
        <w:spacing w:line="312" w:lineRule="auto"/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 xml:space="preserve">                                                                                           </w:t>
      </w:r>
      <w:r w:rsidRPr="00247C7A">
        <w:rPr>
          <w:rFonts w:ascii="David" w:hAnsi="David" w:hint="cs"/>
          <w:b/>
          <w:bCs/>
          <w:rtl/>
        </w:rPr>
        <w:t>________________________</w:t>
      </w:r>
    </w:p>
    <w:p w14:paraId="142AF3E4" w14:textId="77777777" w:rsidR="00677379" w:rsidRPr="00247C7A" w:rsidRDefault="00677379" w:rsidP="00677379">
      <w:pPr>
        <w:keepNext/>
        <w:spacing w:line="312" w:lineRule="auto"/>
        <w:outlineLvl w:val="0"/>
        <w:rPr>
          <w:rFonts w:ascii="David" w:hAnsi="David"/>
          <w:b/>
          <w:bCs/>
          <w:rtl/>
        </w:rPr>
      </w:pPr>
      <w:r w:rsidRPr="00247C7A">
        <w:rPr>
          <w:rFonts w:ascii="David" w:hAnsi="David" w:hint="cs"/>
          <w:b/>
          <w:bCs/>
          <w:rtl/>
        </w:rPr>
        <w:t xml:space="preserve">                                                                               </w:t>
      </w:r>
      <w:r>
        <w:rPr>
          <w:rFonts w:ascii="David" w:hAnsi="David" w:hint="cs"/>
          <w:b/>
          <w:bCs/>
          <w:rtl/>
        </w:rPr>
        <w:t xml:space="preserve">             אל"ם         מאיה        גולדשמידט </w:t>
      </w:r>
      <w:r w:rsidRPr="00247C7A">
        <w:rPr>
          <w:rFonts w:ascii="David" w:hAnsi="David" w:hint="cs"/>
          <w:b/>
          <w:bCs/>
          <w:rtl/>
        </w:rPr>
        <w:t xml:space="preserve"> </w:t>
      </w:r>
    </w:p>
    <w:p w14:paraId="4EDB345D" w14:textId="77777777" w:rsidR="00677379" w:rsidRPr="00247C7A" w:rsidRDefault="00677379" w:rsidP="00677379">
      <w:pPr>
        <w:keepNext/>
        <w:spacing w:line="312" w:lineRule="auto"/>
        <w:outlineLvl w:val="0"/>
        <w:rPr>
          <w:rFonts w:ascii="David" w:hAnsi="David"/>
          <w:b/>
          <w:bCs/>
          <w:rtl/>
        </w:rPr>
      </w:pPr>
      <w:r w:rsidRPr="00247C7A">
        <w:rPr>
          <w:rFonts w:ascii="David" w:hAnsi="David" w:hint="cs"/>
          <w:b/>
          <w:bCs/>
          <w:rtl/>
        </w:rPr>
        <w:t xml:space="preserve">                                                                               </w:t>
      </w:r>
      <w:r>
        <w:rPr>
          <w:rFonts w:ascii="David" w:hAnsi="David" w:hint="cs"/>
          <w:b/>
          <w:bCs/>
          <w:rtl/>
        </w:rPr>
        <w:t xml:space="preserve">            שופטת </w:t>
      </w:r>
      <w:r w:rsidRPr="00247C7A">
        <w:rPr>
          <w:rFonts w:ascii="David" w:hAnsi="David" w:hint="cs"/>
          <w:b/>
          <w:bCs/>
          <w:rtl/>
        </w:rPr>
        <w:tab/>
      </w:r>
      <w:r>
        <w:rPr>
          <w:rFonts w:ascii="David" w:hAnsi="David" w:hint="cs"/>
          <w:b/>
          <w:bCs/>
          <w:rtl/>
        </w:rPr>
        <w:t xml:space="preserve">  </w:t>
      </w:r>
      <w:r w:rsidRPr="00247C7A">
        <w:rPr>
          <w:rFonts w:ascii="David" w:hAnsi="David" w:hint="cs"/>
          <w:b/>
          <w:bCs/>
          <w:rtl/>
        </w:rPr>
        <w:t xml:space="preserve">בית       הדין       הצבאי </w:t>
      </w:r>
    </w:p>
    <w:p w14:paraId="5947B8E4" w14:textId="77777777" w:rsidR="00677379" w:rsidRDefault="00677379" w:rsidP="00677379">
      <w:pPr>
        <w:spacing w:line="312" w:lineRule="auto"/>
        <w:rPr>
          <w:rFonts w:ascii="David" w:hAnsi="David"/>
          <w:b/>
          <w:bCs/>
          <w:rtl/>
        </w:rPr>
      </w:pPr>
      <w:r w:rsidRPr="00247C7A">
        <w:rPr>
          <w:rFonts w:ascii="David" w:hAnsi="David" w:hint="cs"/>
          <w:b/>
          <w:bCs/>
          <w:rtl/>
        </w:rPr>
        <w:t xml:space="preserve">                                                                               </w:t>
      </w:r>
      <w:r>
        <w:rPr>
          <w:rFonts w:ascii="David" w:hAnsi="David" w:hint="cs"/>
          <w:b/>
          <w:bCs/>
          <w:rtl/>
        </w:rPr>
        <w:t xml:space="preserve">             </w:t>
      </w:r>
      <w:r w:rsidRPr="00247C7A">
        <w:rPr>
          <w:rFonts w:ascii="David" w:hAnsi="David" w:hint="cs"/>
          <w:b/>
          <w:bCs/>
          <w:rtl/>
        </w:rPr>
        <w:t>ל     ע     ר     ע      ו      ר      י     ם</w:t>
      </w:r>
    </w:p>
    <w:p w14:paraId="4A74B903" w14:textId="030B083D" w:rsidR="00677379" w:rsidRPr="00B90C83" w:rsidRDefault="00677379" w:rsidP="00677379">
      <w:pPr>
        <w:spacing w:line="312" w:lineRule="auto"/>
        <w:rPr>
          <w:rFonts w:ascii="David" w:hAnsi="David"/>
          <w:b/>
          <w:bCs/>
          <w:rtl/>
        </w:rPr>
      </w:pPr>
      <w:r w:rsidRPr="00247C7A">
        <w:rPr>
          <w:rFonts w:ascii="David" w:hAnsi="David" w:hint="cs"/>
          <w:b/>
          <w:bCs/>
          <w:rtl/>
        </w:rPr>
        <w:t xml:space="preserve">  </w:t>
      </w:r>
    </w:p>
    <w:p w14:paraId="740A3B57" w14:textId="59DEBB93" w:rsidR="00677379" w:rsidRPr="00405BC8" w:rsidRDefault="00677379" w:rsidP="00677379">
      <w:pPr>
        <w:ind w:left="-58" w:right="-567"/>
        <w:rPr>
          <w:rFonts w:ascii="David" w:hAnsi="David"/>
          <w:b/>
          <w:bCs/>
          <w:rtl/>
        </w:rPr>
      </w:pPr>
      <w:bookmarkStart w:id="2" w:name="_Hlk122599666"/>
      <w:bookmarkStart w:id="3" w:name="_Hlk141797760"/>
      <w:r w:rsidRPr="00405BC8">
        <w:rPr>
          <w:rFonts w:ascii="David" w:hAnsi="David"/>
          <w:b/>
          <w:bCs/>
          <w:rtl/>
        </w:rPr>
        <w:t xml:space="preserve">חתימת המגיה: _______________________________      העתק     </w:t>
      </w:r>
      <w:r>
        <w:rPr>
          <w:rFonts w:ascii="David" w:hAnsi="David" w:hint="cs"/>
          <w:b/>
          <w:bCs/>
          <w:rtl/>
        </w:rPr>
        <w:t xml:space="preserve"> </w:t>
      </w:r>
      <w:r w:rsidRPr="00405BC8">
        <w:rPr>
          <w:rFonts w:ascii="David" w:hAnsi="David"/>
          <w:b/>
          <w:bCs/>
          <w:rtl/>
        </w:rPr>
        <w:t xml:space="preserve">נאמן        למקור             </w:t>
      </w:r>
    </w:p>
    <w:p w14:paraId="47936208" w14:textId="4A1F8E4E" w:rsidR="00677379" w:rsidRPr="00405BC8" w:rsidRDefault="00677379" w:rsidP="00677379">
      <w:pPr>
        <w:ind w:left="-58" w:right="-567"/>
        <w:rPr>
          <w:rFonts w:ascii="David" w:hAnsi="David"/>
          <w:b/>
          <w:bCs/>
          <w:rtl/>
        </w:rPr>
      </w:pPr>
      <w:r w:rsidRPr="00405BC8">
        <w:rPr>
          <w:rFonts w:ascii="David" w:hAnsi="David"/>
          <w:b/>
          <w:bCs/>
          <w:rtl/>
        </w:rPr>
        <w:t xml:space="preserve">                                                                                                       </w:t>
      </w:r>
      <w:r>
        <w:rPr>
          <w:rFonts w:ascii="David" w:hAnsi="David" w:hint="cs"/>
          <w:b/>
          <w:bCs/>
          <w:rtl/>
        </w:rPr>
        <w:t xml:space="preserve">רס"ל      מיקה       </w:t>
      </w:r>
      <w:proofErr w:type="spellStart"/>
      <w:r>
        <w:rPr>
          <w:rFonts w:ascii="David" w:hAnsi="David" w:hint="cs"/>
          <w:b/>
          <w:bCs/>
          <w:rtl/>
        </w:rPr>
        <w:t>אשרוב</w:t>
      </w:r>
      <w:proofErr w:type="spellEnd"/>
    </w:p>
    <w:p w14:paraId="7C249642" w14:textId="6DEE3ACD" w:rsidR="00677379" w:rsidRPr="00405BC8" w:rsidRDefault="00677379" w:rsidP="00677379">
      <w:pPr>
        <w:ind w:left="-58" w:right="-567"/>
        <w:rPr>
          <w:rFonts w:ascii="David" w:hAnsi="David"/>
          <w:b/>
          <w:bCs/>
          <w:rtl/>
        </w:rPr>
      </w:pPr>
      <w:r w:rsidRPr="00405BC8">
        <w:rPr>
          <w:rFonts w:ascii="David" w:hAnsi="David"/>
          <w:b/>
          <w:bCs/>
          <w:rtl/>
        </w:rPr>
        <w:t>תאריך: ____________________________________        קצי</w:t>
      </w:r>
      <w:r>
        <w:rPr>
          <w:rFonts w:ascii="David" w:hAnsi="David" w:hint="cs"/>
          <w:b/>
          <w:bCs/>
          <w:rtl/>
        </w:rPr>
        <w:t>נת</w:t>
      </w:r>
      <w:r w:rsidRPr="00405BC8">
        <w:rPr>
          <w:rFonts w:ascii="David" w:hAnsi="David"/>
          <w:b/>
          <w:bCs/>
          <w:rtl/>
        </w:rPr>
        <w:t xml:space="preserve">       בית          הדין</w:t>
      </w:r>
      <w:bookmarkEnd w:id="2"/>
    </w:p>
    <w:bookmarkEnd w:id="3"/>
    <w:p w14:paraId="22A55B83" w14:textId="77777777" w:rsidR="00677379" w:rsidRPr="000B7E52" w:rsidRDefault="00677379" w:rsidP="00677379">
      <w:pPr>
        <w:tabs>
          <w:tab w:val="left" w:pos="226"/>
        </w:tabs>
      </w:pPr>
    </w:p>
    <w:p w14:paraId="494DA2C2" w14:textId="538C2CD7" w:rsidR="00950A5D" w:rsidRDefault="00950A5D" w:rsidP="00677379">
      <w:pPr>
        <w:tabs>
          <w:tab w:val="center" w:pos="1599"/>
          <w:tab w:val="center" w:pos="4150"/>
          <w:tab w:val="center" w:pos="6702"/>
        </w:tabs>
      </w:pPr>
    </w:p>
    <w:sectPr w:rsidR="00950A5D" w:rsidSect="00677379">
      <w:headerReference w:type="default" r:id="rId9"/>
      <w:pgSz w:w="11906" w:h="16838"/>
      <w:pgMar w:top="1418" w:right="1418" w:bottom="1418" w:left="1418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C8C6" w14:textId="77777777" w:rsidR="007F3B54" w:rsidRDefault="007F3B54" w:rsidP="00677379">
      <w:pPr>
        <w:spacing w:line="240" w:lineRule="auto"/>
      </w:pPr>
      <w:r>
        <w:separator/>
      </w:r>
    </w:p>
  </w:endnote>
  <w:endnote w:type="continuationSeparator" w:id="0">
    <w:p w14:paraId="2167570A" w14:textId="77777777" w:rsidR="007F3B54" w:rsidRDefault="007F3B54" w:rsidP="00677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9470" w14:textId="77777777" w:rsidR="007F3B54" w:rsidRDefault="007F3B54" w:rsidP="00677379">
      <w:pPr>
        <w:spacing w:line="240" w:lineRule="auto"/>
      </w:pPr>
      <w:r>
        <w:separator/>
      </w:r>
    </w:p>
  </w:footnote>
  <w:footnote w:type="continuationSeparator" w:id="0">
    <w:p w14:paraId="315F37BE" w14:textId="77777777" w:rsidR="007F3B54" w:rsidRDefault="007F3B54" w:rsidP="00677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9684" w14:textId="09D22C62" w:rsidR="00677379" w:rsidRDefault="00677379">
    <w:pPr>
      <w:pStyle w:val="Header"/>
    </w:pPr>
    <w:r>
      <w:rPr>
        <w:rFonts w:hint="cs"/>
        <w:rtl/>
      </w:rPr>
      <w:t xml:space="preserve">                                                                    </w:t>
    </w:r>
    <w:r w:rsidR="00B22C4C">
      <w:rPr>
        <w:rFonts w:hint="cs"/>
        <w:rtl/>
      </w:rPr>
      <w:t>ב ל מ " ס</w:t>
    </w:r>
    <w:r>
      <w:rPr>
        <w:rFonts w:hint="cs"/>
        <w:rtl/>
      </w:rPr>
      <w:t xml:space="preserve">                                   ע"פ  </w:t>
    </w:r>
    <w:r w:rsidR="00966376">
      <w:rPr>
        <w:rFonts w:hint="cs"/>
        <w:rtl/>
      </w:rPr>
      <w:t>58926</w:t>
    </w:r>
    <w:r>
      <w:rPr>
        <w:rFonts w:hint="cs"/>
        <w:rtl/>
      </w:rPr>
      <w:t xml:space="preserve">-11-25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51E89"/>
    <w:multiLevelType w:val="hybridMultilevel"/>
    <w:tmpl w:val="3C003E66"/>
    <w:lvl w:ilvl="0" w:tplc="AC5832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79"/>
    <w:rsid w:val="005F1976"/>
    <w:rsid w:val="00677379"/>
    <w:rsid w:val="007F3B54"/>
    <w:rsid w:val="00950A5D"/>
    <w:rsid w:val="00966376"/>
    <w:rsid w:val="00B2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65AE"/>
  <w15:chartTrackingRefBased/>
  <w15:docId w15:val="{3A04E7CC-03B1-45EF-A484-8C7A7CC4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379"/>
    <w:pPr>
      <w:bidi/>
      <w:spacing w:after="0" w:line="360" w:lineRule="auto"/>
      <w:jc w:val="both"/>
    </w:pPr>
    <w:rPr>
      <w:rFonts w:ascii="Times New Roman" w:eastAsia="Times New Roman" w:hAnsi="Times New Roman" w:cs="Davi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677379"/>
    <w:rPr>
      <w:rFonts w:ascii="Times New Roman" w:eastAsia="Times New Roman" w:hAnsi="Times New Roman" w:cs="David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773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379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379"/>
    <w:rPr>
      <w:rFonts w:ascii="Times New Roman" w:eastAsia="Times New Roman" w:hAnsi="Times New Roman" w:cs="David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77379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379"/>
    <w:rPr>
      <w:rFonts w:ascii="Times New Roman" w:eastAsia="Times New Roman" w:hAnsi="Times New Roman" w:cs="Davi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1584</Characters>
  <Application>Microsoft Office Word</Application>
  <DocSecurity>0</DocSecurity>
  <Lines>13</Lines>
  <Paragraphs>3</Paragraphs>
  <ScaleCrop>false</ScaleCrop>
  <Company>MOD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ארבל דו גלאון - בית הדין לערעורים/מש"ק משפט</dc:creator>
  <cp:keywords/>
  <dc:description/>
  <cp:lastModifiedBy>ארבל דו גלאון - בית הדין לערעורים/מש"ק משפט</cp:lastModifiedBy>
  <cp:revision>3</cp:revision>
  <dcterms:created xsi:type="dcterms:W3CDTF">2025-11-23T09:53:00Z</dcterms:created>
  <dcterms:modified xsi:type="dcterms:W3CDTF">2025-11-27T07:40:00Z</dcterms:modified>
</cp:coreProperties>
</file>