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A7C9" w14:textId="77777777" w:rsidR="00FA58FF" w:rsidRPr="00126E94" w:rsidRDefault="00FA58FF" w:rsidP="00FA58FF">
      <w:pPr>
        <w:tabs>
          <w:tab w:val="right" w:pos="6328"/>
        </w:tabs>
        <w:spacing w:line="480" w:lineRule="auto"/>
        <w:ind w:left="2500" w:right="1985"/>
        <w:rPr>
          <w:rtl/>
        </w:rPr>
      </w:pPr>
      <w:bookmarkStart w:id="0" w:name="_Hlk149821736"/>
      <w:bookmarkStart w:id="1" w:name="_Hlk149824479"/>
      <w:r w:rsidRPr="009A19A1">
        <w:rPr>
          <w:noProof/>
        </w:rPr>
        <w:drawing>
          <wp:inline distT="0" distB="0" distL="0" distR="0" wp14:anchorId="4FA2A301" wp14:editId="2D544AC3">
            <wp:extent cx="866775" cy="790575"/>
            <wp:effectExtent l="0" t="0" r="0" b="0"/>
            <wp:docPr id="6"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9A19A1">
        <w:rPr>
          <w:noProof/>
        </w:rPr>
        <w:drawing>
          <wp:inline distT="0" distB="0" distL="0" distR="0" wp14:anchorId="15C4D5D0" wp14:editId="3B4B3E2A">
            <wp:extent cx="581025" cy="789940"/>
            <wp:effectExtent l="0" t="0" r="0" b="0"/>
            <wp:docPr id="5"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54D77EFE" w14:textId="77777777" w:rsidR="00FA58FF" w:rsidRPr="00FD2DDA" w:rsidRDefault="00FA58FF" w:rsidP="00FA58FF">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6A2FC038" w14:textId="77777777" w:rsidR="00FA58FF" w:rsidRPr="003B5FE4" w:rsidRDefault="00FA58FF" w:rsidP="00FA58FF">
      <w:pPr>
        <w:spacing w:before="120" w:line="480" w:lineRule="auto"/>
        <w:jc w:val="both"/>
        <w:rPr>
          <w:rFonts w:cs="David"/>
          <w:b/>
          <w:bCs/>
          <w:sz w:val="10"/>
          <w:szCs w:val="10"/>
          <w:rtl/>
        </w:rPr>
      </w:pPr>
      <w:r w:rsidRPr="00FD2DDA">
        <w:rPr>
          <w:rFonts w:ascii="David" w:hAnsi="David" w:cs="David" w:hint="cs"/>
          <w:sz w:val="28"/>
          <w:szCs w:val="28"/>
          <w:rtl/>
        </w:rPr>
        <w:t>בפני:</w:t>
      </w:r>
      <w:r w:rsidRPr="005E2B5F">
        <w:rPr>
          <w:rFonts w:cs="David"/>
          <w:sz w:val="28"/>
          <w:szCs w:val="28"/>
          <w:rtl/>
        </w:rPr>
        <w:br/>
      </w:r>
    </w:p>
    <w:p w14:paraId="44EE1E67" w14:textId="77777777" w:rsidR="00FA58FF" w:rsidRPr="003B5FE4" w:rsidRDefault="00FA58FF" w:rsidP="00FA58FF">
      <w:pPr>
        <w:spacing w:before="120" w:line="480" w:lineRule="auto"/>
        <w:jc w:val="center"/>
        <w:rPr>
          <w:rFonts w:ascii="David" w:hAnsi="David" w:cs="David"/>
          <w:sz w:val="28"/>
          <w:szCs w:val="28"/>
          <w:rtl/>
        </w:rPr>
      </w:pPr>
      <w:r w:rsidRPr="005E2B5F">
        <w:rPr>
          <w:rFonts w:cs="David" w:hint="cs"/>
          <w:b/>
          <w:bCs/>
          <w:sz w:val="28"/>
          <w:szCs w:val="28"/>
          <w:rtl/>
        </w:rPr>
        <w:t>אל"ם</w:t>
      </w:r>
      <w:r>
        <w:rPr>
          <w:rFonts w:cs="David" w:hint="cs"/>
          <w:b/>
          <w:bCs/>
          <w:sz w:val="28"/>
          <w:szCs w:val="28"/>
          <w:rtl/>
        </w:rPr>
        <w:t xml:space="preserve"> </w:t>
      </w:r>
      <w:r w:rsidRPr="005E2B5F">
        <w:rPr>
          <w:rFonts w:cs="David" w:hint="cs"/>
          <w:b/>
          <w:bCs/>
          <w:sz w:val="28"/>
          <w:szCs w:val="28"/>
          <w:rtl/>
        </w:rPr>
        <w:t>מאיה</w:t>
      </w:r>
      <w:r>
        <w:rPr>
          <w:rFonts w:cs="David" w:hint="cs"/>
          <w:b/>
          <w:bCs/>
          <w:sz w:val="28"/>
          <w:szCs w:val="28"/>
          <w:rtl/>
        </w:rPr>
        <w:t xml:space="preserve"> </w:t>
      </w:r>
      <w:r w:rsidRPr="005E2B5F">
        <w:rPr>
          <w:rFonts w:cs="David" w:hint="cs"/>
          <w:b/>
          <w:bCs/>
          <w:sz w:val="28"/>
          <w:szCs w:val="28"/>
          <w:rtl/>
        </w:rPr>
        <w:t>גולדשמידט</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Pr>
          <w:rFonts w:cs="David" w:hint="cs"/>
          <w:b/>
          <w:bCs/>
          <w:sz w:val="28"/>
          <w:szCs w:val="28"/>
          <w:rtl/>
        </w:rPr>
        <w:t xml:space="preserve">  </w:t>
      </w:r>
      <w:r>
        <w:rPr>
          <w:rFonts w:cs="David" w:hint="cs"/>
          <w:sz w:val="28"/>
          <w:szCs w:val="28"/>
          <w:rtl/>
        </w:rPr>
        <w:t>שופטת</w:t>
      </w:r>
    </w:p>
    <w:p w14:paraId="7E112B22" w14:textId="77777777" w:rsidR="00FA58FF" w:rsidRPr="00AD7F34" w:rsidRDefault="00FA58FF" w:rsidP="00FA58FF">
      <w:pPr>
        <w:spacing w:before="120" w:line="480" w:lineRule="auto"/>
        <w:ind w:left="2174" w:right="2268"/>
        <w:jc w:val="both"/>
        <w:rPr>
          <w:rFonts w:cs="David"/>
          <w:b/>
          <w:bCs/>
          <w:sz w:val="6"/>
          <w:szCs w:val="6"/>
          <w:rtl/>
        </w:rPr>
      </w:pPr>
    </w:p>
    <w:p w14:paraId="73B0AFC2" w14:textId="77777777" w:rsidR="00FA58FF" w:rsidRDefault="00FA58FF" w:rsidP="00FA58FF">
      <w:pPr>
        <w:rPr>
          <w:rFonts w:ascii="David" w:hAnsi="David" w:cs="David"/>
          <w:sz w:val="28"/>
          <w:szCs w:val="28"/>
          <w:rtl/>
        </w:rPr>
      </w:pPr>
      <w:r w:rsidRPr="00FD2DDA">
        <w:rPr>
          <w:rFonts w:ascii="David" w:hAnsi="David" w:cs="David" w:hint="cs"/>
          <w:sz w:val="28"/>
          <w:szCs w:val="28"/>
          <w:rtl/>
        </w:rPr>
        <w:t>בעניין:</w:t>
      </w:r>
    </w:p>
    <w:p w14:paraId="5C53A1C8" w14:textId="77777777" w:rsidR="00FA58FF" w:rsidRPr="00AD7F34" w:rsidRDefault="00FA58FF" w:rsidP="00FA58FF">
      <w:pPr>
        <w:rPr>
          <w:rFonts w:ascii="David" w:hAnsi="David" w:cs="David"/>
          <w:sz w:val="10"/>
          <w:szCs w:val="10"/>
          <w:rtl/>
        </w:rPr>
      </w:pPr>
    </w:p>
    <w:p w14:paraId="0F725CB0" w14:textId="6C524211" w:rsidR="00FA58FF" w:rsidRDefault="00301DAB" w:rsidP="00301DAB">
      <w:pPr>
        <w:spacing w:after="120"/>
        <w:jc w:val="center"/>
        <w:rPr>
          <w:rFonts w:ascii="Times New Roman" w:eastAsia="Times New Roman" w:hAnsi="Times New Roman" w:cs="David"/>
          <w:b/>
          <w:bCs/>
          <w:sz w:val="32"/>
          <w:szCs w:val="28"/>
          <w:rtl/>
        </w:rPr>
      </w:pPr>
      <w:r w:rsidRPr="00301DAB">
        <w:rPr>
          <w:rFonts w:ascii="Times New Roman" w:eastAsia="Times New Roman" w:hAnsi="Times New Roman" w:cs="David"/>
          <w:b/>
          <w:bCs/>
          <w:sz w:val="24"/>
        </w:rPr>
        <w:t>X</w:t>
      </w:r>
      <w:r w:rsidR="00FA58FF" w:rsidRPr="00924749">
        <w:rPr>
          <w:rFonts w:ascii="Times New Roman" w:eastAsia="Times New Roman" w:hAnsi="Times New Roman" w:cs="David" w:hint="cs"/>
          <w:b/>
          <w:bCs/>
          <w:sz w:val="32"/>
          <w:szCs w:val="28"/>
          <w:rtl/>
        </w:rPr>
        <w:t>/</w:t>
      </w:r>
      <w:r w:rsidRPr="00301DAB">
        <w:rPr>
          <w:rFonts w:ascii="Times New Roman" w:eastAsia="Times New Roman" w:hAnsi="Times New Roman" w:cs="David"/>
          <w:b/>
          <w:bCs/>
          <w:sz w:val="24"/>
        </w:rPr>
        <w:t>XXXXXXX</w:t>
      </w:r>
      <w:r w:rsidR="00FA58FF" w:rsidRPr="00301DAB">
        <w:rPr>
          <w:rFonts w:ascii="Times New Roman" w:eastAsia="Times New Roman" w:hAnsi="Times New Roman" w:cs="David" w:hint="cs"/>
          <w:b/>
          <w:bCs/>
          <w:sz w:val="24"/>
          <w:rtl/>
        </w:rPr>
        <w:t xml:space="preserve"> </w:t>
      </w:r>
      <w:r w:rsidR="00FA58FF">
        <w:rPr>
          <w:rFonts w:ascii="Times New Roman" w:eastAsia="Times New Roman" w:hAnsi="Times New Roman" w:cs="David" w:hint="cs"/>
          <w:b/>
          <w:bCs/>
          <w:sz w:val="32"/>
          <w:szCs w:val="28"/>
          <w:rtl/>
        </w:rPr>
        <w:t>רב"ט נ</w:t>
      </w:r>
      <w:r w:rsidR="008F3E61">
        <w:rPr>
          <w:rFonts w:ascii="Times New Roman" w:eastAsia="Times New Roman" w:hAnsi="Times New Roman" w:cs="David" w:hint="cs"/>
          <w:b/>
          <w:bCs/>
          <w:sz w:val="32"/>
          <w:szCs w:val="28"/>
          <w:rtl/>
        </w:rPr>
        <w:t>'</w:t>
      </w:r>
      <w:r w:rsidR="00FA58FF">
        <w:rPr>
          <w:rFonts w:ascii="Times New Roman" w:eastAsia="Times New Roman" w:hAnsi="Times New Roman" w:cs="David" w:hint="cs"/>
          <w:b/>
          <w:bCs/>
          <w:sz w:val="32"/>
          <w:szCs w:val="28"/>
          <w:rtl/>
        </w:rPr>
        <w:t xml:space="preserve"> ד</w:t>
      </w:r>
      <w:r w:rsidR="008F3E61">
        <w:rPr>
          <w:rFonts w:ascii="Times New Roman" w:eastAsia="Times New Roman" w:hAnsi="Times New Roman" w:cs="David" w:hint="cs"/>
          <w:b/>
          <w:bCs/>
          <w:sz w:val="32"/>
          <w:szCs w:val="28"/>
          <w:rtl/>
        </w:rPr>
        <w:t>'</w:t>
      </w:r>
      <w:r w:rsidR="00FA58FF" w:rsidRPr="00924749">
        <w:rPr>
          <w:rFonts w:ascii="Times New Roman" w:eastAsia="Times New Roman" w:hAnsi="Times New Roman" w:cs="David" w:hint="cs"/>
          <w:b/>
          <w:bCs/>
          <w:sz w:val="32"/>
          <w:szCs w:val="28"/>
          <w:rtl/>
        </w:rPr>
        <w:t xml:space="preserve"> </w:t>
      </w:r>
      <w:r w:rsidR="00FA58FF" w:rsidRPr="00FD2DDA">
        <w:rPr>
          <w:rFonts w:ascii="David" w:hAnsi="David" w:cs="David" w:hint="cs"/>
          <w:b/>
          <w:bCs/>
          <w:sz w:val="28"/>
          <w:szCs w:val="28"/>
          <w:rtl/>
        </w:rPr>
        <w:t>–</w:t>
      </w:r>
      <w:r w:rsidR="00FA58FF" w:rsidRPr="00FD2DDA">
        <w:rPr>
          <w:rFonts w:ascii="David" w:hAnsi="David" w:cs="David" w:hint="cs"/>
          <w:sz w:val="28"/>
          <w:szCs w:val="28"/>
          <w:rtl/>
        </w:rPr>
        <w:t xml:space="preserve"> המ</w:t>
      </w:r>
      <w:r w:rsidR="00FA58FF">
        <w:rPr>
          <w:rFonts w:ascii="David" w:hAnsi="David" w:cs="David" w:hint="cs"/>
          <w:sz w:val="28"/>
          <w:szCs w:val="28"/>
          <w:rtl/>
        </w:rPr>
        <w:t>ערער</w:t>
      </w:r>
      <w:r w:rsidR="00FA58FF" w:rsidRPr="00FD2DDA">
        <w:rPr>
          <w:rFonts w:ascii="David" w:hAnsi="David" w:cs="David" w:hint="cs"/>
          <w:sz w:val="28"/>
          <w:szCs w:val="28"/>
          <w:rtl/>
        </w:rPr>
        <w:t xml:space="preserve"> (ע"י ב"כ,</w:t>
      </w:r>
      <w:r w:rsidR="00FA58FF">
        <w:rPr>
          <w:rFonts w:ascii="David" w:hAnsi="David" w:cs="David" w:hint="cs"/>
          <w:sz w:val="28"/>
          <w:szCs w:val="28"/>
          <w:rtl/>
        </w:rPr>
        <w:t xml:space="preserve"> עו"ד ליאור </w:t>
      </w:r>
      <w:proofErr w:type="spellStart"/>
      <w:r w:rsidR="00FA58FF">
        <w:rPr>
          <w:rFonts w:ascii="David" w:hAnsi="David" w:cs="David" w:hint="cs"/>
          <w:sz w:val="28"/>
          <w:szCs w:val="28"/>
          <w:rtl/>
        </w:rPr>
        <w:t>אטקין</w:t>
      </w:r>
      <w:proofErr w:type="spellEnd"/>
      <w:r w:rsidR="00FA58FF">
        <w:rPr>
          <w:rFonts w:ascii="David" w:hAnsi="David" w:cs="David" w:hint="cs"/>
          <w:sz w:val="28"/>
          <w:szCs w:val="28"/>
          <w:rtl/>
        </w:rPr>
        <w:t>; עו"ד אריאל חברון</w:t>
      </w:r>
      <w:r w:rsidR="00FA58FF" w:rsidRPr="00FD2DDA">
        <w:rPr>
          <w:rFonts w:ascii="David" w:hAnsi="David" w:cs="David" w:hint="cs"/>
          <w:sz w:val="28"/>
          <w:szCs w:val="28"/>
          <w:rtl/>
        </w:rPr>
        <w:t>)</w:t>
      </w:r>
    </w:p>
    <w:p w14:paraId="315A760C" w14:textId="77777777" w:rsidR="00FA58FF" w:rsidRPr="00924749" w:rsidRDefault="00FA58FF" w:rsidP="00FA58FF">
      <w:pPr>
        <w:jc w:val="center"/>
        <w:rPr>
          <w:rFonts w:ascii="David" w:hAnsi="David" w:cs="David"/>
          <w:sz w:val="20"/>
          <w:szCs w:val="20"/>
          <w:rtl/>
        </w:rPr>
      </w:pPr>
    </w:p>
    <w:p w14:paraId="766F8758" w14:textId="77777777" w:rsidR="00FA58FF" w:rsidRPr="00FD2DDA" w:rsidRDefault="00FA58FF" w:rsidP="00FA58FF">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2FA824C5" w14:textId="650D31BE" w:rsidR="00FA58FF" w:rsidRPr="00FD2DDA" w:rsidRDefault="00FA58FF" w:rsidP="00FA58FF">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סגן מתן </w:t>
      </w:r>
      <w:proofErr w:type="spellStart"/>
      <w:r>
        <w:rPr>
          <w:rFonts w:ascii="David" w:hAnsi="David" w:cs="David" w:hint="cs"/>
          <w:sz w:val="28"/>
          <w:szCs w:val="28"/>
          <w:rtl/>
        </w:rPr>
        <w:t>ברוידה</w:t>
      </w:r>
      <w:proofErr w:type="spellEnd"/>
      <w:r w:rsidRPr="00FD2DDA">
        <w:rPr>
          <w:rFonts w:ascii="David" w:hAnsi="David" w:cs="David" w:hint="cs"/>
          <w:sz w:val="28"/>
          <w:szCs w:val="28"/>
          <w:rtl/>
        </w:rPr>
        <w:t>)</w:t>
      </w:r>
    </w:p>
    <w:p w14:paraId="60975F53" w14:textId="77777777" w:rsidR="00FA58FF" w:rsidRPr="00924749" w:rsidRDefault="00FA58FF" w:rsidP="00FA58FF">
      <w:pPr>
        <w:spacing w:after="120"/>
        <w:jc w:val="center"/>
        <w:rPr>
          <w:rFonts w:ascii="Times New Roman" w:eastAsia="Times New Roman" w:hAnsi="Times New Roman" w:cs="David"/>
          <w:b/>
          <w:bCs/>
          <w:sz w:val="32"/>
          <w:szCs w:val="28"/>
          <w:rtl/>
        </w:rPr>
      </w:pPr>
    </w:p>
    <w:p w14:paraId="2A30D11D" w14:textId="77777777" w:rsidR="00FA58FF" w:rsidRPr="003E3218" w:rsidRDefault="00FA58FF" w:rsidP="00FA58FF">
      <w:pPr>
        <w:spacing w:after="360"/>
        <w:rPr>
          <w:rFonts w:ascii="David" w:hAnsi="David" w:cs="David"/>
          <w:b/>
          <w:bCs/>
          <w:sz w:val="18"/>
          <w:szCs w:val="18"/>
          <w:u w:val="single"/>
          <w:rtl/>
        </w:rPr>
      </w:pPr>
    </w:p>
    <w:bookmarkEnd w:id="0"/>
    <w:bookmarkEnd w:id="1"/>
    <w:p w14:paraId="2DD316D5" w14:textId="36F0CF21" w:rsidR="00FA58FF" w:rsidRPr="00924749" w:rsidRDefault="00FA58FF" w:rsidP="00FA58FF">
      <w:pPr>
        <w:spacing w:after="360"/>
        <w:jc w:val="both"/>
        <w:rPr>
          <w:rFonts w:ascii="David" w:hAnsi="David" w:cs="David"/>
          <w:sz w:val="28"/>
          <w:szCs w:val="28"/>
          <w:rtl/>
        </w:rPr>
      </w:pPr>
      <w:r w:rsidRPr="00EE22D0">
        <w:rPr>
          <w:rFonts w:ascii="David" w:hAnsi="David" w:cs="David" w:hint="cs"/>
          <w:sz w:val="28"/>
          <w:szCs w:val="28"/>
          <w:rtl/>
        </w:rPr>
        <w:t xml:space="preserve">ערעור על </w:t>
      </w:r>
      <w:r>
        <w:rPr>
          <w:rFonts w:ascii="David" w:hAnsi="David" w:cs="David" w:hint="cs"/>
          <w:sz w:val="28"/>
          <w:szCs w:val="28"/>
          <w:rtl/>
        </w:rPr>
        <w:t>החלטה</w:t>
      </w:r>
      <w:r w:rsidRPr="00EE22D0">
        <w:rPr>
          <w:rFonts w:ascii="David" w:hAnsi="David" w:cs="David" w:hint="cs"/>
          <w:sz w:val="28"/>
          <w:szCs w:val="28"/>
          <w:rtl/>
        </w:rPr>
        <w:t xml:space="preserve"> של בית הדין הצבאי המחוזי במחוז שיפוטי </w:t>
      </w:r>
      <w:r>
        <w:rPr>
          <w:rFonts w:ascii="David" w:hAnsi="David" w:cs="David" w:hint="cs"/>
          <w:sz w:val="28"/>
          <w:szCs w:val="28"/>
          <w:rtl/>
        </w:rPr>
        <w:t>המטכ"ל</w:t>
      </w:r>
      <w:r w:rsidRPr="00EE22D0">
        <w:rPr>
          <w:rFonts w:ascii="David" w:hAnsi="David" w:cs="David" w:hint="cs"/>
          <w:sz w:val="28"/>
          <w:szCs w:val="28"/>
          <w:rtl/>
        </w:rPr>
        <w:t xml:space="preserve"> שניתן בתיק </w:t>
      </w:r>
      <w:r>
        <w:rPr>
          <w:rFonts w:ascii="David" w:hAnsi="David" w:cs="David" w:hint="cs"/>
          <w:sz w:val="28"/>
          <w:szCs w:val="28"/>
          <w:rtl/>
        </w:rPr>
        <w:t>מטכ"ל</w:t>
      </w:r>
      <w:r w:rsidRPr="00EE22D0">
        <w:rPr>
          <w:rFonts w:ascii="David" w:hAnsi="David" w:cs="David" w:hint="cs"/>
          <w:sz w:val="28"/>
          <w:szCs w:val="28"/>
          <w:rtl/>
        </w:rPr>
        <w:t xml:space="preserve"> </w:t>
      </w:r>
      <w:proofErr w:type="spellStart"/>
      <w:r>
        <w:rPr>
          <w:rFonts w:ascii="David" w:hAnsi="David" w:cs="David" w:hint="cs"/>
          <w:sz w:val="28"/>
          <w:szCs w:val="28"/>
          <w:rtl/>
        </w:rPr>
        <w:t>מ"ת</w:t>
      </w:r>
      <w:proofErr w:type="spellEnd"/>
      <w:r w:rsidRPr="00EE22D0">
        <w:rPr>
          <w:rFonts w:ascii="David" w:hAnsi="David" w:cs="David" w:hint="cs"/>
          <w:sz w:val="28"/>
          <w:szCs w:val="28"/>
          <w:rtl/>
        </w:rPr>
        <w:t xml:space="preserve"> </w:t>
      </w:r>
      <w:r>
        <w:rPr>
          <w:rFonts w:ascii="David" w:hAnsi="David" w:cs="David" w:hint="cs"/>
          <w:sz w:val="28"/>
          <w:szCs w:val="28"/>
          <w:rtl/>
        </w:rPr>
        <w:t>79496-02-26</w:t>
      </w:r>
      <w:r w:rsidRPr="00EE22D0">
        <w:rPr>
          <w:rFonts w:ascii="David" w:hAnsi="David" w:cs="David" w:hint="cs"/>
          <w:sz w:val="28"/>
          <w:szCs w:val="28"/>
          <w:rtl/>
        </w:rPr>
        <w:t xml:space="preserve"> (</w:t>
      </w:r>
      <w:r>
        <w:rPr>
          <w:rFonts w:ascii="David" w:hAnsi="David" w:cs="David" w:hint="cs"/>
          <w:sz w:val="28"/>
          <w:szCs w:val="28"/>
          <w:rtl/>
        </w:rPr>
        <w:t xml:space="preserve">סא"ל </w:t>
      </w:r>
      <w:proofErr w:type="spellStart"/>
      <w:r>
        <w:rPr>
          <w:rFonts w:ascii="David" w:hAnsi="David" w:cs="David" w:hint="cs"/>
          <w:sz w:val="28"/>
          <w:szCs w:val="28"/>
          <w:rtl/>
        </w:rPr>
        <w:t>נעמאן</w:t>
      </w:r>
      <w:proofErr w:type="spellEnd"/>
      <w:r>
        <w:rPr>
          <w:rFonts w:ascii="David" w:hAnsi="David" w:cs="David" w:hint="cs"/>
          <w:sz w:val="28"/>
          <w:szCs w:val="28"/>
          <w:rtl/>
        </w:rPr>
        <w:t xml:space="preserve"> חטיב </w:t>
      </w:r>
      <w:r>
        <w:rPr>
          <w:rFonts w:ascii="David" w:hAnsi="David" w:cs="David"/>
          <w:sz w:val="28"/>
          <w:szCs w:val="28"/>
          <w:rtl/>
        </w:rPr>
        <w:t>–</w:t>
      </w:r>
      <w:r>
        <w:rPr>
          <w:rFonts w:ascii="David" w:hAnsi="David" w:cs="David" w:hint="cs"/>
          <w:sz w:val="28"/>
          <w:szCs w:val="28"/>
          <w:rtl/>
        </w:rPr>
        <w:t xml:space="preserve"> שופט</w:t>
      </w:r>
      <w:r w:rsidRPr="00EE22D0">
        <w:rPr>
          <w:rFonts w:ascii="David" w:hAnsi="David" w:cs="David" w:hint="cs"/>
          <w:sz w:val="28"/>
          <w:szCs w:val="28"/>
          <w:rtl/>
        </w:rPr>
        <w:t xml:space="preserve">) ביום </w:t>
      </w:r>
      <w:r>
        <w:rPr>
          <w:rFonts w:ascii="David" w:hAnsi="David" w:cs="David" w:hint="cs"/>
          <w:sz w:val="28"/>
          <w:szCs w:val="28"/>
          <w:rtl/>
        </w:rPr>
        <w:t>8.3.2026</w:t>
      </w:r>
      <w:r w:rsidRPr="00EE22D0">
        <w:rPr>
          <w:rFonts w:ascii="David" w:hAnsi="David" w:cs="David" w:hint="cs"/>
          <w:sz w:val="28"/>
          <w:szCs w:val="28"/>
          <w:rtl/>
        </w:rPr>
        <w:t xml:space="preserve">. </w:t>
      </w:r>
      <w:r>
        <w:rPr>
          <w:rFonts w:ascii="David" w:hAnsi="David" w:cs="David" w:hint="cs"/>
          <w:sz w:val="28"/>
          <w:szCs w:val="28"/>
          <w:rtl/>
        </w:rPr>
        <w:t>הערעור נדחה</w:t>
      </w:r>
      <w:r w:rsidRPr="00EE22D0">
        <w:rPr>
          <w:rFonts w:ascii="David" w:hAnsi="David" w:cs="David" w:hint="cs"/>
          <w:sz w:val="28"/>
          <w:szCs w:val="28"/>
          <w:rtl/>
        </w:rPr>
        <w:t>.</w:t>
      </w:r>
    </w:p>
    <w:p w14:paraId="161FC64B" w14:textId="77777777" w:rsidR="00FA58FF" w:rsidRPr="00E608CB" w:rsidRDefault="00FA58FF" w:rsidP="00FA58FF">
      <w:pPr>
        <w:pStyle w:val="ListParagraph"/>
        <w:spacing w:line="348" w:lineRule="auto"/>
        <w:ind w:left="0"/>
        <w:jc w:val="center"/>
        <w:rPr>
          <w:rFonts w:ascii="David" w:hAnsi="David" w:cs="David"/>
          <w:b/>
          <w:bCs/>
          <w:sz w:val="28"/>
          <w:szCs w:val="28"/>
          <w:u w:val="single"/>
        </w:rPr>
      </w:pPr>
      <w:r>
        <w:rPr>
          <w:rFonts w:ascii="David" w:hAnsi="David" w:cs="David" w:hint="cs"/>
          <w:b/>
          <w:bCs/>
          <w:sz w:val="28"/>
          <w:szCs w:val="28"/>
          <w:u w:val="single"/>
          <w:rtl/>
        </w:rPr>
        <w:t>ה ח ל ט ה</w:t>
      </w:r>
      <w:r w:rsidRPr="00E608CB">
        <w:rPr>
          <w:rFonts w:ascii="David" w:hAnsi="David" w:cs="David"/>
          <w:b/>
          <w:bCs/>
          <w:sz w:val="28"/>
          <w:szCs w:val="28"/>
          <w:u w:val="single"/>
          <w:rtl/>
        </w:rPr>
        <w:t xml:space="preserve"> </w:t>
      </w:r>
    </w:p>
    <w:p w14:paraId="5C06E7B6" w14:textId="77777777" w:rsidR="00FA58FF" w:rsidRPr="00E608CB" w:rsidRDefault="00FA58FF" w:rsidP="00FA58FF">
      <w:pPr>
        <w:pStyle w:val="ListParagraph"/>
        <w:spacing w:line="348" w:lineRule="auto"/>
        <w:ind w:left="0"/>
        <w:jc w:val="both"/>
        <w:rPr>
          <w:rFonts w:ascii="David" w:hAnsi="David" w:cs="David"/>
          <w:sz w:val="28"/>
          <w:szCs w:val="28"/>
        </w:rPr>
      </w:pPr>
    </w:p>
    <w:p w14:paraId="2118229E" w14:textId="6059E778" w:rsidR="00FA58FF" w:rsidRDefault="00FA58FF" w:rsidP="00A661F6">
      <w:pPr>
        <w:pStyle w:val="1"/>
        <w:numPr>
          <w:ilvl w:val="0"/>
          <w:numId w:val="3"/>
        </w:numPr>
        <w:tabs>
          <w:tab w:val="left" w:pos="283"/>
        </w:tabs>
        <w:spacing w:line="360" w:lineRule="auto"/>
        <w:jc w:val="both"/>
        <w:outlineLvl w:val="0"/>
        <w:rPr>
          <w:rFonts w:cs="David"/>
          <w:sz w:val="28"/>
          <w:szCs w:val="28"/>
        </w:rPr>
      </w:pPr>
      <w:r>
        <w:rPr>
          <w:rFonts w:cs="David" w:hint="cs"/>
          <w:sz w:val="28"/>
          <w:szCs w:val="28"/>
          <w:rtl/>
        </w:rPr>
        <w:t>ביום 4 במארס 2026 הגישה התביעה הצבאית כתב אישום כנגד המערער, רב"ט נ</w:t>
      </w:r>
      <w:r w:rsidR="008F3E61">
        <w:rPr>
          <w:rFonts w:cs="David" w:hint="cs"/>
          <w:sz w:val="28"/>
          <w:szCs w:val="28"/>
          <w:rtl/>
        </w:rPr>
        <w:t>'</w:t>
      </w:r>
      <w:r>
        <w:rPr>
          <w:rFonts w:cs="David" w:hint="cs"/>
          <w:sz w:val="28"/>
          <w:szCs w:val="28"/>
          <w:rtl/>
        </w:rPr>
        <w:t xml:space="preserve"> ד</w:t>
      </w:r>
      <w:r w:rsidR="008F3E61">
        <w:rPr>
          <w:rFonts w:cs="David" w:hint="cs"/>
          <w:sz w:val="28"/>
          <w:szCs w:val="28"/>
          <w:rtl/>
        </w:rPr>
        <w:t>'</w:t>
      </w:r>
      <w:r>
        <w:rPr>
          <w:rFonts w:cs="David" w:hint="cs"/>
          <w:sz w:val="28"/>
          <w:szCs w:val="28"/>
          <w:rtl/>
        </w:rPr>
        <w:t>, המייחס לו עבירה של שימוש בלתי חוקי בנשק, לפי סעיף 85 רישה לחוק השיפוט הצבאי, תשט"ו - 1955. פורט בכתב האישום כי בתאריך 17 בפברואר 2026 שיחקו רס"ל (מיל') ב</w:t>
      </w:r>
      <w:r w:rsidR="0026706E">
        <w:rPr>
          <w:rFonts w:cs="David" w:hint="cs"/>
          <w:sz w:val="28"/>
          <w:szCs w:val="28"/>
          <w:rtl/>
        </w:rPr>
        <w:t xml:space="preserve">' </w:t>
      </w:r>
      <w:r>
        <w:rPr>
          <w:rFonts w:cs="David" w:hint="cs"/>
          <w:sz w:val="28"/>
          <w:szCs w:val="28"/>
          <w:rtl/>
        </w:rPr>
        <w:t>(המתלונן)</w:t>
      </w:r>
      <w:r>
        <w:rPr>
          <w:rFonts w:cs="David"/>
          <w:sz w:val="28"/>
          <w:szCs w:val="28"/>
        </w:rPr>
        <w:t xml:space="preserve"> </w:t>
      </w:r>
      <w:r>
        <w:rPr>
          <w:rFonts w:cs="David" w:hint="cs"/>
          <w:sz w:val="28"/>
          <w:szCs w:val="28"/>
          <w:rtl/>
        </w:rPr>
        <w:t>וסמל יהודה, בכדורגל ברחבה שמחוץ למועדון בבסיס מחנה "עופר", שם שהתה היחידה שבה משרת המערער (גדוד תבור). במהלך המשחק נבעט הכדור לעבר המערער, המשרת כנהג משא ביחידה ונושא נשק מסוג 16-</w:t>
      </w:r>
      <w:r>
        <w:rPr>
          <w:rFonts w:cs="David"/>
          <w:sz w:val="28"/>
          <w:szCs w:val="28"/>
        </w:rPr>
        <w:t>M</w:t>
      </w:r>
      <w:r>
        <w:rPr>
          <w:rFonts w:cs="David" w:hint="cs"/>
          <w:sz w:val="28"/>
          <w:szCs w:val="28"/>
          <w:rtl/>
        </w:rPr>
        <w:t xml:space="preserve">. המערער בעט את הכדור מעבר לגדר, ואז התפתח עימות בינו לבין המתלונן. נטען כי במהלך העימות נטל המערער את נשקו, שהיה טעון במחסנית, כיוון אותו לעבר המתלונן, כשקת הנשק צמודה לכתפו וקנה הנשק צמוד לחזהו של המתלונן, ודרך את הנשק. האירוע הסתיים כשהמתלונן הדף את המערער, אשר עזב את המקום.  </w:t>
      </w:r>
    </w:p>
    <w:p w14:paraId="35F4D014" w14:textId="77777777" w:rsidR="00FA58FF" w:rsidRDefault="00FA58FF" w:rsidP="00FA58FF">
      <w:pPr>
        <w:pStyle w:val="1"/>
        <w:numPr>
          <w:ilvl w:val="0"/>
          <w:numId w:val="3"/>
        </w:numPr>
        <w:tabs>
          <w:tab w:val="left" w:pos="283"/>
        </w:tabs>
        <w:spacing w:line="360" w:lineRule="auto"/>
        <w:jc w:val="both"/>
        <w:outlineLvl w:val="0"/>
        <w:rPr>
          <w:rFonts w:cs="David"/>
          <w:sz w:val="28"/>
          <w:szCs w:val="28"/>
        </w:rPr>
      </w:pPr>
      <w:r>
        <w:rPr>
          <w:rFonts w:cs="David" w:hint="cs"/>
          <w:sz w:val="28"/>
          <w:szCs w:val="28"/>
          <w:rtl/>
        </w:rPr>
        <w:lastRenderedPageBreak/>
        <w:t xml:space="preserve">כתב האישום מבוסס בעיקרו על דבריו של המתלונן בחקירה ועל אמרות שמסרו חיילים נוספים שנכחו באירוע. המערער הכחיש שכיוון נשק אל המתלונן או שדרך אותו ואף טען כי המתלונן תקף אותו והחדיר מקל לישבנו. </w:t>
      </w:r>
    </w:p>
    <w:p w14:paraId="0BDF7073" w14:textId="77777777" w:rsidR="00FA58FF" w:rsidRDefault="00FA58FF" w:rsidP="00FA58FF">
      <w:pPr>
        <w:pStyle w:val="1"/>
        <w:numPr>
          <w:ilvl w:val="0"/>
          <w:numId w:val="3"/>
        </w:numPr>
        <w:tabs>
          <w:tab w:val="left" w:pos="283"/>
        </w:tabs>
        <w:spacing w:line="360" w:lineRule="auto"/>
        <w:jc w:val="both"/>
        <w:outlineLvl w:val="0"/>
        <w:rPr>
          <w:rFonts w:cs="David"/>
          <w:sz w:val="28"/>
          <w:szCs w:val="28"/>
        </w:rPr>
      </w:pPr>
      <w:r>
        <w:rPr>
          <w:rFonts w:cs="David" w:hint="cs"/>
          <w:sz w:val="28"/>
          <w:szCs w:val="28"/>
          <w:rtl/>
        </w:rPr>
        <w:t xml:space="preserve"> המערער נעצר ביום 24 בפברואר 2026 ומעצרו הוארך מעת לעת לצרכי חקירה. לאחר הגשת כתב האישום, ביום 8 במארס 2026, החליט בית הדין קמא (כב' השופט סא"ל </w:t>
      </w:r>
      <w:proofErr w:type="spellStart"/>
      <w:r>
        <w:rPr>
          <w:rFonts w:cs="David" w:hint="cs"/>
          <w:sz w:val="28"/>
          <w:szCs w:val="28"/>
          <w:rtl/>
        </w:rPr>
        <w:t>נעמאן</w:t>
      </w:r>
      <w:proofErr w:type="spellEnd"/>
      <w:r>
        <w:rPr>
          <w:rFonts w:cs="David" w:hint="cs"/>
          <w:sz w:val="28"/>
          <w:szCs w:val="28"/>
          <w:rtl/>
        </w:rPr>
        <w:t xml:space="preserve"> חטיב), לאחר שמיעת טיעוני הצדדים, להורות על מעצרו של המערער עד לתום ההליכים המשפטיים בעניינו. ההגנה לא השלימה עם ההחלטה, ומכאן ערעורה. </w:t>
      </w:r>
    </w:p>
    <w:p w14:paraId="15E9B5CF" w14:textId="77777777" w:rsidR="00FA58FF" w:rsidRDefault="00FA58FF" w:rsidP="00FA58FF">
      <w:pPr>
        <w:pStyle w:val="1"/>
        <w:tabs>
          <w:tab w:val="left" w:pos="283"/>
        </w:tabs>
        <w:spacing w:line="360" w:lineRule="auto"/>
        <w:jc w:val="both"/>
        <w:outlineLvl w:val="0"/>
        <w:rPr>
          <w:rFonts w:cs="David"/>
          <w:sz w:val="28"/>
          <w:szCs w:val="28"/>
        </w:rPr>
      </w:pPr>
    </w:p>
    <w:p w14:paraId="41F08B5C" w14:textId="77777777" w:rsidR="00FA58FF" w:rsidRPr="0001516F" w:rsidRDefault="00FA58FF" w:rsidP="00FA58FF">
      <w:pPr>
        <w:pStyle w:val="1"/>
        <w:tabs>
          <w:tab w:val="left" w:pos="283"/>
        </w:tabs>
        <w:spacing w:line="360" w:lineRule="auto"/>
        <w:ind w:left="-7"/>
        <w:jc w:val="both"/>
        <w:outlineLvl w:val="0"/>
        <w:rPr>
          <w:rFonts w:cs="David"/>
          <w:b/>
          <w:bCs/>
          <w:sz w:val="28"/>
          <w:szCs w:val="28"/>
          <w:u w:val="single"/>
          <w:rtl/>
        </w:rPr>
      </w:pPr>
      <w:r>
        <w:rPr>
          <w:rFonts w:cs="David" w:hint="cs"/>
          <w:b/>
          <w:bCs/>
          <w:sz w:val="28"/>
          <w:szCs w:val="28"/>
          <w:u w:val="single"/>
          <w:rtl/>
        </w:rPr>
        <w:t>החלטת בית הדין קמא וטיעוני הצדדים בערעור</w:t>
      </w:r>
    </w:p>
    <w:p w14:paraId="441F1500" w14:textId="77777777" w:rsidR="00FA58FF" w:rsidRDefault="00FA58FF" w:rsidP="00FA58FF">
      <w:pPr>
        <w:pStyle w:val="1"/>
        <w:tabs>
          <w:tab w:val="left" w:pos="283"/>
        </w:tabs>
        <w:spacing w:line="360" w:lineRule="auto"/>
        <w:ind w:left="-7"/>
        <w:jc w:val="both"/>
        <w:outlineLvl w:val="0"/>
        <w:rPr>
          <w:rFonts w:cs="David"/>
          <w:sz w:val="28"/>
          <w:szCs w:val="28"/>
        </w:rPr>
      </w:pPr>
    </w:p>
    <w:p w14:paraId="77756CE6" w14:textId="77777777" w:rsidR="00FA58FF" w:rsidRDefault="00FA58FF" w:rsidP="00FA58FF">
      <w:pPr>
        <w:pStyle w:val="1"/>
        <w:numPr>
          <w:ilvl w:val="0"/>
          <w:numId w:val="3"/>
        </w:numPr>
        <w:tabs>
          <w:tab w:val="left" w:pos="283"/>
        </w:tabs>
        <w:spacing w:line="360" w:lineRule="auto"/>
        <w:jc w:val="both"/>
        <w:outlineLvl w:val="0"/>
        <w:rPr>
          <w:rFonts w:cs="David"/>
          <w:sz w:val="28"/>
          <w:szCs w:val="28"/>
        </w:rPr>
      </w:pPr>
      <w:r>
        <w:rPr>
          <w:rFonts w:cs="David" w:hint="cs"/>
          <w:sz w:val="28"/>
          <w:szCs w:val="28"/>
          <w:rtl/>
        </w:rPr>
        <w:t xml:space="preserve">בית הדין קמא בחן את טענות ההגנה בדבר "כרסום ראייתי" ומצא כי מתקיימת בבסיסו של כתב האישום תשתית ראיות המקימה סיכוי סביר להרשעה בו. תשתית הראיות מבוססת, לכאורה, הן על גרסתו העקבית של המתלונן והן על אמרותיהם של חיילים נוספים, אשר הבחינו בחלקים של האירוע, כל אחד ממקומו ומזווית הראיה שלו. מספר חיילים אף ציינו בחקירה, כי שמעו קול של דריכה של הנשק. נקבע כי בשלב זה, גרסת המערער נסתרת על ידי דבריהם של עדי הראיה בחקירה ואינה מתיישבת עם תחקיר שערכו המפקדים. הוטעם, כי טענות ההגנה בנוגע למהימנות העדים וכן לגבי הפסול בתחקיר שערכו המפקדים, ראוי כי ייבחנו בהליך העיקרי. </w:t>
      </w:r>
    </w:p>
    <w:p w14:paraId="6EDFB3D4" w14:textId="523781A7" w:rsidR="00FA58FF" w:rsidRPr="00A80E7C" w:rsidRDefault="00FA58FF" w:rsidP="005E3C39">
      <w:pPr>
        <w:pStyle w:val="1"/>
        <w:numPr>
          <w:ilvl w:val="0"/>
          <w:numId w:val="3"/>
        </w:numPr>
        <w:tabs>
          <w:tab w:val="left" w:pos="-20"/>
        </w:tabs>
        <w:spacing w:line="348" w:lineRule="auto"/>
        <w:jc w:val="both"/>
        <w:outlineLvl w:val="0"/>
        <w:rPr>
          <w:rFonts w:ascii="David" w:hAnsi="David" w:cs="David"/>
          <w:sz w:val="28"/>
          <w:szCs w:val="28"/>
        </w:rPr>
      </w:pPr>
      <w:r>
        <w:rPr>
          <w:rFonts w:cs="David" w:hint="cs"/>
          <w:sz w:val="28"/>
          <w:szCs w:val="28"/>
          <w:rtl/>
        </w:rPr>
        <w:t>בעת בחינת עילות המעצר, עמד בית הדין קמא על כך ש</w:t>
      </w:r>
      <w:r w:rsidRPr="00351ED4">
        <w:rPr>
          <w:rFonts w:cs="David" w:hint="cs"/>
          <w:sz w:val="28"/>
          <w:szCs w:val="28"/>
          <w:rtl/>
        </w:rPr>
        <w:t xml:space="preserve">עבירות </w:t>
      </w:r>
      <w:r>
        <w:rPr>
          <w:rFonts w:cs="David" w:hint="cs"/>
          <w:sz w:val="28"/>
          <w:szCs w:val="28"/>
          <w:rtl/>
        </w:rPr>
        <w:t xml:space="preserve">הכרוכות בשימוש </w:t>
      </w:r>
      <w:r w:rsidRPr="00351ED4">
        <w:rPr>
          <w:rFonts w:cs="David" w:hint="cs"/>
          <w:sz w:val="28"/>
          <w:szCs w:val="28"/>
          <w:rtl/>
        </w:rPr>
        <w:t>בנשק מקימות חזקת מסוכנות סטטוטורית</w:t>
      </w:r>
      <w:r>
        <w:rPr>
          <w:rFonts w:cs="David" w:hint="cs"/>
          <w:sz w:val="28"/>
          <w:szCs w:val="28"/>
          <w:rtl/>
        </w:rPr>
        <w:t>,</w:t>
      </w:r>
      <w:r w:rsidRPr="00351ED4">
        <w:rPr>
          <w:rFonts w:cs="David" w:hint="cs"/>
          <w:sz w:val="28"/>
          <w:szCs w:val="28"/>
          <w:rtl/>
        </w:rPr>
        <w:t xml:space="preserve"> </w:t>
      </w:r>
      <w:r>
        <w:rPr>
          <w:rFonts w:cs="David" w:hint="cs"/>
          <w:sz w:val="28"/>
          <w:szCs w:val="28"/>
          <w:rtl/>
        </w:rPr>
        <w:t xml:space="preserve">ודחה את טענת ההגנה כי החזקה האמורה נסתרה. הוטעם כי לכאורה, המערער בחר לעשות שימוש בנשקו באופן </w:t>
      </w:r>
      <w:proofErr w:type="spellStart"/>
      <w:r>
        <w:rPr>
          <w:rFonts w:cs="David" w:hint="cs"/>
          <w:sz w:val="28"/>
          <w:szCs w:val="28"/>
          <w:rtl/>
        </w:rPr>
        <w:t>מיידי</w:t>
      </w:r>
      <w:proofErr w:type="spellEnd"/>
      <w:r>
        <w:rPr>
          <w:rFonts w:cs="David" w:hint="cs"/>
          <w:sz w:val="28"/>
          <w:szCs w:val="28"/>
          <w:rtl/>
        </w:rPr>
        <w:t xml:space="preserve">, בשל ויכוח של מה בכך, על אף היותו נהג  מנוסה, הנושא במסגרת תפקידו נשק ומודע לסיכונים הכרוכים בו, וכי בנסיבות העניין מתקיימות גם העילות הצבאית הייחודיות, לרבות העילה שעניינה פגיעה חריפה במשמעת הצבאית. הודגש כי מתקיים מבחן "הסיכון המכוון" שפותח בהלכה הפסוקה, וכל זאת באופן שאינו מאפשר לשחרר את המערער לחלופת מעצר. </w:t>
      </w:r>
    </w:p>
    <w:p w14:paraId="1702CB06" w14:textId="77777777" w:rsidR="00FA58FF" w:rsidRPr="0014427C" w:rsidRDefault="00FA58FF" w:rsidP="00FA58FF">
      <w:pPr>
        <w:pStyle w:val="1"/>
        <w:numPr>
          <w:ilvl w:val="0"/>
          <w:numId w:val="3"/>
        </w:numPr>
        <w:tabs>
          <w:tab w:val="left" w:pos="283"/>
        </w:tabs>
        <w:spacing w:line="360" w:lineRule="auto"/>
        <w:jc w:val="both"/>
        <w:outlineLvl w:val="0"/>
        <w:rPr>
          <w:rFonts w:ascii="David" w:hAnsi="David" w:cs="David"/>
          <w:sz w:val="28"/>
          <w:szCs w:val="28"/>
        </w:rPr>
      </w:pPr>
      <w:r w:rsidRPr="007127BE">
        <w:rPr>
          <w:rFonts w:cs="David" w:hint="cs"/>
          <w:sz w:val="28"/>
          <w:szCs w:val="28"/>
          <w:rtl/>
        </w:rPr>
        <w:t xml:space="preserve"> ההגנה טוענת בערעורה, כי שגה בית הדין קמא כאשר קבע כי מתקיימת תשתית ראייתית לכאורית לאירוע </w:t>
      </w:r>
      <w:r>
        <w:rPr>
          <w:rFonts w:cs="David" w:hint="cs"/>
          <w:sz w:val="28"/>
          <w:szCs w:val="28"/>
          <w:rtl/>
        </w:rPr>
        <w:t>ב</w:t>
      </w:r>
      <w:r w:rsidRPr="007127BE">
        <w:rPr>
          <w:rFonts w:cs="David" w:hint="cs"/>
          <w:sz w:val="28"/>
          <w:szCs w:val="28"/>
          <w:rtl/>
        </w:rPr>
        <w:t>כלל, ו</w:t>
      </w:r>
      <w:r>
        <w:rPr>
          <w:rFonts w:cs="David" w:hint="cs"/>
          <w:sz w:val="28"/>
          <w:szCs w:val="28"/>
          <w:rtl/>
        </w:rPr>
        <w:t xml:space="preserve">בנוגע </w:t>
      </w:r>
      <w:r w:rsidRPr="007127BE">
        <w:rPr>
          <w:rFonts w:cs="David" w:hint="cs"/>
          <w:sz w:val="28"/>
          <w:szCs w:val="28"/>
          <w:rtl/>
        </w:rPr>
        <w:t>לשאלה האם המערער דרך את נשקו</w:t>
      </w:r>
      <w:r>
        <w:rPr>
          <w:rFonts w:cs="David" w:hint="cs"/>
          <w:sz w:val="28"/>
          <w:szCs w:val="28"/>
          <w:rtl/>
        </w:rPr>
        <w:t>, בפרט</w:t>
      </w:r>
      <w:r w:rsidRPr="007127BE">
        <w:rPr>
          <w:rFonts w:cs="David" w:hint="cs"/>
          <w:sz w:val="28"/>
          <w:szCs w:val="28"/>
          <w:rtl/>
        </w:rPr>
        <w:t xml:space="preserve">. </w:t>
      </w:r>
      <w:r>
        <w:rPr>
          <w:rFonts w:cs="David" w:hint="cs"/>
          <w:sz w:val="28"/>
          <w:szCs w:val="28"/>
          <w:rtl/>
        </w:rPr>
        <w:t xml:space="preserve">באופן כללי טענה ההגנה, כי העדויות שנגבו באירוע "זוהמו" על ידי תחקירים שנערכו על ידי המפקדים, וכי גורמי החקירה לא בחנו עדויות של עדי ראיה נוספים שהיו במקום ושאליהם הפנו המערער ועדים אחרים, אשר יכולים היו לתמוך בגרסת המערער. </w:t>
      </w:r>
      <w:r>
        <w:rPr>
          <w:rFonts w:ascii="David" w:hAnsi="David" w:cs="David" w:hint="cs"/>
          <w:sz w:val="28"/>
          <w:szCs w:val="28"/>
          <w:rtl/>
        </w:rPr>
        <w:t xml:space="preserve">עוד הלינה ההגנה על כך שמפקד הגדוד, אשר ערך אף הוא תחקיר על האירוע, לא נחקר. </w:t>
      </w:r>
    </w:p>
    <w:p w14:paraId="61335428" w14:textId="77777777" w:rsidR="00FA58FF" w:rsidRPr="000309E5" w:rsidRDefault="00FA58FF" w:rsidP="00FA58FF">
      <w:pPr>
        <w:pStyle w:val="1"/>
        <w:numPr>
          <w:ilvl w:val="0"/>
          <w:numId w:val="3"/>
        </w:numPr>
        <w:tabs>
          <w:tab w:val="left" w:pos="283"/>
        </w:tabs>
        <w:spacing w:line="360" w:lineRule="auto"/>
        <w:jc w:val="both"/>
        <w:outlineLvl w:val="0"/>
        <w:rPr>
          <w:rFonts w:ascii="David" w:hAnsi="David" w:cs="David"/>
          <w:sz w:val="28"/>
          <w:szCs w:val="28"/>
        </w:rPr>
      </w:pPr>
      <w:r w:rsidRPr="000309E5">
        <w:rPr>
          <w:rFonts w:cs="David" w:hint="cs"/>
          <w:sz w:val="28"/>
          <w:szCs w:val="28"/>
          <w:rtl/>
        </w:rPr>
        <w:t xml:space="preserve">כן נטען, כי </w:t>
      </w:r>
      <w:r>
        <w:rPr>
          <w:rFonts w:cs="David" w:hint="cs"/>
          <w:sz w:val="28"/>
          <w:szCs w:val="28"/>
          <w:rtl/>
        </w:rPr>
        <w:t xml:space="preserve">המתלונן מסר בגרסתו הראשונה בפני מפקדיו כי מדובר באירוע של כיוון נשק בלבד מבלי שציין את דריכתו, וכי </w:t>
      </w:r>
      <w:r w:rsidRPr="000309E5">
        <w:rPr>
          <w:rFonts w:cs="David" w:hint="cs"/>
          <w:sz w:val="28"/>
          <w:szCs w:val="28"/>
          <w:rtl/>
        </w:rPr>
        <w:t xml:space="preserve">לעדותו בנוגע </w:t>
      </w:r>
      <w:r>
        <w:rPr>
          <w:rFonts w:cs="David" w:hint="cs"/>
          <w:sz w:val="28"/>
          <w:szCs w:val="28"/>
          <w:rtl/>
        </w:rPr>
        <w:t xml:space="preserve">לאירוע </w:t>
      </w:r>
      <w:r w:rsidRPr="000309E5">
        <w:rPr>
          <w:rFonts w:cs="David" w:hint="cs"/>
          <w:sz w:val="28"/>
          <w:szCs w:val="28"/>
          <w:rtl/>
        </w:rPr>
        <w:t xml:space="preserve">לא נמצאו תימוכין. </w:t>
      </w:r>
      <w:r>
        <w:rPr>
          <w:rFonts w:cs="David" w:hint="cs"/>
          <w:sz w:val="28"/>
          <w:szCs w:val="28"/>
          <w:rtl/>
        </w:rPr>
        <w:t xml:space="preserve">ההגנה סבורה כי </w:t>
      </w:r>
      <w:r w:rsidRPr="000309E5">
        <w:rPr>
          <w:rFonts w:cs="David" w:hint="cs"/>
          <w:sz w:val="28"/>
          <w:szCs w:val="28"/>
          <w:rtl/>
        </w:rPr>
        <w:t xml:space="preserve"> </w:t>
      </w:r>
      <w:r>
        <w:rPr>
          <w:rFonts w:cs="David" w:hint="cs"/>
          <w:sz w:val="28"/>
          <w:szCs w:val="28"/>
          <w:rtl/>
        </w:rPr>
        <w:lastRenderedPageBreak/>
        <w:t xml:space="preserve">לדבריו </w:t>
      </w:r>
      <w:r w:rsidRPr="000309E5">
        <w:rPr>
          <w:rFonts w:cs="David" w:hint="cs"/>
          <w:sz w:val="28"/>
          <w:szCs w:val="28"/>
          <w:rtl/>
        </w:rPr>
        <w:t>של סמל יהודה</w:t>
      </w:r>
      <w:r>
        <w:rPr>
          <w:rFonts w:cs="David" w:hint="cs"/>
          <w:sz w:val="28"/>
          <w:szCs w:val="28"/>
          <w:rtl/>
        </w:rPr>
        <w:t xml:space="preserve"> בחקירה</w:t>
      </w:r>
      <w:r w:rsidRPr="000309E5">
        <w:rPr>
          <w:rFonts w:cs="David" w:hint="cs"/>
          <w:sz w:val="28"/>
          <w:szCs w:val="28"/>
          <w:rtl/>
        </w:rPr>
        <w:t xml:space="preserve">, </w:t>
      </w:r>
      <w:r>
        <w:rPr>
          <w:rFonts w:cs="David" w:hint="cs"/>
          <w:sz w:val="28"/>
          <w:szCs w:val="28"/>
          <w:rtl/>
        </w:rPr>
        <w:t>המאשר</w:t>
      </w:r>
      <w:r w:rsidRPr="000309E5">
        <w:rPr>
          <w:rFonts w:cs="David" w:hint="cs"/>
          <w:sz w:val="28"/>
          <w:szCs w:val="28"/>
          <w:rtl/>
        </w:rPr>
        <w:t xml:space="preserve"> באופן מלא </w:t>
      </w:r>
      <w:r>
        <w:rPr>
          <w:rFonts w:cs="David" w:hint="cs"/>
          <w:sz w:val="28"/>
          <w:szCs w:val="28"/>
          <w:rtl/>
        </w:rPr>
        <w:t xml:space="preserve">את גרסת </w:t>
      </w:r>
      <w:r w:rsidRPr="000309E5">
        <w:rPr>
          <w:rFonts w:cs="David" w:hint="cs"/>
          <w:sz w:val="28"/>
          <w:szCs w:val="28"/>
          <w:rtl/>
        </w:rPr>
        <w:t>המתלונן, לא נ</w:t>
      </w:r>
      <w:r>
        <w:rPr>
          <w:rFonts w:cs="David" w:hint="cs"/>
          <w:sz w:val="28"/>
          <w:szCs w:val="28"/>
          <w:rtl/>
        </w:rPr>
        <w:t>י</w:t>
      </w:r>
      <w:r w:rsidRPr="000309E5">
        <w:rPr>
          <w:rFonts w:cs="David" w:hint="cs"/>
          <w:sz w:val="28"/>
          <w:szCs w:val="28"/>
          <w:rtl/>
        </w:rPr>
        <w:t>תן לתת כל משקל מש</w:t>
      </w:r>
      <w:r>
        <w:rPr>
          <w:rFonts w:cs="David" w:hint="cs"/>
          <w:sz w:val="28"/>
          <w:szCs w:val="28"/>
          <w:rtl/>
        </w:rPr>
        <w:t>ום שהתייחסותו</w:t>
      </w:r>
      <w:r w:rsidRPr="000309E5">
        <w:rPr>
          <w:rFonts w:cs="David" w:hint="cs"/>
          <w:sz w:val="28"/>
          <w:szCs w:val="28"/>
          <w:rtl/>
        </w:rPr>
        <w:t xml:space="preserve"> נגבתה זמן רב לאחר האירוע </w:t>
      </w:r>
      <w:r>
        <w:rPr>
          <w:rFonts w:cs="David" w:hint="cs"/>
          <w:sz w:val="28"/>
          <w:szCs w:val="28"/>
          <w:rtl/>
        </w:rPr>
        <w:t>ו</w:t>
      </w:r>
      <w:r w:rsidRPr="000309E5">
        <w:rPr>
          <w:rFonts w:cs="David" w:hint="cs"/>
          <w:sz w:val="28"/>
          <w:szCs w:val="28"/>
          <w:rtl/>
        </w:rPr>
        <w:t>באופן טלפוני בלבד</w:t>
      </w:r>
      <w:r>
        <w:rPr>
          <w:rFonts w:cs="David" w:hint="cs"/>
          <w:sz w:val="28"/>
          <w:szCs w:val="28"/>
          <w:rtl/>
        </w:rPr>
        <w:t xml:space="preserve">. נטען עוד, כי </w:t>
      </w:r>
      <w:r w:rsidRPr="000309E5">
        <w:rPr>
          <w:rFonts w:cs="David" w:hint="cs"/>
          <w:sz w:val="28"/>
          <w:szCs w:val="28"/>
          <w:rtl/>
        </w:rPr>
        <w:t xml:space="preserve">דבריו </w:t>
      </w:r>
      <w:r>
        <w:rPr>
          <w:rFonts w:cs="David" w:hint="cs"/>
          <w:sz w:val="28"/>
          <w:szCs w:val="28"/>
          <w:rtl/>
        </w:rPr>
        <w:t>של סמל יהודה אינם עולים בקנה אחד עם ע</w:t>
      </w:r>
      <w:r w:rsidRPr="000309E5">
        <w:rPr>
          <w:rFonts w:cs="David" w:hint="cs"/>
          <w:sz w:val="28"/>
          <w:szCs w:val="28"/>
          <w:rtl/>
        </w:rPr>
        <w:t>דות</w:t>
      </w:r>
      <w:r>
        <w:rPr>
          <w:rFonts w:cs="David" w:hint="cs"/>
          <w:sz w:val="28"/>
          <w:szCs w:val="28"/>
          <w:rtl/>
        </w:rPr>
        <w:t>ו של מפקד הפלוגה,</w:t>
      </w:r>
      <w:r w:rsidRPr="000309E5">
        <w:rPr>
          <w:rFonts w:cs="David" w:hint="cs"/>
          <w:sz w:val="28"/>
          <w:szCs w:val="28"/>
          <w:rtl/>
        </w:rPr>
        <w:t xml:space="preserve"> שמסר כי </w:t>
      </w:r>
      <w:r>
        <w:rPr>
          <w:rFonts w:cs="David" w:hint="cs"/>
          <w:sz w:val="28"/>
          <w:szCs w:val="28"/>
          <w:rtl/>
        </w:rPr>
        <w:t xml:space="preserve">סמל יהודה לא שיתף פעולה </w:t>
      </w:r>
      <w:r w:rsidRPr="000309E5">
        <w:rPr>
          <w:rFonts w:cs="David" w:hint="cs"/>
          <w:sz w:val="28"/>
          <w:szCs w:val="28"/>
          <w:rtl/>
        </w:rPr>
        <w:t>בתחקיר שערך</w:t>
      </w:r>
      <w:r>
        <w:rPr>
          <w:rFonts w:cs="David" w:hint="cs"/>
          <w:sz w:val="28"/>
          <w:szCs w:val="28"/>
          <w:rtl/>
        </w:rPr>
        <w:t xml:space="preserve">. </w:t>
      </w:r>
      <w:r w:rsidRPr="000309E5">
        <w:rPr>
          <w:rFonts w:cs="David" w:hint="cs"/>
          <w:sz w:val="28"/>
          <w:szCs w:val="28"/>
          <w:rtl/>
        </w:rPr>
        <w:t>כן נטען כי מעדו</w:t>
      </w:r>
      <w:r>
        <w:rPr>
          <w:rFonts w:cs="David" w:hint="cs"/>
          <w:sz w:val="28"/>
          <w:szCs w:val="28"/>
          <w:rtl/>
        </w:rPr>
        <w:t>יו</w:t>
      </w:r>
      <w:r w:rsidRPr="000309E5">
        <w:rPr>
          <w:rFonts w:cs="David" w:hint="cs"/>
          <w:sz w:val="28"/>
          <w:szCs w:val="28"/>
          <w:rtl/>
        </w:rPr>
        <w:t>ת</w:t>
      </w:r>
      <w:r>
        <w:rPr>
          <w:rFonts w:cs="David" w:hint="cs"/>
          <w:sz w:val="28"/>
          <w:szCs w:val="28"/>
          <w:rtl/>
        </w:rPr>
        <w:t>יה</w:t>
      </w:r>
      <w:r w:rsidRPr="000309E5">
        <w:rPr>
          <w:rFonts w:cs="David" w:hint="cs"/>
          <w:sz w:val="28"/>
          <w:szCs w:val="28"/>
          <w:rtl/>
        </w:rPr>
        <w:t xml:space="preserve">ם של </w:t>
      </w:r>
      <w:r>
        <w:rPr>
          <w:rFonts w:cs="David" w:hint="cs"/>
          <w:sz w:val="28"/>
          <w:szCs w:val="28"/>
          <w:rtl/>
        </w:rPr>
        <w:t xml:space="preserve">חיילים שנכחו </w:t>
      </w:r>
      <w:r w:rsidRPr="000309E5">
        <w:rPr>
          <w:rFonts w:cs="David" w:hint="cs"/>
          <w:sz w:val="28"/>
          <w:szCs w:val="28"/>
          <w:rtl/>
        </w:rPr>
        <w:t>במקום עולה שסמל יהודה כלל לא נכח במקום בעת התרחשות האירוע. עוד הפנתה ההגנה לעדו</w:t>
      </w:r>
      <w:r>
        <w:rPr>
          <w:rFonts w:cs="David" w:hint="cs"/>
          <w:sz w:val="28"/>
          <w:szCs w:val="28"/>
          <w:rtl/>
        </w:rPr>
        <w:t>יו</w:t>
      </w:r>
      <w:r w:rsidRPr="000309E5">
        <w:rPr>
          <w:rFonts w:cs="David" w:hint="cs"/>
          <w:sz w:val="28"/>
          <w:szCs w:val="28"/>
          <w:rtl/>
        </w:rPr>
        <w:t>ת</w:t>
      </w:r>
      <w:r>
        <w:rPr>
          <w:rFonts w:cs="David" w:hint="cs"/>
          <w:sz w:val="28"/>
          <w:szCs w:val="28"/>
          <w:rtl/>
        </w:rPr>
        <w:t>יה</w:t>
      </w:r>
      <w:r w:rsidRPr="000309E5">
        <w:rPr>
          <w:rFonts w:cs="David" w:hint="cs"/>
          <w:sz w:val="28"/>
          <w:szCs w:val="28"/>
          <w:rtl/>
        </w:rPr>
        <w:t>ם של סמל ציונה ורב"ט ליאור, התומכים לשיטתה בגרסת המערער, שכן סמל ציונה טוענת כי לא הבחינה בדריכה וכי הנשק כוון לפלג גופו התחתון של המ</w:t>
      </w:r>
      <w:r>
        <w:rPr>
          <w:rFonts w:cs="David" w:hint="cs"/>
          <w:sz w:val="28"/>
          <w:szCs w:val="28"/>
          <w:rtl/>
        </w:rPr>
        <w:t>תלונן</w:t>
      </w:r>
      <w:r w:rsidRPr="000309E5">
        <w:rPr>
          <w:rFonts w:cs="David" w:hint="cs"/>
          <w:sz w:val="28"/>
          <w:szCs w:val="28"/>
          <w:rtl/>
        </w:rPr>
        <w:t xml:space="preserve"> ורב"ט ליאור מעיד כי הבחין בכך שהמערער לא דרך או כיוון את נשקו אל עבר המתלונן אלא רק הזיז את נשקו קדימה. אשר לעדים נוספים, סמל ענת וסמל דניאל, נטען כי לא נכחו במקום האירוע ו</w:t>
      </w:r>
      <w:r>
        <w:rPr>
          <w:rFonts w:cs="David" w:hint="cs"/>
          <w:sz w:val="28"/>
          <w:szCs w:val="28"/>
          <w:rtl/>
        </w:rPr>
        <w:t xml:space="preserve">ממילא </w:t>
      </w:r>
      <w:r w:rsidRPr="000309E5">
        <w:rPr>
          <w:rFonts w:cs="David" w:hint="cs"/>
          <w:sz w:val="28"/>
          <w:szCs w:val="28"/>
          <w:rtl/>
        </w:rPr>
        <w:t xml:space="preserve">לא שמעו רעש שיכול להעיד על דריכה מלאה של הנשק. </w:t>
      </w:r>
      <w:r>
        <w:rPr>
          <w:rFonts w:ascii="David" w:hAnsi="David" w:cs="David" w:hint="cs"/>
          <w:sz w:val="28"/>
          <w:szCs w:val="28"/>
          <w:rtl/>
        </w:rPr>
        <w:t xml:space="preserve">נטען כי אל מול הקשיים בעדויות התביעה מסר המערער גרסה עקבית, אשר לא נבחנה כדבעי על ידי גורמי החקירה. </w:t>
      </w:r>
    </w:p>
    <w:p w14:paraId="09307E77" w14:textId="77777777" w:rsidR="00FA58FF" w:rsidRPr="00B87D49" w:rsidRDefault="00FA58FF" w:rsidP="00FA58FF">
      <w:pPr>
        <w:pStyle w:val="1"/>
        <w:numPr>
          <w:ilvl w:val="0"/>
          <w:numId w:val="3"/>
        </w:numPr>
        <w:tabs>
          <w:tab w:val="left" w:pos="283"/>
        </w:tabs>
        <w:spacing w:line="360" w:lineRule="auto"/>
        <w:jc w:val="both"/>
        <w:outlineLvl w:val="0"/>
        <w:rPr>
          <w:rFonts w:ascii="David" w:hAnsi="David" w:cs="David"/>
          <w:sz w:val="28"/>
          <w:szCs w:val="28"/>
        </w:rPr>
      </w:pPr>
      <w:r>
        <w:rPr>
          <w:rFonts w:cs="David" w:hint="cs"/>
          <w:sz w:val="28"/>
          <w:szCs w:val="28"/>
          <w:rtl/>
        </w:rPr>
        <w:t xml:space="preserve">לטענת ההגנה, בשים לב לכרסום הראייתי שחל כבר עתה ביחס לשאלת דריכת הנשק, ומשחלף כשבוע ממועד האירוע ועד למעצרו של המערער, שבמהלכו המשיך לשהות ביחידה, הרי שאף אם ייקבע כי קיימות ראיות לכאורה לכיוון הנשק, שעה שלא ניתן להראות כי המערער ביצע פעולות נוספות בנשק - יש בכך כדי לצמצם במידה רבה את המסוכנות הנשקפת לכאורה ממנו. לפיכך עתרה ההגנה לנקוט חלופת מעצר, של מעצר פתוח ביחידה, תוך שתימנע מן המערער הגישה לנשק. </w:t>
      </w:r>
    </w:p>
    <w:p w14:paraId="24705F58" w14:textId="77777777" w:rsidR="00FA58FF" w:rsidRDefault="00FA58FF" w:rsidP="00FA58FF">
      <w:pPr>
        <w:pStyle w:val="1"/>
        <w:numPr>
          <w:ilvl w:val="0"/>
          <w:numId w:val="3"/>
        </w:numPr>
        <w:tabs>
          <w:tab w:val="left" w:pos="283"/>
        </w:tabs>
        <w:spacing w:line="360" w:lineRule="auto"/>
        <w:jc w:val="both"/>
        <w:outlineLvl w:val="0"/>
        <w:rPr>
          <w:rFonts w:cs="David"/>
          <w:sz w:val="28"/>
          <w:szCs w:val="28"/>
        </w:rPr>
      </w:pPr>
      <w:r>
        <w:rPr>
          <w:rFonts w:cs="David" w:hint="cs"/>
          <w:sz w:val="28"/>
          <w:szCs w:val="28"/>
          <w:rtl/>
        </w:rPr>
        <w:t xml:space="preserve"> התביעה מצדה ביקשה לסמוך ידיה על החלטת בית הדין קמא. לשיטתה, עצם כיוון נשק טעון אל המתלונן מקים סיכון המחייב את מעצרו של המערער, ומלבד זאת קיימות לדידה ראיות המעידות לכאורה גם על דריכת הנשק. התביעה הפנתה בעניין זה לדבריו של סמל יהודה בחקירה (בואר כי גביית אמרתו לא התאפשרה, תחילה בשל  חופשת אבל, ולאחר מכן, עקב מצב המלחמה, ולכן נערכה עמו שיחה טלפונית), לעדותה של רב"ט ענת ששמעה דריכה של הנשק ולעדותה של סמל ציונה אשר הבחינה בכיוון הנשק, ואשר מסרה כי הבחינה שהמערער "משחק בידית הדריכה". לפיכך נטען כי מתקיימת תשתית ראייתית מתאימה לביסוס כתב האישום, המחייבת את מעצרו של המערער וכי את טענותיה הנוספות של ההגנה ראוי יהיה לבחון בהליך העיקרי. </w:t>
      </w:r>
    </w:p>
    <w:p w14:paraId="06066AB8" w14:textId="77777777" w:rsidR="00FA58FF" w:rsidRPr="00C17837" w:rsidRDefault="00FA58FF" w:rsidP="00FA58FF">
      <w:pPr>
        <w:pStyle w:val="1"/>
        <w:tabs>
          <w:tab w:val="left" w:pos="283"/>
        </w:tabs>
        <w:spacing w:line="360" w:lineRule="auto"/>
        <w:ind w:left="-7"/>
        <w:jc w:val="both"/>
        <w:outlineLvl w:val="0"/>
        <w:rPr>
          <w:rFonts w:cs="David"/>
          <w:b/>
          <w:bCs/>
          <w:sz w:val="28"/>
          <w:szCs w:val="28"/>
          <w:u w:val="single"/>
          <w:rtl/>
        </w:rPr>
      </w:pPr>
    </w:p>
    <w:p w14:paraId="3F38CDB7" w14:textId="77777777" w:rsidR="00FA58FF" w:rsidRDefault="00FA58FF" w:rsidP="00FA58FF">
      <w:pPr>
        <w:pStyle w:val="1"/>
        <w:tabs>
          <w:tab w:val="left" w:pos="283"/>
        </w:tabs>
        <w:spacing w:line="360" w:lineRule="auto"/>
        <w:ind w:left="-7"/>
        <w:jc w:val="both"/>
        <w:outlineLvl w:val="0"/>
        <w:rPr>
          <w:rFonts w:cs="David"/>
          <w:b/>
          <w:bCs/>
          <w:sz w:val="28"/>
          <w:szCs w:val="28"/>
          <w:u w:val="single"/>
          <w:rtl/>
        </w:rPr>
      </w:pPr>
      <w:r>
        <w:rPr>
          <w:rFonts w:cs="David" w:hint="cs"/>
          <w:b/>
          <w:bCs/>
          <w:sz w:val="28"/>
          <w:szCs w:val="28"/>
          <w:u w:val="single"/>
          <w:rtl/>
        </w:rPr>
        <w:t>דיון והכרעה</w:t>
      </w:r>
    </w:p>
    <w:p w14:paraId="0138BA27" w14:textId="77777777" w:rsidR="00FA58FF" w:rsidRDefault="00FA58FF" w:rsidP="00FA58FF">
      <w:pPr>
        <w:pStyle w:val="1"/>
        <w:tabs>
          <w:tab w:val="left" w:pos="283"/>
        </w:tabs>
        <w:spacing w:line="360" w:lineRule="auto"/>
        <w:ind w:left="-7"/>
        <w:jc w:val="both"/>
        <w:outlineLvl w:val="0"/>
        <w:rPr>
          <w:rFonts w:cs="David"/>
          <w:b/>
          <w:bCs/>
          <w:sz w:val="28"/>
          <w:szCs w:val="28"/>
          <w:u w:val="single"/>
          <w:rtl/>
        </w:rPr>
      </w:pPr>
    </w:p>
    <w:p w14:paraId="784A2762" w14:textId="77777777" w:rsidR="00FA58FF" w:rsidRDefault="00FA58FF" w:rsidP="00FA58FF">
      <w:pPr>
        <w:pStyle w:val="1"/>
        <w:numPr>
          <w:ilvl w:val="0"/>
          <w:numId w:val="3"/>
        </w:numPr>
        <w:tabs>
          <w:tab w:val="left" w:pos="283"/>
        </w:tabs>
        <w:spacing w:line="360" w:lineRule="auto"/>
        <w:jc w:val="both"/>
        <w:outlineLvl w:val="0"/>
        <w:rPr>
          <w:color w:val="000000"/>
          <w:sz w:val="27"/>
          <w:szCs w:val="27"/>
        </w:rPr>
      </w:pPr>
      <w:r w:rsidRPr="00BA0D96">
        <w:rPr>
          <w:rFonts w:cs="David" w:hint="cs"/>
          <w:sz w:val="28"/>
          <w:szCs w:val="28"/>
          <w:rtl/>
        </w:rPr>
        <w:t xml:space="preserve">כידוע, </w:t>
      </w:r>
      <w:r>
        <w:rPr>
          <w:rFonts w:cs="David" w:hint="cs"/>
          <w:sz w:val="28"/>
          <w:szCs w:val="28"/>
          <w:rtl/>
        </w:rPr>
        <w:t xml:space="preserve">בשאלת המעצר לאחר הגשת </w:t>
      </w:r>
      <w:r w:rsidRPr="00BA0D96">
        <w:rPr>
          <w:rFonts w:cs="David" w:hint="cs"/>
          <w:sz w:val="28"/>
          <w:szCs w:val="28"/>
          <w:rtl/>
        </w:rPr>
        <w:t>כתב האישום, יש לבחון האם יש בנמצא ראיות לכאורה, אשר לאחר שיעברו את כור ההיתוך של ההליך הפלילי, י</w:t>
      </w:r>
      <w:r>
        <w:rPr>
          <w:rFonts w:cs="David" w:hint="cs"/>
          <w:sz w:val="28"/>
          <w:szCs w:val="28"/>
          <w:rtl/>
        </w:rPr>
        <w:t xml:space="preserve">היה </w:t>
      </w:r>
      <w:r w:rsidRPr="00BA0D96">
        <w:rPr>
          <w:rFonts w:cs="David" w:hint="cs"/>
          <w:sz w:val="28"/>
          <w:szCs w:val="28"/>
          <w:rtl/>
        </w:rPr>
        <w:t>בכוחן להוכיח את אשמתו של ה</w:t>
      </w:r>
      <w:r>
        <w:rPr>
          <w:rFonts w:cs="David" w:hint="cs"/>
          <w:sz w:val="28"/>
          <w:szCs w:val="28"/>
          <w:rtl/>
        </w:rPr>
        <w:t>נאשם</w:t>
      </w:r>
      <w:r w:rsidRPr="00BA0D96">
        <w:rPr>
          <w:rFonts w:cs="David" w:hint="cs"/>
          <w:sz w:val="28"/>
          <w:szCs w:val="28"/>
          <w:rtl/>
        </w:rPr>
        <w:t xml:space="preserve"> (</w:t>
      </w:r>
      <w:proofErr w:type="spellStart"/>
      <w:r w:rsidRPr="00BA0D96">
        <w:rPr>
          <w:rFonts w:cs="David" w:hint="cs"/>
          <w:sz w:val="28"/>
          <w:szCs w:val="28"/>
          <w:rtl/>
        </w:rPr>
        <w:t>בש"פ</w:t>
      </w:r>
      <w:proofErr w:type="spellEnd"/>
      <w:r w:rsidRPr="00BA0D96">
        <w:rPr>
          <w:rFonts w:cs="David" w:hint="cs"/>
          <w:sz w:val="28"/>
          <w:szCs w:val="28"/>
          <w:rtl/>
        </w:rPr>
        <w:t xml:space="preserve"> 8087/95 </w:t>
      </w:r>
      <w:proofErr w:type="spellStart"/>
      <w:r w:rsidRPr="00BA0D96">
        <w:rPr>
          <w:rFonts w:cs="David" w:hint="cs"/>
          <w:b/>
          <w:bCs/>
          <w:sz w:val="28"/>
          <w:szCs w:val="28"/>
          <w:rtl/>
        </w:rPr>
        <w:t>זאדה</w:t>
      </w:r>
      <w:proofErr w:type="spellEnd"/>
      <w:r w:rsidRPr="00BA0D96">
        <w:rPr>
          <w:rFonts w:cs="David" w:hint="cs"/>
          <w:b/>
          <w:bCs/>
          <w:sz w:val="28"/>
          <w:szCs w:val="28"/>
          <w:rtl/>
        </w:rPr>
        <w:t xml:space="preserve"> נ' מדינת ישראל</w:t>
      </w:r>
      <w:r w:rsidRPr="00BA0D96">
        <w:rPr>
          <w:rFonts w:cs="David" w:hint="cs"/>
          <w:sz w:val="28"/>
          <w:szCs w:val="28"/>
          <w:rtl/>
        </w:rPr>
        <w:t xml:space="preserve">, פ"ד נ(2) 133 (1996)). הבחינה </w:t>
      </w:r>
      <w:r w:rsidRPr="00BA0D96">
        <w:rPr>
          <w:rFonts w:cs="David" w:hint="cs"/>
          <w:sz w:val="28"/>
          <w:szCs w:val="28"/>
          <w:rtl/>
        </w:rPr>
        <w:lastRenderedPageBreak/>
        <w:t>הנדרשת בשלב זה היא לכאורית בלבד, ורף ההוכחה במשפט הפלילי - מעל לכל ספק סביר - אינו הרף הדרוש בשלב המעצר (</w:t>
      </w:r>
      <w:proofErr w:type="spellStart"/>
      <w:r w:rsidRPr="00BA0D96">
        <w:rPr>
          <w:rFonts w:cs="David" w:hint="cs"/>
          <w:sz w:val="28"/>
          <w:szCs w:val="28"/>
          <w:rtl/>
        </w:rPr>
        <w:t>בש"פ</w:t>
      </w:r>
      <w:proofErr w:type="spellEnd"/>
      <w:r w:rsidRPr="00BA0D96">
        <w:rPr>
          <w:rFonts w:cs="David" w:hint="cs"/>
          <w:sz w:val="28"/>
          <w:szCs w:val="28"/>
          <w:rtl/>
        </w:rPr>
        <w:t xml:space="preserve"> 1748/21 </w:t>
      </w:r>
      <w:r w:rsidRPr="00BA0D96">
        <w:rPr>
          <w:rFonts w:cs="David" w:hint="cs"/>
          <w:b/>
          <w:bCs/>
          <w:sz w:val="28"/>
          <w:szCs w:val="28"/>
          <w:rtl/>
        </w:rPr>
        <w:t>האושלה נ' מדינת ישראל</w:t>
      </w:r>
      <w:r w:rsidRPr="00BA0D96">
        <w:rPr>
          <w:rFonts w:cs="David" w:hint="cs"/>
          <w:sz w:val="28"/>
          <w:szCs w:val="28"/>
          <w:rtl/>
        </w:rPr>
        <w:t xml:space="preserve"> (25.3.2021)). </w:t>
      </w:r>
      <w:r>
        <w:rPr>
          <w:rFonts w:cs="David" w:hint="cs"/>
          <w:sz w:val="28"/>
          <w:szCs w:val="28"/>
          <w:rtl/>
        </w:rPr>
        <w:t>בהתאם, אין לבחון בשלב זה את מהימנות הראיות או את המשקל המדויק שיש לייחס להן (</w:t>
      </w:r>
      <w:proofErr w:type="spellStart"/>
      <w:r>
        <w:rPr>
          <w:rFonts w:cs="David" w:hint="cs"/>
          <w:sz w:val="28"/>
          <w:szCs w:val="28"/>
          <w:rtl/>
        </w:rPr>
        <w:t>בש"פ</w:t>
      </w:r>
      <w:proofErr w:type="spellEnd"/>
      <w:r>
        <w:rPr>
          <w:rFonts w:cs="David" w:hint="cs"/>
          <w:sz w:val="28"/>
          <w:szCs w:val="28"/>
          <w:rtl/>
        </w:rPr>
        <w:t xml:space="preserve"> 4496/24 </w:t>
      </w:r>
      <w:r>
        <w:rPr>
          <w:rFonts w:cs="David" w:hint="cs"/>
          <w:b/>
          <w:bCs/>
          <w:sz w:val="28"/>
          <w:szCs w:val="28"/>
          <w:rtl/>
        </w:rPr>
        <w:t>פלוני נ' מדינת ישראל</w:t>
      </w:r>
      <w:r>
        <w:rPr>
          <w:rFonts w:cs="David" w:hint="cs"/>
          <w:sz w:val="28"/>
          <w:szCs w:val="28"/>
          <w:rtl/>
        </w:rPr>
        <w:t>, פסקה 27 (21.7.2024)), והמבחן הרלוונטי הוא מבחן ה"אם נאמין" - אם נאמין לראיות התביעה, האם יהא בהן כדי לחייב את המסקנה שהמערער ביצע את המעשה המיוחס לו (</w:t>
      </w:r>
      <w:proofErr w:type="spellStart"/>
      <w:r>
        <w:rPr>
          <w:rFonts w:cs="David" w:hint="cs"/>
          <w:sz w:val="28"/>
          <w:szCs w:val="28"/>
          <w:rtl/>
        </w:rPr>
        <w:t>עמ"ת</w:t>
      </w:r>
      <w:proofErr w:type="spellEnd"/>
      <w:r>
        <w:rPr>
          <w:rFonts w:cs="David" w:hint="cs"/>
          <w:sz w:val="28"/>
          <w:szCs w:val="28"/>
          <w:rtl/>
        </w:rPr>
        <w:t xml:space="preserve"> 20705-11-25 </w:t>
      </w:r>
      <w:proofErr w:type="spellStart"/>
      <w:r>
        <w:rPr>
          <w:rFonts w:cs="David" w:hint="cs"/>
          <w:b/>
          <w:bCs/>
          <w:sz w:val="28"/>
          <w:szCs w:val="28"/>
          <w:rtl/>
        </w:rPr>
        <w:t>צלאח</w:t>
      </w:r>
      <w:proofErr w:type="spellEnd"/>
      <w:r>
        <w:rPr>
          <w:rFonts w:cs="David" w:hint="cs"/>
          <w:b/>
          <w:bCs/>
          <w:sz w:val="28"/>
          <w:szCs w:val="28"/>
          <w:rtl/>
        </w:rPr>
        <w:t xml:space="preserve"> נ' מדינת ישראל, </w:t>
      </w:r>
      <w:r>
        <w:rPr>
          <w:rFonts w:cs="David" w:hint="cs"/>
          <w:sz w:val="28"/>
          <w:szCs w:val="28"/>
          <w:rtl/>
        </w:rPr>
        <w:t xml:space="preserve">פסקה 11 (1.1.2026)). </w:t>
      </w:r>
    </w:p>
    <w:p w14:paraId="4FD5C3CD" w14:textId="77777777" w:rsidR="00FA58FF" w:rsidRPr="0071327B" w:rsidRDefault="00FA58FF" w:rsidP="00FA58FF">
      <w:pPr>
        <w:pStyle w:val="1"/>
        <w:numPr>
          <w:ilvl w:val="0"/>
          <w:numId w:val="3"/>
        </w:numPr>
        <w:tabs>
          <w:tab w:val="left" w:pos="283"/>
        </w:tabs>
        <w:spacing w:line="360" w:lineRule="auto"/>
        <w:jc w:val="both"/>
        <w:outlineLvl w:val="0"/>
        <w:rPr>
          <w:color w:val="000000"/>
          <w:sz w:val="27"/>
          <w:szCs w:val="27"/>
        </w:rPr>
      </w:pPr>
      <w:r w:rsidRPr="0071327B">
        <w:rPr>
          <w:rFonts w:cs="David" w:hint="cs"/>
          <w:sz w:val="28"/>
          <w:szCs w:val="28"/>
          <w:rtl/>
        </w:rPr>
        <w:t xml:space="preserve">בראי האמור, לאחר עיון בחומר החקירה, </w:t>
      </w:r>
      <w:r>
        <w:rPr>
          <w:rFonts w:cs="David" w:hint="cs"/>
          <w:sz w:val="28"/>
          <w:szCs w:val="28"/>
          <w:rtl/>
        </w:rPr>
        <w:t>יש לקבוע כי ב</w:t>
      </w:r>
      <w:r w:rsidRPr="0071327B">
        <w:rPr>
          <w:rFonts w:cs="David" w:hint="cs"/>
          <w:sz w:val="28"/>
          <w:szCs w:val="28"/>
          <w:rtl/>
        </w:rPr>
        <w:t xml:space="preserve">שלב הדיוני הנוכחי </w:t>
      </w:r>
      <w:r>
        <w:rPr>
          <w:rFonts w:cs="David" w:hint="cs"/>
          <w:sz w:val="28"/>
          <w:szCs w:val="28"/>
          <w:rtl/>
        </w:rPr>
        <w:t xml:space="preserve">אכן קיימת </w:t>
      </w:r>
      <w:r w:rsidRPr="0071327B">
        <w:rPr>
          <w:rFonts w:cs="David" w:hint="cs"/>
          <w:sz w:val="28"/>
          <w:szCs w:val="28"/>
          <w:rtl/>
        </w:rPr>
        <w:t xml:space="preserve">תשתית ראייתית לכאורית, שיש בה כדי לסבך את המערער </w:t>
      </w:r>
      <w:r>
        <w:rPr>
          <w:rFonts w:cs="David" w:hint="cs"/>
          <w:sz w:val="28"/>
          <w:szCs w:val="28"/>
          <w:rtl/>
        </w:rPr>
        <w:t xml:space="preserve">במידה הנדרשת </w:t>
      </w:r>
      <w:r w:rsidRPr="0071327B">
        <w:rPr>
          <w:rFonts w:cs="David" w:hint="cs"/>
          <w:sz w:val="28"/>
          <w:szCs w:val="28"/>
          <w:rtl/>
        </w:rPr>
        <w:t>ולהקים סיכוי סביר להרשעה</w:t>
      </w:r>
      <w:r>
        <w:rPr>
          <w:rFonts w:cs="David" w:hint="cs"/>
          <w:sz w:val="28"/>
          <w:szCs w:val="28"/>
          <w:rtl/>
        </w:rPr>
        <w:t xml:space="preserve">, ולא חל בה </w:t>
      </w:r>
      <w:r w:rsidRPr="0071327B">
        <w:rPr>
          <w:rFonts w:cs="David" w:hint="cs"/>
          <w:sz w:val="28"/>
          <w:szCs w:val="28"/>
          <w:rtl/>
        </w:rPr>
        <w:t>"כרסום ראייתי"</w:t>
      </w:r>
      <w:r>
        <w:rPr>
          <w:rFonts w:cs="David" w:hint="cs"/>
          <w:sz w:val="28"/>
          <w:szCs w:val="28"/>
          <w:rtl/>
        </w:rPr>
        <w:t xml:space="preserve"> המצדיק הסתפקות בחלופת מעצר. </w:t>
      </w:r>
      <w:r w:rsidRPr="0071327B">
        <w:rPr>
          <w:rFonts w:cs="David" w:hint="cs"/>
          <w:sz w:val="28"/>
          <w:szCs w:val="28"/>
          <w:rtl/>
        </w:rPr>
        <w:t>הדברים פורטו כדבעי בהחלטתו המפורטת של בית הדין קמא, שבה לא מצאתי להתערב ולפיכך י</w:t>
      </w:r>
      <w:r>
        <w:rPr>
          <w:rFonts w:cs="David" w:hint="cs"/>
          <w:sz w:val="28"/>
          <w:szCs w:val="28"/>
          <w:rtl/>
        </w:rPr>
        <w:t>בוארו</w:t>
      </w:r>
      <w:r w:rsidRPr="0071327B">
        <w:rPr>
          <w:rFonts w:cs="David" w:hint="cs"/>
          <w:sz w:val="28"/>
          <w:szCs w:val="28"/>
          <w:rtl/>
        </w:rPr>
        <w:t xml:space="preserve"> להלן על קצה המזלג. </w:t>
      </w:r>
    </w:p>
    <w:p w14:paraId="56C575C0" w14:textId="77777777" w:rsidR="00FA58FF" w:rsidRPr="0071327B" w:rsidRDefault="00FA58FF" w:rsidP="00FA58FF">
      <w:pPr>
        <w:pStyle w:val="1"/>
        <w:numPr>
          <w:ilvl w:val="0"/>
          <w:numId w:val="3"/>
        </w:numPr>
        <w:tabs>
          <w:tab w:val="left" w:pos="283"/>
        </w:tabs>
        <w:spacing w:line="360" w:lineRule="auto"/>
        <w:jc w:val="both"/>
        <w:outlineLvl w:val="0"/>
        <w:rPr>
          <w:color w:val="000000"/>
          <w:sz w:val="27"/>
          <w:szCs w:val="27"/>
        </w:rPr>
      </w:pPr>
      <w:r>
        <w:rPr>
          <w:rFonts w:cs="David" w:hint="cs"/>
          <w:sz w:val="28"/>
          <w:szCs w:val="28"/>
          <w:rtl/>
        </w:rPr>
        <w:t xml:space="preserve">מחומר הראיות עולה לכאורה כי </w:t>
      </w:r>
      <w:r w:rsidRPr="0071327B">
        <w:rPr>
          <w:rFonts w:cs="David" w:hint="cs"/>
          <w:sz w:val="28"/>
          <w:szCs w:val="28"/>
          <w:rtl/>
        </w:rPr>
        <w:t xml:space="preserve">המתלונן, </w:t>
      </w:r>
      <w:r>
        <w:rPr>
          <w:rFonts w:cs="David" w:hint="cs"/>
          <w:sz w:val="28"/>
          <w:szCs w:val="28"/>
          <w:rtl/>
        </w:rPr>
        <w:t xml:space="preserve">שלא הוצג לגביו מניע כלשהו לטפול </w:t>
      </w:r>
      <w:r w:rsidRPr="0071327B">
        <w:rPr>
          <w:rFonts w:cs="David" w:hint="cs"/>
          <w:sz w:val="28"/>
          <w:szCs w:val="28"/>
          <w:rtl/>
        </w:rPr>
        <w:t xml:space="preserve">על המערער אשמת שווא, מסר שתי </w:t>
      </w:r>
      <w:r>
        <w:rPr>
          <w:rFonts w:cs="David" w:hint="cs"/>
          <w:sz w:val="28"/>
          <w:szCs w:val="28"/>
          <w:rtl/>
        </w:rPr>
        <w:t xml:space="preserve">אמרות </w:t>
      </w:r>
      <w:r w:rsidRPr="0071327B">
        <w:rPr>
          <w:rFonts w:cs="David" w:hint="cs"/>
          <w:sz w:val="28"/>
          <w:szCs w:val="28"/>
          <w:rtl/>
        </w:rPr>
        <w:t>שבמהלכן עמד באופן עקבי על גרסתו,</w:t>
      </w:r>
      <w:r>
        <w:rPr>
          <w:rFonts w:cs="David" w:hint="cs"/>
          <w:sz w:val="28"/>
          <w:szCs w:val="28"/>
          <w:rtl/>
        </w:rPr>
        <w:t xml:space="preserve"> ו</w:t>
      </w:r>
      <w:r w:rsidRPr="0071327B">
        <w:rPr>
          <w:rFonts w:cs="David" w:hint="cs"/>
          <w:sz w:val="28"/>
          <w:szCs w:val="28"/>
          <w:rtl/>
        </w:rPr>
        <w:t>לפיה המערער כיוון את הנשק אל חזהו ודרך אותו</w:t>
      </w:r>
      <w:r>
        <w:rPr>
          <w:rFonts w:cs="David" w:hint="cs"/>
          <w:sz w:val="28"/>
          <w:szCs w:val="28"/>
          <w:rtl/>
        </w:rPr>
        <w:t xml:space="preserve"> (גרסה שנמסרה גם </w:t>
      </w:r>
      <w:r w:rsidRPr="0071327B">
        <w:rPr>
          <w:rFonts w:cs="David" w:hint="cs"/>
          <w:sz w:val="28"/>
          <w:szCs w:val="28"/>
          <w:rtl/>
        </w:rPr>
        <w:t xml:space="preserve">בתחקיר שנערך על ידי המ"פ, סרן </w:t>
      </w:r>
      <w:proofErr w:type="spellStart"/>
      <w:r w:rsidRPr="0071327B">
        <w:rPr>
          <w:rFonts w:cs="David" w:hint="cs"/>
          <w:sz w:val="28"/>
          <w:szCs w:val="28"/>
          <w:rtl/>
        </w:rPr>
        <w:t>אנאס</w:t>
      </w:r>
      <w:proofErr w:type="spellEnd"/>
      <w:r>
        <w:rPr>
          <w:rFonts w:cs="David" w:hint="cs"/>
          <w:sz w:val="28"/>
          <w:szCs w:val="28"/>
          <w:rtl/>
        </w:rPr>
        <w:t>)</w:t>
      </w:r>
      <w:r w:rsidRPr="0071327B">
        <w:rPr>
          <w:rFonts w:cs="David" w:hint="cs"/>
          <w:sz w:val="28"/>
          <w:szCs w:val="28"/>
          <w:rtl/>
        </w:rPr>
        <w:t>. רס"ם רועי, מפקדו הישיר, ששמע ממנו לראשונה על האירוע, כשהמ</w:t>
      </w:r>
      <w:r>
        <w:rPr>
          <w:rFonts w:cs="David" w:hint="cs"/>
          <w:sz w:val="28"/>
          <w:szCs w:val="28"/>
          <w:rtl/>
        </w:rPr>
        <w:t>תלונן</w:t>
      </w:r>
      <w:r w:rsidRPr="0071327B">
        <w:rPr>
          <w:rFonts w:cs="David" w:hint="cs"/>
          <w:sz w:val="28"/>
          <w:szCs w:val="28"/>
          <w:rtl/>
        </w:rPr>
        <w:t xml:space="preserve"> התקשר אליו מיד לאחר שהתרחש, ציין כי זכור לו </w:t>
      </w:r>
      <w:r>
        <w:rPr>
          <w:rFonts w:cs="David" w:hint="cs"/>
          <w:sz w:val="28"/>
          <w:szCs w:val="28"/>
          <w:rtl/>
        </w:rPr>
        <w:t xml:space="preserve">שהמתלונן דיבר </w:t>
      </w:r>
      <w:r w:rsidRPr="0071327B">
        <w:rPr>
          <w:rFonts w:cs="David" w:hint="cs"/>
          <w:sz w:val="28"/>
          <w:szCs w:val="28"/>
          <w:rtl/>
        </w:rPr>
        <w:t>על כיוון הנשק</w:t>
      </w:r>
      <w:r>
        <w:rPr>
          <w:rFonts w:cs="David" w:hint="cs"/>
          <w:sz w:val="28"/>
          <w:szCs w:val="28"/>
          <w:rtl/>
        </w:rPr>
        <w:t xml:space="preserve"> (מבלי שהזכיר דריכה)</w:t>
      </w:r>
      <w:r w:rsidRPr="0071327B">
        <w:rPr>
          <w:rFonts w:cs="David" w:hint="cs"/>
          <w:sz w:val="28"/>
          <w:szCs w:val="28"/>
          <w:rtl/>
        </w:rPr>
        <w:t>, אך ב</w:t>
      </w:r>
      <w:r>
        <w:rPr>
          <w:rFonts w:cs="David" w:hint="cs"/>
          <w:sz w:val="28"/>
          <w:szCs w:val="28"/>
          <w:rtl/>
        </w:rPr>
        <w:t>ה</w:t>
      </w:r>
      <w:r w:rsidRPr="0071327B">
        <w:rPr>
          <w:rFonts w:cs="David" w:hint="cs"/>
          <w:sz w:val="28"/>
          <w:szCs w:val="28"/>
          <w:rtl/>
        </w:rPr>
        <w:t xml:space="preserve"> בעת הבהיר כי </w:t>
      </w:r>
      <w:r>
        <w:rPr>
          <w:rFonts w:cs="David" w:hint="cs"/>
          <w:sz w:val="28"/>
          <w:szCs w:val="28"/>
          <w:rtl/>
        </w:rPr>
        <w:t>הפרטים זכורים לו</w:t>
      </w:r>
      <w:r w:rsidRPr="0071327B">
        <w:rPr>
          <w:rFonts w:cs="David" w:hint="cs"/>
          <w:sz w:val="28"/>
          <w:szCs w:val="28"/>
          <w:rtl/>
        </w:rPr>
        <w:t xml:space="preserve"> רק באופן כללי</w:t>
      </w:r>
      <w:r>
        <w:rPr>
          <w:rFonts w:cs="David" w:hint="cs"/>
          <w:sz w:val="28"/>
          <w:szCs w:val="28"/>
          <w:rtl/>
        </w:rPr>
        <w:t>. מכאן שאין בכך כדי להביא, כטענת ההגנה, למסקנה כי חלו שינויים בגרסת המתלונן</w:t>
      </w:r>
      <w:r w:rsidRPr="0071327B">
        <w:rPr>
          <w:rFonts w:cs="David" w:hint="cs"/>
          <w:sz w:val="28"/>
          <w:szCs w:val="28"/>
          <w:rtl/>
        </w:rPr>
        <w:t xml:space="preserve">. </w:t>
      </w:r>
    </w:p>
    <w:p w14:paraId="70431E43" w14:textId="68C18BFC" w:rsidR="00FA58FF" w:rsidRPr="000F41C4" w:rsidRDefault="00FA58FF" w:rsidP="00FA58FF">
      <w:pPr>
        <w:pStyle w:val="1"/>
        <w:numPr>
          <w:ilvl w:val="0"/>
          <w:numId w:val="3"/>
        </w:numPr>
        <w:tabs>
          <w:tab w:val="left" w:pos="283"/>
        </w:tabs>
        <w:spacing w:line="360" w:lineRule="auto"/>
        <w:jc w:val="both"/>
        <w:outlineLvl w:val="0"/>
        <w:rPr>
          <w:color w:val="000000"/>
          <w:sz w:val="27"/>
          <w:szCs w:val="27"/>
        </w:rPr>
      </w:pPr>
      <w:r>
        <w:rPr>
          <w:rFonts w:cs="David" w:hint="cs"/>
          <w:sz w:val="28"/>
          <w:szCs w:val="28"/>
          <w:rtl/>
        </w:rPr>
        <w:t xml:space="preserve">חיזוק משמעותי לעדות המתלונן נמצא לכאורה בגרסתו של סמל יהודה, אשר מסר כי המערער כיוון את הנשק לעבר חזהו של המתלונן, צמוד לגופו ו"שיחק עם ידית הדריכה". אכן יש להצר על כך שלא נגבתה מסמל יהודה עדות מסודרת כנדרש, אלא נערכה עימו רק שיחה טלפונית, אך כאמור הדבר נבע תחילה מחופשת אבל ובהמשך עקב פרוץ המלחמה. יוטעם עוד, בהמשך לטענות ההגנה כאמור, כי אף שעדים מסוימים אכן לא מנו אותו כמי שנכח במקום, הם לא שללו את האפשרות כי נכח שם, וסמל ציונה אף מסרה כי יתכן שהיה במקום. גם מפקד הפלוגה מציין בעדותו כי מהתחקיר עלה שסמל יהודה אכן נכח באירוע (אף כי ציין שלא שיתף פעולה בתחקיר). ההגנה, מצידה, לא הצביעה, גם ביחס לסמל יהודה, על סיבה שבגינה ימסור גרסה שקרית לגבי נוכחותו במקום האירוע והפרטים שבהם הבחין. על כל פנים, ראוי כי בירור ההשגות שהעלתה ההגנה בנוגע לגרסה שמסר סמל יהודה ייעשה בשלב ההליך העיקרי. </w:t>
      </w:r>
    </w:p>
    <w:p w14:paraId="59ECF689" w14:textId="77777777" w:rsidR="00FA58FF" w:rsidRPr="00F71F09" w:rsidRDefault="00FA58FF" w:rsidP="00FA58FF">
      <w:pPr>
        <w:pStyle w:val="1"/>
        <w:numPr>
          <w:ilvl w:val="0"/>
          <w:numId w:val="3"/>
        </w:numPr>
        <w:tabs>
          <w:tab w:val="left" w:pos="283"/>
        </w:tabs>
        <w:spacing w:line="360" w:lineRule="auto"/>
        <w:jc w:val="both"/>
        <w:outlineLvl w:val="0"/>
        <w:rPr>
          <w:color w:val="000000"/>
          <w:sz w:val="27"/>
          <w:szCs w:val="27"/>
        </w:rPr>
      </w:pPr>
      <w:r>
        <w:rPr>
          <w:rFonts w:cs="David" w:hint="cs"/>
          <w:sz w:val="28"/>
          <w:szCs w:val="28"/>
          <w:rtl/>
        </w:rPr>
        <w:t xml:space="preserve">עדותה של סמל ציונה, חיילת ביחידה, מחזקת כאמור את גרסת המתלונן. סמל ציונה מסרה בשתי אמרות שונות כי הבחינה בכיוון הנשק (אם כי ציינה שכוון לעבר הבטן ופלג הגוף </w:t>
      </w:r>
      <w:r>
        <w:rPr>
          <w:rFonts w:cs="David" w:hint="cs"/>
          <w:sz w:val="28"/>
          <w:szCs w:val="28"/>
          <w:rtl/>
        </w:rPr>
        <w:lastRenderedPageBreak/>
        <w:t xml:space="preserve">התחתון), וכן כי הבחינה בכך שהמערער נגע בידית הדריכה, אף שלא הייתה משוכנעת בכך שדרך את הנשק. מעדות המ"פ עולה כי זו גם הגרסה שמסרה סמל ציונה בתחקיר שערך. </w:t>
      </w:r>
    </w:p>
    <w:p w14:paraId="72BACBE5" w14:textId="77777777" w:rsidR="00FA58FF" w:rsidRPr="00FA58FF" w:rsidRDefault="00FA58FF" w:rsidP="00FA58FF">
      <w:pPr>
        <w:numPr>
          <w:ilvl w:val="0"/>
          <w:numId w:val="3"/>
        </w:numPr>
        <w:tabs>
          <w:tab w:val="left" w:pos="283"/>
        </w:tabs>
        <w:contextualSpacing/>
        <w:jc w:val="both"/>
        <w:outlineLvl w:val="0"/>
        <w:rPr>
          <w:rFonts w:ascii="David" w:hAnsi="David" w:cs="David"/>
          <w:color w:val="000000"/>
          <w:sz w:val="28"/>
          <w:szCs w:val="28"/>
        </w:rPr>
      </w:pPr>
      <w:r w:rsidRPr="00FA58FF">
        <w:rPr>
          <w:rFonts w:ascii="David" w:hAnsi="David" w:cs="David"/>
          <w:sz w:val="28"/>
          <w:szCs w:val="28"/>
          <w:rtl/>
        </w:rPr>
        <w:t xml:space="preserve">רב"ט עינת מסרה בחקירה, כי בעת האירוע ישבה במועדון הסמוך, וציינה כי יש לה הבנה בנשק שכן השתתפה בעבר בהכשרת לוחמים. היא מסרה כי שמעה קול חלש של דריכה, ולכן סברה כי הייתה דריכה שאינה מלאה. סמל דניאל, שישב אף הוא במועדון, מסר כי היה מרוכז במשחק ולא שמע דבר. רב"ט ליאור, שההגנה נסמכת במידה רבה על עדותו, ציין אמנם כי לא ראה כל כיוון נשק אך מעדותו עלה כי שהה בחדר סמוך, שממנו </w:t>
      </w:r>
      <w:r w:rsidRPr="00FA58FF">
        <w:rPr>
          <w:rFonts w:ascii="David" w:hAnsi="David" w:cs="David"/>
          <w:b/>
          <w:bCs/>
          <w:sz w:val="28"/>
          <w:szCs w:val="28"/>
          <w:rtl/>
        </w:rPr>
        <w:t>יצא בסוף האירוע</w:t>
      </w:r>
      <w:r w:rsidRPr="00FA58FF">
        <w:rPr>
          <w:rFonts w:ascii="David" w:hAnsi="David" w:cs="David"/>
          <w:sz w:val="28"/>
          <w:szCs w:val="28"/>
          <w:rtl/>
        </w:rPr>
        <w:t xml:space="preserve"> כששמע את המתלונן ואת המערער צועקים ולדבריו לא היה נוכח "90% מהזמן". אין בדבריו אפוא כדי לסתור את העולה לכאורה מגרסת המתלונן והעדים האחרים. </w:t>
      </w:r>
    </w:p>
    <w:p w14:paraId="032D0023" w14:textId="77777777" w:rsidR="00FA58FF" w:rsidRPr="00FA58FF" w:rsidRDefault="00FA58FF" w:rsidP="00FA58FF">
      <w:pPr>
        <w:numPr>
          <w:ilvl w:val="0"/>
          <w:numId w:val="3"/>
        </w:numPr>
        <w:tabs>
          <w:tab w:val="left" w:pos="283"/>
        </w:tabs>
        <w:contextualSpacing/>
        <w:jc w:val="both"/>
        <w:outlineLvl w:val="0"/>
        <w:rPr>
          <w:rFonts w:ascii="David" w:hAnsi="David" w:cs="David"/>
          <w:color w:val="000000"/>
          <w:sz w:val="28"/>
          <w:szCs w:val="28"/>
        </w:rPr>
      </w:pPr>
      <w:r w:rsidRPr="00FA58FF">
        <w:rPr>
          <w:rFonts w:ascii="David" w:hAnsi="David" w:cs="David"/>
          <w:sz w:val="28"/>
          <w:szCs w:val="28"/>
          <w:rtl/>
        </w:rPr>
        <w:t xml:space="preserve">לגרסתו של המערער, במהלך הוויכוח ביניהם, דחף המתלונן מקל לכיוון ישבנו, ולאחר מכן המערער בחר לעזוב את המקום תוך שהוא מעביר את הנשק מאחורי גופו לקדמת גופו. אלא שלדברים אלה לא נמצאו תימוכין בעדויות שנגבו. המערער טען באמרתו כי רב"ט ליאור מסר לו ש"חייל מהלוגיסטיקה" סיפר לו שהבחין בכך שהמתלונן תקף אותו עם מקל, אך רב"ט ליאור לא מסר כך בהודעתו, וכאשר נשאל אם שמע על האירוע ממישהו אחר השיב בשלילה וציין כי "לא היה נראה לי רלוונטי לדבר על זה עם אנשים". על אף האמור נערך במצ"ח ניסיון לאתר את החייל האמור; ובשיחה שהתקיימה עם המ"פ בנושא, מסר האחרון כי בתחקירים שנערכו המערער לא טען כי יש חייל אשר יכול לאמת את גרסתו ביחס למקל. </w:t>
      </w:r>
    </w:p>
    <w:p w14:paraId="706B0093" w14:textId="77777777" w:rsidR="00FA58FF" w:rsidRPr="00FA58FF" w:rsidRDefault="00FA58FF" w:rsidP="00FA58FF">
      <w:pPr>
        <w:numPr>
          <w:ilvl w:val="0"/>
          <w:numId w:val="3"/>
        </w:numPr>
        <w:tabs>
          <w:tab w:val="left" w:pos="283"/>
        </w:tabs>
        <w:contextualSpacing/>
        <w:jc w:val="both"/>
        <w:outlineLvl w:val="0"/>
        <w:rPr>
          <w:rFonts w:ascii="David" w:hAnsi="David" w:cs="David"/>
          <w:sz w:val="28"/>
          <w:szCs w:val="28"/>
          <w:rtl/>
        </w:rPr>
      </w:pPr>
      <w:r w:rsidRPr="00FA58FF">
        <w:rPr>
          <w:rFonts w:ascii="David" w:hAnsi="David" w:cs="David"/>
          <w:sz w:val="28"/>
          <w:szCs w:val="28"/>
          <w:rtl/>
        </w:rPr>
        <w:t xml:space="preserve">מהמקובץ עולה, כי ככלל, העדויות שנאספו במהלך החקירה תומכות לכאורה בגרסת המתלונן; ואף אם התגלעו סתירות מסוימות ביניהן, הן אינן עולות כדי "כרסום ראייתי", שכן יש לזכור, כי באירוע מסוג זה שהוא קצר ומהיר ובו כל אחד מהעדים רואה את הדברים מנקודת מבטו "קשה לצפות מאמרות ועדויות של עדי ראייה, בהתרחשויות דרמטיות, מהירות ומרובות משתתפים שיביאו לידי מארג עובדתי מלא וקוהרנטי, מושלם וחף משגיאות" (ע"פ 2099/15 </w:t>
      </w:r>
      <w:r w:rsidRPr="00FA58FF">
        <w:rPr>
          <w:rFonts w:ascii="David" w:hAnsi="David" w:cs="David"/>
          <w:b/>
          <w:bCs/>
          <w:sz w:val="28"/>
          <w:szCs w:val="28"/>
          <w:rtl/>
        </w:rPr>
        <w:t>פלוני נ' מדינת ישראל</w:t>
      </w:r>
      <w:r w:rsidRPr="00FA58FF">
        <w:rPr>
          <w:rFonts w:ascii="David" w:hAnsi="David" w:cs="David"/>
          <w:sz w:val="28"/>
          <w:szCs w:val="28"/>
          <w:rtl/>
        </w:rPr>
        <w:t xml:space="preserve">, פסקה 50 (22.5.2016); כן ראו ע"פ 23377-01-25 </w:t>
      </w:r>
      <w:r w:rsidRPr="00FA58FF">
        <w:rPr>
          <w:rFonts w:ascii="David" w:hAnsi="David" w:cs="David"/>
          <w:b/>
          <w:bCs/>
          <w:sz w:val="28"/>
          <w:szCs w:val="28"/>
          <w:rtl/>
        </w:rPr>
        <w:t>התובע הצבאי הראשי נ' סמל (מיל') לוי</w:t>
      </w:r>
      <w:r w:rsidRPr="00FA58FF">
        <w:rPr>
          <w:rFonts w:ascii="David" w:hAnsi="David" w:cs="David"/>
          <w:sz w:val="28"/>
          <w:szCs w:val="28"/>
          <w:rtl/>
        </w:rPr>
        <w:t xml:space="preserve">, פסקה 34 (2025)). את טענות ההגנה ביחס לסתירות, כמו גם בנוגע להשפעת התחקירים שערכו ביחידה על העדויות שנגבו במצ"ח, יש לבחון בהליך העיקרי. יש לקבוע אפוא כי התשתית הראייתית שנאספה מקימה פוטנציאל סביר להרשעה ומצביעה על כך שהמערער כיוון והצמיד נשק טעון לגופו של המתלונן, ודרך אותו או לכל פחות שיחק בידית הדריכה, גם אם לא השלים את פעולת הדריכה. </w:t>
      </w:r>
    </w:p>
    <w:p w14:paraId="5401FAA5" w14:textId="77777777" w:rsidR="00FA58FF" w:rsidRPr="0006183D" w:rsidRDefault="00FA58FF" w:rsidP="00626605">
      <w:pPr>
        <w:pStyle w:val="1"/>
        <w:numPr>
          <w:ilvl w:val="0"/>
          <w:numId w:val="3"/>
        </w:numPr>
        <w:tabs>
          <w:tab w:val="left" w:pos="-20"/>
        </w:tabs>
        <w:spacing w:line="360" w:lineRule="auto"/>
        <w:ind w:left="-20"/>
        <w:jc w:val="both"/>
        <w:outlineLvl w:val="0"/>
      </w:pPr>
      <w:r w:rsidRPr="00047F3C">
        <w:rPr>
          <w:rFonts w:cs="David" w:hint="cs"/>
          <w:sz w:val="28"/>
          <w:szCs w:val="28"/>
          <w:rtl/>
        </w:rPr>
        <w:t xml:space="preserve">בנסיבות אלה מתקיימות באופן מובהק עילות מעצר המחייבות את מעצרו הממשי של המערער. כפי שבואר </w:t>
      </w:r>
      <w:r>
        <w:rPr>
          <w:rFonts w:cs="David" w:hint="cs"/>
          <w:sz w:val="28"/>
          <w:szCs w:val="28"/>
          <w:rtl/>
        </w:rPr>
        <w:t xml:space="preserve">גם </w:t>
      </w:r>
      <w:r w:rsidRPr="00047F3C">
        <w:rPr>
          <w:rFonts w:cs="David" w:hint="cs"/>
          <w:sz w:val="28"/>
          <w:szCs w:val="28"/>
          <w:rtl/>
        </w:rPr>
        <w:t xml:space="preserve">על ידי בית הדין קמא, העבירה </w:t>
      </w:r>
      <w:r>
        <w:rPr>
          <w:rFonts w:cs="David" w:hint="cs"/>
          <w:sz w:val="28"/>
          <w:szCs w:val="28"/>
          <w:rtl/>
        </w:rPr>
        <w:t>ש</w:t>
      </w:r>
      <w:r w:rsidRPr="00047F3C">
        <w:rPr>
          <w:rFonts w:cs="David" w:hint="cs"/>
          <w:sz w:val="28"/>
          <w:szCs w:val="28"/>
          <w:rtl/>
        </w:rPr>
        <w:t>בה מואשם המערער מקימה את עילת המעצר הסטטוטורית</w:t>
      </w:r>
      <w:r>
        <w:rPr>
          <w:rFonts w:cs="David" w:hint="cs"/>
          <w:sz w:val="28"/>
          <w:szCs w:val="28"/>
          <w:rtl/>
        </w:rPr>
        <w:t>,</w:t>
      </w:r>
      <w:r w:rsidRPr="00047F3C">
        <w:rPr>
          <w:rFonts w:cs="David" w:hint="cs"/>
          <w:sz w:val="28"/>
          <w:szCs w:val="28"/>
          <w:rtl/>
        </w:rPr>
        <w:t xml:space="preserve"> </w:t>
      </w:r>
      <w:r w:rsidRPr="00351ED4">
        <w:rPr>
          <w:rFonts w:cs="David" w:hint="cs"/>
          <w:sz w:val="28"/>
          <w:szCs w:val="28"/>
          <w:rtl/>
        </w:rPr>
        <w:t xml:space="preserve">לפי סעיף 21(א)(1)(ג)(2) לחוק סדר הדין הפלילי (סמכויות אכיפה - מעצרים), תשנ"ו </w:t>
      </w:r>
      <w:r>
        <w:rPr>
          <w:rFonts w:cs="David" w:hint="cs"/>
          <w:sz w:val="28"/>
          <w:szCs w:val="28"/>
          <w:rtl/>
        </w:rPr>
        <w:t>-</w:t>
      </w:r>
      <w:r w:rsidRPr="00351ED4">
        <w:rPr>
          <w:rFonts w:cs="David" w:hint="cs"/>
          <w:sz w:val="28"/>
          <w:szCs w:val="28"/>
          <w:rtl/>
        </w:rPr>
        <w:t xml:space="preserve"> 1996</w:t>
      </w:r>
      <w:r>
        <w:rPr>
          <w:rFonts w:cs="David" w:hint="cs"/>
          <w:sz w:val="28"/>
          <w:szCs w:val="28"/>
          <w:rtl/>
        </w:rPr>
        <w:t xml:space="preserve">, </w:t>
      </w:r>
      <w:r w:rsidRPr="00047F3C">
        <w:rPr>
          <w:rFonts w:cs="David" w:hint="cs"/>
          <w:sz w:val="28"/>
          <w:szCs w:val="28"/>
          <w:rtl/>
        </w:rPr>
        <w:t>שעניינה חשש לשלום הציבור ובטחונו, ומכאן כי מתקיימת חזקת מסוכנות שעל המערער רובץ הנטל להפריכה</w:t>
      </w:r>
      <w:r>
        <w:rPr>
          <w:rFonts w:cs="David" w:hint="cs"/>
          <w:sz w:val="28"/>
          <w:szCs w:val="28"/>
          <w:rtl/>
        </w:rPr>
        <w:t xml:space="preserve">. לעניין זה נפסק לא אחת, כי "כלי נשק - כחפץ </w:t>
      </w:r>
      <w:r>
        <w:rPr>
          <w:rFonts w:cs="David" w:hint="cs"/>
          <w:sz w:val="28"/>
          <w:szCs w:val="28"/>
          <w:rtl/>
        </w:rPr>
        <w:lastRenderedPageBreak/>
        <w:t xml:space="preserve">מסוכן מעצם טבעו - נחשב לעולם 'מוכן' לירי, וכל אדם ממוצע בר דעת מוחזק כמי שמודע לטיבו זה" (ע"פ 1982/98 </w:t>
      </w:r>
      <w:proofErr w:type="spellStart"/>
      <w:r>
        <w:rPr>
          <w:rFonts w:cs="David" w:hint="cs"/>
          <w:b/>
          <w:bCs/>
          <w:sz w:val="28"/>
          <w:szCs w:val="28"/>
          <w:rtl/>
        </w:rPr>
        <w:t>מירו</w:t>
      </w:r>
      <w:proofErr w:type="spellEnd"/>
      <w:r>
        <w:rPr>
          <w:rFonts w:cs="David" w:hint="cs"/>
          <w:b/>
          <w:bCs/>
          <w:sz w:val="28"/>
          <w:szCs w:val="28"/>
          <w:rtl/>
        </w:rPr>
        <w:t xml:space="preserve"> נ' מדינת ישראל, </w:t>
      </w:r>
      <w:r>
        <w:rPr>
          <w:rFonts w:cs="David" w:hint="cs"/>
          <w:sz w:val="28"/>
          <w:szCs w:val="28"/>
          <w:rtl/>
        </w:rPr>
        <w:t>פ"ד נב (1998)</w:t>
      </w:r>
      <w:r>
        <w:rPr>
          <w:rFonts w:cs="David"/>
          <w:sz w:val="28"/>
          <w:szCs w:val="28"/>
        </w:rPr>
        <w:t xml:space="preserve"> </w:t>
      </w:r>
      <w:r>
        <w:rPr>
          <w:rFonts w:cs="David" w:hint="cs"/>
          <w:sz w:val="28"/>
          <w:szCs w:val="28"/>
          <w:rtl/>
        </w:rPr>
        <w:t xml:space="preserve">145, 157; ע/27/22 </w:t>
      </w:r>
      <w:r>
        <w:rPr>
          <w:rFonts w:cs="David" w:hint="cs"/>
          <w:b/>
          <w:bCs/>
          <w:sz w:val="28"/>
          <w:szCs w:val="28"/>
          <w:rtl/>
        </w:rPr>
        <w:t>סמ"ר מזרחי נ' התובע הצבאי הראשי</w:t>
      </w:r>
      <w:r>
        <w:rPr>
          <w:rFonts w:cs="David" w:hint="cs"/>
          <w:sz w:val="28"/>
          <w:szCs w:val="28"/>
          <w:rtl/>
        </w:rPr>
        <w:t xml:space="preserve">, פסקה 70 (2023) - בקשת רשות ערעור נדחתה </w:t>
      </w:r>
      <w:proofErr w:type="spellStart"/>
      <w:r>
        <w:rPr>
          <w:rFonts w:cs="David" w:hint="cs"/>
          <w:sz w:val="28"/>
          <w:szCs w:val="28"/>
          <w:rtl/>
        </w:rPr>
        <w:t>ברע"פ</w:t>
      </w:r>
      <w:proofErr w:type="spellEnd"/>
      <w:r>
        <w:rPr>
          <w:rFonts w:cs="David" w:hint="cs"/>
          <w:sz w:val="28"/>
          <w:szCs w:val="28"/>
          <w:rtl/>
        </w:rPr>
        <w:t xml:space="preserve"> 1510/23 </w:t>
      </w:r>
      <w:r>
        <w:rPr>
          <w:rFonts w:cs="David" w:hint="cs"/>
          <w:b/>
          <w:bCs/>
          <w:sz w:val="28"/>
          <w:szCs w:val="28"/>
          <w:rtl/>
        </w:rPr>
        <w:t xml:space="preserve">מזרחי נ' בית הדין הצבאי לערעורים </w:t>
      </w:r>
      <w:r>
        <w:rPr>
          <w:rFonts w:cs="David" w:hint="cs"/>
          <w:sz w:val="28"/>
          <w:szCs w:val="28"/>
          <w:rtl/>
        </w:rPr>
        <w:t xml:space="preserve">(20.4.2023); ע"מ 36/24 </w:t>
      </w:r>
      <w:r>
        <w:rPr>
          <w:rFonts w:cs="David" w:hint="cs"/>
          <w:b/>
          <w:bCs/>
          <w:sz w:val="28"/>
          <w:szCs w:val="28"/>
          <w:rtl/>
        </w:rPr>
        <w:t xml:space="preserve">סמל </w:t>
      </w:r>
      <w:proofErr w:type="spellStart"/>
      <w:r>
        <w:rPr>
          <w:rFonts w:cs="David" w:hint="cs"/>
          <w:b/>
          <w:bCs/>
          <w:sz w:val="28"/>
          <w:szCs w:val="28"/>
          <w:rtl/>
        </w:rPr>
        <w:t>עורקבי</w:t>
      </w:r>
      <w:proofErr w:type="spellEnd"/>
      <w:r>
        <w:rPr>
          <w:rFonts w:cs="David" w:hint="cs"/>
          <w:b/>
          <w:bCs/>
          <w:sz w:val="28"/>
          <w:szCs w:val="28"/>
          <w:rtl/>
        </w:rPr>
        <w:t xml:space="preserve"> נ' התובע הצבאי הראשי</w:t>
      </w:r>
      <w:r>
        <w:rPr>
          <w:rFonts w:cs="David" w:hint="cs"/>
          <w:sz w:val="28"/>
          <w:szCs w:val="28"/>
          <w:rtl/>
        </w:rPr>
        <w:t xml:space="preserve">, פסקה 15 (2024)). יוטעם כי המערער הוא חייל ותיק, הנושא נשק בדרך קבע ומודע לסיכונים הכרוכים בשימוש בו, אשר לכאורה, במהלך ויכוח, כיוון נשק </w:t>
      </w:r>
      <w:r>
        <w:rPr>
          <w:rFonts w:cs="David" w:hint="cs"/>
          <w:b/>
          <w:bCs/>
          <w:sz w:val="28"/>
          <w:szCs w:val="28"/>
          <w:rtl/>
        </w:rPr>
        <w:t xml:space="preserve">טעון </w:t>
      </w:r>
      <w:r>
        <w:rPr>
          <w:rFonts w:cs="David" w:hint="cs"/>
          <w:sz w:val="28"/>
          <w:szCs w:val="28"/>
          <w:rtl/>
        </w:rPr>
        <w:t xml:space="preserve">כלפי אחר, הצמידו לעבר גופו ובתוך כך, פעל לדרוך את הנשק. המערער כאמור מכחיש את המיוחס לו, ולא הובאו נתונים שיש בהם כדי להפריך את חזקת המסוכנות כאמור. </w:t>
      </w:r>
    </w:p>
    <w:p w14:paraId="6AF9646E" w14:textId="77777777" w:rsidR="00FA58FF" w:rsidRPr="00A44E3B" w:rsidRDefault="00FA58FF" w:rsidP="00626605">
      <w:pPr>
        <w:pStyle w:val="1"/>
        <w:numPr>
          <w:ilvl w:val="0"/>
          <w:numId w:val="3"/>
        </w:numPr>
        <w:tabs>
          <w:tab w:val="left" w:pos="-20"/>
        </w:tabs>
        <w:spacing w:line="360" w:lineRule="auto"/>
        <w:ind w:left="-20"/>
        <w:jc w:val="both"/>
        <w:outlineLvl w:val="0"/>
      </w:pPr>
      <w:r w:rsidRPr="0006183D">
        <w:rPr>
          <w:rFonts w:cs="David" w:hint="cs"/>
          <w:sz w:val="28"/>
          <w:szCs w:val="28"/>
          <w:rtl/>
        </w:rPr>
        <w:t>לעילת המסוכנות הסטטוטורית מצטרפות</w:t>
      </w:r>
      <w:r>
        <w:rPr>
          <w:rFonts w:cs="David" w:hint="cs"/>
          <w:sz w:val="28"/>
          <w:szCs w:val="28"/>
          <w:rtl/>
        </w:rPr>
        <w:t>, בנסיבות העניין,</w:t>
      </w:r>
      <w:r w:rsidRPr="0006183D">
        <w:rPr>
          <w:rFonts w:cs="David" w:hint="cs"/>
          <w:sz w:val="28"/>
          <w:szCs w:val="28"/>
          <w:rtl/>
        </w:rPr>
        <w:t xml:space="preserve"> גם עילות מעצר </w:t>
      </w:r>
      <w:r>
        <w:rPr>
          <w:rFonts w:cs="David" w:hint="cs"/>
          <w:sz w:val="28"/>
          <w:szCs w:val="28"/>
          <w:rtl/>
        </w:rPr>
        <w:t>ה</w:t>
      </w:r>
      <w:r w:rsidRPr="0006183D">
        <w:rPr>
          <w:rFonts w:cs="David" w:hint="cs"/>
          <w:sz w:val="28"/>
          <w:szCs w:val="28"/>
          <w:rtl/>
        </w:rPr>
        <w:t>צבאיות</w:t>
      </w:r>
      <w:r>
        <w:rPr>
          <w:rFonts w:cs="David" w:hint="cs"/>
          <w:sz w:val="28"/>
          <w:szCs w:val="28"/>
          <w:rtl/>
        </w:rPr>
        <w:t>, של ה</w:t>
      </w:r>
      <w:r w:rsidRPr="0006183D">
        <w:rPr>
          <w:rFonts w:cs="David" w:hint="cs"/>
          <w:sz w:val="28"/>
          <w:szCs w:val="28"/>
          <w:rtl/>
        </w:rPr>
        <w:t xml:space="preserve">מסוכנות </w:t>
      </w:r>
      <w:r>
        <w:rPr>
          <w:rFonts w:cs="David" w:hint="cs"/>
          <w:sz w:val="28"/>
          <w:szCs w:val="28"/>
          <w:rtl/>
        </w:rPr>
        <w:t>ה</w:t>
      </w:r>
      <w:r w:rsidRPr="0006183D">
        <w:rPr>
          <w:rFonts w:cs="David" w:hint="cs"/>
          <w:sz w:val="28"/>
          <w:szCs w:val="28"/>
          <w:rtl/>
        </w:rPr>
        <w:t>צבאית ו</w:t>
      </w:r>
      <w:r>
        <w:rPr>
          <w:rFonts w:cs="David" w:hint="cs"/>
          <w:sz w:val="28"/>
          <w:szCs w:val="28"/>
          <w:rtl/>
        </w:rPr>
        <w:t>ה</w:t>
      </w:r>
      <w:r w:rsidRPr="0006183D">
        <w:rPr>
          <w:rFonts w:cs="David" w:hint="cs"/>
          <w:sz w:val="28"/>
          <w:szCs w:val="28"/>
          <w:rtl/>
        </w:rPr>
        <w:t>חשש לפגיעה במשמעת הצבאית</w:t>
      </w:r>
      <w:r>
        <w:rPr>
          <w:rFonts w:cs="David" w:hint="cs"/>
          <w:sz w:val="28"/>
          <w:szCs w:val="28"/>
          <w:rtl/>
        </w:rPr>
        <w:t xml:space="preserve">, המתקיימות </w:t>
      </w:r>
      <w:r w:rsidRPr="003E5E82">
        <w:rPr>
          <w:rFonts w:cs="David" w:hint="cs"/>
          <w:sz w:val="28"/>
          <w:szCs w:val="28"/>
          <w:rtl/>
        </w:rPr>
        <w:t>במובהק</w:t>
      </w:r>
      <w:r>
        <w:rPr>
          <w:rFonts w:cs="David" w:hint="cs"/>
          <w:sz w:val="28"/>
          <w:szCs w:val="28"/>
          <w:rtl/>
        </w:rPr>
        <w:t xml:space="preserve"> עקב </w:t>
      </w:r>
      <w:r w:rsidRPr="003D7A41">
        <w:rPr>
          <w:rFonts w:cs="David" w:hint="eastAsia"/>
          <w:b/>
          <w:bCs/>
          <w:sz w:val="28"/>
          <w:szCs w:val="28"/>
          <w:rtl/>
        </w:rPr>
        <w:t>סיכונו</w:t>
      </w:r>
      <w:r w:rsidRPr="003D7A41">
        <w:rPr>
          <w:rFonts w:cs="David"/>
          <w:b/>
          <w:bCs/>
          <w:sz w:val="28"/>
          <w:szCs w:val="28"/>
          <w:rtl/>
        </w:rPr>
        <w:t xml:space="preserve"> המכוון והמודע</w:t>
      </w:r>
      <w:r>
        <w:rPr>
          <w:rFonts w:cs="David" w:hint="cs"/>
          <w:sz w:val="28"/>
          <w:szCs w:val="28"/>
          <w:rtl/>
        </w:rPr>
        <w:t xml:space="preserve"> של המתלונן, בכיוון הנשק כלפיו "ממרחק אפס" כמעט ובפעולותיו של המערער לדריכת הנשק (על מבחן הסיכון המכוון ראו ע"מ 10/21 </w:t>
      </w:r>
      <w:r>
        <w:rPr>
          <w:rFonts w:cs="David" w:hint="cs"/>
          <w:b/>
          <w:bCs/>
          <w:sz w:val="28"/>
          <w:szCs w:val="28"/>
          <w:rtl/>
        </w:rPr>
        <w:t>טור' שלוש נ' התובע הצבאי הראשי</w:t>
      </w:r>
      <w:r>
        <w:rPr>
          <w:rFonts w:cs="David" w:hint="cs"/>
          <w:sz w:val="28"/>
          <w:szCs w:val="28"/>
          <w:rtl/>
        </w:rPr>
        <w:t xml:space="preserve">, פסקה 25 והאסמכתאות שם (2024)). </w:t>
      </w:r>
      <w:r w:rsidRPr="0006183D">
        <w:rPr>
          <w:rFonts w:cs="David" w:hint="cs"/>
          <w:sz w:val="28"/>
          <w:szCs w:val="28"/>
          <w:rtl/>
        </w:rPr>
        <w:t xml:space="preserve">עוצמתן </w:t>
      </w:r>
      <w:r>
        <w:rPr>
          <w:rFonts w:cs="David" w:hint="cs"/>
          <w:sz w:val="28"/>
          <w:szCs w:val="28"/>
          <w:rtl/>
        </w:rPr>
        <w:t xml:space="preserve">של עילות המעצר אף </w:t>
      </w:r>
      <w:r w:rsidRPr="0006183D">
        <w:rPr>
          <w:rFonts w:cs="David" w:hint="cs"/>
          <w:sz w:val="28"/>
          <w:szCs w:val="28"/>
          <w:rtl/>
        </w:rPr>
        <w:t>מתגברת בעת מלחמה</w:t>
      </w:r>
      <w:r>
        <w:rPr>
          <w:rFonts w:cs="David" w:hint="cs"/>
          <w:sz w:val="28"/>
          <w:szCs w:val="28"/>
          <w:rtl/>
        </w:rPr>
        <w:t xml:space="preserve"> (ע"מ 104/24 </w:t>
      </w:r>
      <w:r>
        <w:rPr>
          <w:rFonts w:cs="David" w:hint="cs"/>
          <w:b/>
          <w:bCs/>
          <w:sz w:val="28"/>
          <w:szCs w:val="28"/>
          <w:rtl/>
        </w:rPr>
        <w:t>סמל בשארי נ' התובע הצבאי הראשי</w:t>
      </w:r>
      <w:r>
        <w:rPr>
          <w:rFonts w:cs="David" w:hint="cs"/>
          <w:sz w:val="28"/>
          <w:szCs w:val="28"/>
          <w:rtl/>
        </w:rPr>
        <w:t xml:space="preserve">, פסקה 24 והאסמכתאות שם (2024); ע"מ 36/24 </w:t>
      </w:r>
      <w:r>
        <w:rPr>
          <w:rFonts w:cs="David" w:hint="cs"/>
          <w:b/>
          <w:bCs/>
          <w:sz w:val="28"/>
          <w:szCs w:val="28"/>
          <w:rtl/>
        </w:rPr>
        <w:t xml:space="preserve">התובע הצבאי הראשי נ' סמל </w:t>
      </w:r>
      <w:proofErr w:type="spellStart"/>
      <w:r>
        <w:rPr>
          <w:rFonts w:cs="David" w:hint="cs"/>
          <w:b/>
          <w:bCs/>
          <w:sz w:val="28"/>
          <w:szCs w:val="28"/>
          <w:rtl/>
        </w:rPr>
        <w:t>עורקבי</w:t>
      </w:r>
      <w:proofErr w:type="spellEnd"/>
      <w:r>
        <w:rPr>
          <w:rFonts w:cs="David" w:hint="cs"/>
          <w:b/>
          <w:bCs/>
          <w:sz w:val="28"/>
          <w:szCs w:val="28"/>
          <w:rtl/>
        </w:rPr>
        <w:t xml:space="preserve"> </w:t>
      </w:r>
      <w:r>
        <w:rPr>
          <w:rFonts w:cs="David" w:hint="cs"/>
          <w:sz w:val="28"/>
          <w:szCs w:val="28"/>
          <w:rtl/>
        </w:rPr>
        <w:t xml:space="preserve">(2024)). מכאן שעילות המעצר, כל אחת בנפרד, ובוודאי בהצטברותן, אינן מאפשרות להורות על שחרורו של המערער לחלופת מעצר. </w:t>
      </w:r>
    </w:p>
    <w:p w14:paraId="7C8EBDA7" w14:textId="77777777" w:rsidR="00FA58FF" w:rsidRPr="00BF3E8C" w:rsidRDefault="00FA58FF" w:rsidP="003A164C">
      <w:pPr>
        <w:pStyle w:val="1"/>
        <w:tabs>
          <w:tab w:val="left" w:pos="-20"/>
        </w:tabs>
        <w:spacing w:line="360" w:lineRule="auto"/>
        <w:ind w:left="-20"/>
        <w:jc w:val="both"/>
        <w:outlineLvl w:val="0"/>
        <w:rPr>
          <w:rtl/>
        </w:rPr>
      </w:pPr>
      <w:r w:rsidRPr="006D67E7">
        <w:rPr>
          <w:rFonts w:cs="David" w:hint="cs"/>
          <w:sz w:val="28"/>
          <w:szCs w:val="28"/>
          <w:rtl/>
        </w:rPr>
        <w:t xml:space="preserve">ערעור ההגנה על מעצרו של המערער עד תום ההליכים המשפטיים נדחה אפוא. </w:t>
      </w:r>
    </w:p>
    <w:p w14:paraId="0B0EACE0" w14:textId="77777777" w:rsidR="00FA58FF" w:rsidRDefault="00FA58FF" w:rsidP="00FA58FF">
      <w:pPr>
        <w:contextualSpacing/>
        <w:jc w:val="both"/>
        <w:outlineLvl w:val="0"/>
        <w:rPr>
          <w:rtl/>
        </w:rPr>
      </w:pPr>
    </w:p>
    <w:p w14:paraId="4D0AD4EE" w14:textId="77777777" w:rsidR="00FA58FF" w:rsidRPr="00FA58FF" w:rsidRDefault="00FA58FF" w:rsidP="00FA58FF">
      <w:pPr>
        <w:contextualSpacing/>
        <w:jc w:val="both"/>
        <w:outlineLvl w:val="0"/>
        <w:rPr>
          <w:rFonts w:ascii="David" w:hAnsi="David" w:cs="David"/>
          <w:sz w:val="28"/>
          <w:szCs w:val="28"/>
          <w:rtl/>
        </w:rPr>
      </w:pPr>
      <w:r w:rsidRPr="00FA58FF">
        <w:rPr>
          <w:rFonts w:ascii="David" w:hAnsi="David" w:cs="David"/>
          <w:sz w:val="28"/>
          <w:szCs w:val="28"/>
          <w:rtl/>
        </w:rPr>
        <w:t xml:space="preserve">ההחלטה ניתנה בלשכה היום, כ"ג באדר </w:t>
      </w:r>
      <w:proofErr w:type="spellStart"/>
      <w:r w:rsidRPr="00FA58FF">
        <w:rPr>
          <w:rFonts w:ascii="David" w:hAnsi="David" w:cs="David"/>
          <w:sz w:val="28"/>
          <w:szCs w:val="28"/>
          <w:rtl/>
        </w:rPr>
        <w:t>התשפ"ו</w:t>
      </w:r>
      <w:proofErr w:type="spellEnd"/>
      <w:r w:rsidRPr="00FA58FF">
        <w:rPr>
          <w:rFonts w:ascii="David" w:hAnsi="David" w:cs="David"/>
          <w:sz w:val="28"/>
          <w:szCs w:val="28"/>
          <w:rtl/>
        </w:rPr>
        <w:t xml:space="preserve">, 12 במארס 2026 ותועבר לידיעת הצדדים על ידי מזכירות בית הדין. </w:t>
      </w:r>
    </w:p>
    <w:p w14:paraId="338625D2" w14:textId="77777777" w:rsidR="00FA58FF" w:rsidRDefault="00FA58FF" w:rsidP="00FA58FF">
      <w:pPr>
        <w:spacing w:line="348" w:lineRule="auto"/>
        <w:outlineLvl w:val="0"/>
        <w:rPr>
          <w:rFonts w:ascii="David" w:hAnsi="David" w:cs="David"/>
          <w:sz w:val="28"/>
          <w:szCs w:val="28"/>
          <w:rtl/>
        </w:rPr>
      </w:pPr>
    </w:p>
    <w:p w14:paraId="3C65BBC9" w14:textId="77777777" w:rsidR="00FA58FF" w:rsidRPr="00FC76BC" w:rsidRDefault="00FA58FF" w:rsidP="00FA58FF">
      <w:pPr>
        <w:tabs>
          <w:tab w:val="center" w:pos="1599"/>
          <w:tab w:val="center" w:pos="4052"/>
        </w:tabs>
        <w:spacing w:line="336" w:lineRule="auto"/>
        <w:contextualSpacing/>
        <w:jc w:val="right"/>
        <w:rPr>
          <w:rFonts w:ascii="David" w:hAnsi="David" w:cs="David"/>
          <w:b/>
          <w:bCs/>
          <w:sz w:val="28"/>
          <w:szCs w:val="28"/>
          <w:rtl/>
        </w:rPr>
      </w:pPr>
      <w:r w:rsidRPr="00E608CB">
        <w:rPr>
          <w:rFonts w:ascii="David" w:hAnsi="David" w:cs="David"/>
          <w:sz w:val="28"/>
          <w:szCs w:val="28"/>
          <w:rtl/>
        </w:rPr>
        <w:t xml:space="preserve"> </w:t>
      </w:r>
      <w:r w:rsidRPr="00FC76BC">
        <w:rPr>
          <w:rFonts w:ascii="David" w:hAnsi="David" w:cs="David" w:hint="cs"/>
          <w:b/>
          <w:bCs/>
          <w:sz w:val="28"/>
          <w:szCs w:val="28"/>
          <w:rtl/>
        </w:rPr>
        <w:t xml:space="preserve">          ___</w:t>
      </w:r>
      <w:r w:rsidRPr="00FC76BC">
        <w:rPr>
          <w:rFonts w:ascii="David" w:hAnsi="David" w:cs="David"/>
          <w:b/>
          <w:bCs/>
          <w:sz w:val="28"/>
          <w:szCs w:val="28"/>
          <w:rtl/>
        </w:rPr>
        <w:t>__________________</w:t>
      </w:r>
    </w:p>
    <w:p w14:paraId="25E1E756" w14:textId="77777777" w:rsidR="00FA58FF" w:rsidRPr="00FC76BC" w:rsidRDefault="00FA58FF" w:rsidP="00FA58FF">
      <w:pPr>
        <w:tabs>
          <w:tab w:val="center" w:pos="1599"/>
          <w:tab w:val="center" w:pos="4052"/>
        </w:tabs>
        <w:spacing w:line="336" w:lineRule="auto"/>
        <w:contextualSpacing/>
        <w:jc w:val="right"/>
        <w:rPr>
          <w:rFonts w:ascii="David" w:hAnsi="David" w:cs="David"/>
          <w:b/>
          <w:bCs/>
          <w:sz w:val="28"/>
          <w:szCs w:val="28"/>
          <w:rtl/>
        </w:rPr>
      </w:pPr>
      <w:r w:rsidRPr="00FC76BC">
        <w:rPr>
          <w:rFonts w:ascii="David" w:hAnsi="David" w:cs="David"/>
          <w:b/>
          <w:bCs/>
          <w:sz w:val="28"/>
          <w:szCs w:val="28"/>
          <w:rtl/>
        </w:rPr>
        <w:t>אל"ם</w:t>
      </w:r>
      <w:r w:rsidRPr="00FC76BC">
        <w:rPr>
          <w:rFonts w:ascii="David" w:hAnsi="David" w:cs="David" w:hint="cs"/>
          <w:b/>
          <w:bCs/>
          <w:sz w:val="28"/>
          <w:szCs w:val="28"/>
          <w:rtl/>
        </w:rPr>
        <w:t xml:space="preserve"> </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מאיה</w:t>
      </w:r>
      <w:r w:rsidRPr="00FC76BC">
        <w:rPr>
          <w:rFonts w:ascii="David" w:hAnsi="David" w:cs="David" w:hint="cs"/>
          <w:b/>
          <w:bCs/>
          <w:sz w:val="28"/>
          <w:szCs w:val="28"/>
          <w:rtl/>
        </w:rPr>
        <w:t xml:space="preserve">    </w:t>
      </w:r>
      <w:r w:rsidRPr="00FC76BC">
        <w:rPr>
          <w:rFonts w:ascii="David" w:hAnsi="David" w:cs="David"/>
          <w:b/>
          <w:bCs/>
          <w:sz w:val="28"/>
          <w:szCs w:val="28"/>
          <w:rtl/>
        </w:rPr>
        <w:t xml:space="preserve"> גולדשמידט</w:t>
      </w:r>
    </w:p>
    <w:p w14:paraId="6674957F" w14:textId="62C0B629" w:rsidR="00FA58FF" w:rsidRPr="006A365E" w:rsidRDefault="00FA58FF" w:rsidP="00FA58FF">
      <w:pPr>
        <w:tabs>
          <w:tab w:val="center" w:pos="1599"/>
          <w:tab w:val="center" w:pos="4052"/>
        </w:tabs>
        <w:spacing w:line="336" w:lineRule="auto"/>
        <w:contextualSpacing/>
        <w:jc w:val="right"/>
        <w:rPr>
          <w:rFonts w:ascii="David" w:hAnsi="David" w:cs="David"/>
          <w:b/>
          <w:bCs/>
          <w:sz w:val="28"/>
          <w:szCs w:val="28"/>
          <w:rtl/>
        </w:rPr>
      </w:pPr>
      <w:r w:rsidRPr="006A365E">
        <w:rPr>
          <w:rFonts w:ascii="David" w:hAnsi="David" w:cs="David"/>
          <w:b/>
          <w:bCs/>
          <w:sz w:val="28"/>
          <w:szCs w:val="28"/>
          <w:rtl/>
        </w:rPr>
        <w:t xml:space="preserve">שופטת  </w:t>
      </w:r>
      <w:r w:rsidRPr="006A365E">
        <w:rPr>
          <w:rFonts w:ascii="David" w:hAnsi="David" w:cs="David" w:hint="cs"/>
          <w:b/>
          <w:bCs/>
          <w:sz w:val="28"/>
          <w:szCs w:val="28"/>
          <w:rtl/>
        </w:rPr>
        <w:t xml:space="preserve"> </w:t>
      </w:r>
      <w:r w:rsidRPr="006A365E">
        <w:rPr>
          <w:rFonts w:ascii="David" w:hAnsi="David" w:cs="David"/>
          <w:b/>
          <w:bCs/>
          <w:sz w:val="28"/>
          <w:szCs w:val="28"/>
          <w:rtl/>
        </w:rPr>
        <w:t xml:space="preserve"> </w:t>
      </w:r>
      <w:r w:rsidRPr="006A365E">
        <w:rPr>
          <w:rFonts w:ascii="David" w:hAnsi="David" w:cs="David" w:hint="cs"/>
          <w:b/>
          <w:bCs/>
          <w:sz w:val="28"/>
          <w:szCs w:val="28"/>
          <w:rtl/>
        </w:rPr>
        <w:t xml:space="preserve"> </w:t>
      </w:r>
      <w:r w:rsidRPr="006A365E">
        <w:rPr>
          <w:rFonts w:ascii="David" w:hAnsi="David" w:cs="David"/>
          <w:b/>
          <w:bCs/>
          <w:sz w:val="28"/>
          <w:szCs w:val="28"/>
          <w:rtl/>
        </w:rPr>
        <w:t xml:space="preserve">בית </w:t>
      </w:r>
      <w:r w:rsidRPr="006A365E">
        <w:rPr>
          <w:rFonts w:ascii="David" w:hAnsi="David" w:cs="David" w:hint="cs"/>
          <w:b/>
          <w:bCs/>
          <w:sz w:val="28"/>
          <w:szCs w:val="28"/>
          <w:rtl/>
        </w:rPr>
        <w:t xml:space="preserve">  </w:t>
      </w:r>
      <w:r w:rsidRPr="006A365E">
        <w:rPr>
          <w:rFonts w:ascii="David" w:hAnsi="David" w:cs="David"/>
          <w:b/>
          <w:bCs/>
          <w:sz w:val="28"/>
          <w:szCs w:val="28"/>
          <w:rtl/>
        </w:rPr>
        <w:t xml:space="preserve"> </w:t>
      </w:r>
      <w:r w:rsidRPr="006A365E">
        <w:rPr>
          <w:rFonts w:ascii="David" w:hAnsi="David" w:cs="David" w:hint="cs"/>
          <w:b/>
          <w:bCs/>
          <w:sz w:val="28"/>
          <w:szCs w:val="28"/>
          <w:rtl/>
        </w:rPr>
        <w:t xml:space="preserve"> </w:t>
      </w:r>
      <w:r w:rsidRPr="006A365E">
        <w:rPr>
          <w:rFonts w:ascii="David" w:hAnsi="David" w:cs="David"/>
          <w:b/>
          <w:bCs/>
          <w:sz w:val="28"/>
          <w:szCs w:val="28"/>
          <w:rtl/>
        </w:rPr>
        <w:t xml:space="preserve">דין </w:t>
      </w:r>
      <w:r w:rsidRPr="006A365E">
        <w:rPr>
          <w:rFonts w:ascii="David" w:hAnsi="David" w:cs="David" w:hint="cs"/>
          <w:b/>
          <w:bCs/>
          <w:sz w:val="28"/>
          <w:szCs w:val="28"/>
          <w:rtl/>
        </w:rPr>
        <w:t xml:space="preserve">   </w:t>
      </w:r>
      <w:r w:rsidRPr="006A365E">
        <w:rPr>
          <w:rFonts w:ascii="David" w:hAnsi="David" w:cs="David"/>
          <w:b/>
          <w:bCs/>
          <w:sz w:val="28"/>
          <w:szCs w:val="28"/>
          <w:rtl/>
        </w:rPr>
        <w:t>הצבאי</w:t>
      </w:r>
    </w:p>
    <w:p w14:paraId="21981F60" w14:textId="16193563" w:rsidR="00FA58FF" w:rsidRPr="003E3218" w:rsidRDefault="00FA58FF" w:rsidP="00FA58FF">
      <w:pPr>
        <w:tabs>
          <w:tab w:val="center" w:pos="1599"/>
          <w:tab w:val="center" w:pos="4052"/>
        </w:tabs>
        <w:spacing w:line="336" w:lineRule="auto"/>
        <w:contextualSpacing/>
        <w:jc w:val="right"/>
        <w:rPr>
          <w:rFonts w:ascii="David" w:hAnsi="David" w:cs="David"/>
          <w:b/>
          <w:bCs/>
          <w:sz w:val="28"/>
          <w:szCs w:val="24"/>
          <w:rtl/>
        </w:rPr>
      </w:pPr>
      <w:r w:rsidRPr="006A365E">
        <w:rPr>
          <w:rFonts w:ascii="David" w:hAnsi="David" w:cs="David"/>
          <w:b/>
          <w:bCs/>
          <w:sz w:val="28"/>
          <w:szCs w:val="2"/>
          <w:rtl/>
        </w:rPr>
        <w:t>3</w:t>
      </w:r>
      <w:r w:rsidRPr="006A365E">
        <w:rPr>
          <w:rFonts w:ascii="David" w:hAnsi="David" w:cs="David"/>
          <w:b/>
          <w:bCs/>
          <w:sz w:val="28"/>
          <w:szCs w:val="28"/>
          <w:rtl/>
        </w:rPr>
        <w:t>ל</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 xml:space="preserve">ע   </w:t>
      </w:r>
      <w:r w:rsidRPr="00FC76BC">
        <w:rPr>
          <w:rFonts w:ascii="David" w:hAnsi="David" w:cs="David" w:hint="cs"/>
          <w:b/>
          <w:bCs/>
          <w:sz w:val="28"/>
          <w:szCs w:val="28"/>
          <w:rtl/>
        </w:rPr>
        <w:t xml:space="preserve">  </w:t>
      </w:r>
      <w:r w:rsidRPr="00FC76BC">
        <w:rPr>
          <w:rFonts w:ascii="David" w:hAnsi="David" w:cs="David"/>
          <w:b/>
          <w:bCs/>
          <w:sz w:val="28"/>
          <w:szCs w:val="28"/>
          <w:rtl/>
        </w:rPr>
        <w:t xml:space="preserve"> ר   ע  </w:t>
      </w:r>
      <w:r w:rsidRPr="00FC76BC">
        <w:rPr>
          <w:rFonts w:ascii="David" w:hAnsi="David" w:cs="David" w:hint="cs"/>
          <w:b/>
          <w:bCs/>
          <w:sz w:val="28"/>
          <w:szCs w:val="28"/>
          <w:rtl/>
        </w:rPr>
        <w:t xml:space="preserve"> </w:t>
      </w:r>
      <w:r w:rsidRPr="00FC76BC">
        <w:rPr>
          <w:rFonts w:ascii="David" w:hAnsi="David" w:cs="David"/>
          <w:b/>
          <w:bCs/>
          <w:sz w:val="28"/>
          <w:szCs w:val="28"/>
          <w:rtl/>
        </w:rPr>
        <w:t xml:space="preserve"> ו   </w:t>
      </w:r>
      <w:r w:rsidRPr="00FC76BC">
        <w:rPr>
          <w:rFonts w:ascii="David" w:hAnsi="David" w:cs="David" w:hint="cs"/>
          <w:b/>
          <w:bCs/>
          <w:sz w:val="28"/>
          <w:szCs w:val="28"/>
          <w:rtl/>
        </w:rPr>
        <w:t xml:space="preserve"> </w:t>
      </w:r>
      <w:r w:rsidRPr="00FC76BC">
        <w:rPr>
          <w:rFonts w:ascii="David" w:hAnsi="David" w:cs="David"/>
          <w:b/>
          <w:bCs/>
          <w:sz w:val="28"/>
          <w:szCs w:val="28"/>
          <w:rtl/>
        </w:rPr>
        <w:t xml:space="preserve">ר  </w:t>
      </w:r>
      <w:r w:rsidRPr="00FC76BC">
        <w:rPr>
          <w:rFonts w:ascii="David" w:hAnsi="David" w:cs="David" w:hint="cs"/>
          <w:b/>
          <w:bCs/>
          <w:sz w:val="28"/>
          <w:szCs w:val="28"/>
          <w:rtl/>
        </w:rPr>
        <w:t xml:space="preserve"> </w:t>
      </w:r>
      <w:r w:rsidRPr="00FC76BC">
        <w:rPr>
          <w:rFonts w:ascii="David" w:hAnsi="David" w:cs="David"/>
          <w:b/>
          <w:bCs/>
          <w:sz w:val="28"/>
          <w:szCs w:val="28"/>
          <w:rtl/>
        </w:rPr>
        <w:t xml:space="preserve"> י </w:t>
      </w:r>
      <w:r w:rsidRPr="00FC76BC">
        <w:rPr>
          <w:rFonts w:ascii="David" w:hAnsi="David" w:cs="David" w:hint="cs"/>
          <w:b/>
          <w:bCs/>
          <w:sz w:val="28"/>
          <w:szCs w:val="28"/>
          <w:rtl/>
        </w:rPr>
        <w:t xml:space="preserve">  </w:t>
      </w:r>
      <w:r w:rsidRPr="00FC76BC">
        <w:rPr>
          <w:rFonts w:ascii="David" w:hAnsi="David" w:cs="David"/>
          <w:b/>
          <w:bCs/>
          <w:sz w:val="28"/>
          <w:szCs w:val="28"/>
          <w:rtl/>
        </w:rPr>
        <w:t xml:space="preserve">  ם</w:t>
      </w:r>
    </w:p>
    <w:p w14:paraId="63F8717A" w14:textId="77777777" w:rsidR="00FA58FF" w:rsidRDefault="00FA58FF" w:rsidP="00FA58FF">
      <w:pPr>
        <w:spacing w:line="348" w:lineRule="auto"/>
        <w:outlineLvl w:val="0"/>
        <w:rPr>
          <w:rFonts w:ascii="David" w:hAnsi="David" w:cs="David"/>
          <w:sz w:val="28"/>
          <w:szCs w:val="28"/>
          <w:rtl/>
        </w:rPr>
      </w:pPr>
    </w:p>
    <w:p w14:paraId="4D2639B9" w14:textId="77777777" w:rsidR="00FA58FF" w:rsidRPr="00405BC8" w:rsidRDefault="00FA58FF" w:rsidP="00FA58FF">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4E815755" w14:textId="77777777" w:rsidR="00FA58FF" w:rsidRPr="00405BC8" w:rsidRDefault="00FA58FF" w:rsidP="00FA58FF">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7632F1AB" w14:textId="5E8DCFD1" w:rsidR="005A61A2" w:rsidRPr="00FA58FF" w:rsidRDefault="00FA58FF" w:rsidP="00FA58FF">
      <w:pPr>
        <w:ind w:left="-58" w:right="-567"/>
        <w:rPr>
          <w:rFonts w:ascii="David" w:hAnsi="David" w:cs="David"/>
          <w:b/>
          <w:bCs/>
          <w:sz w:val="28"/>
          <w:szCs w:val="28"/>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bookmarkEnd w:id="3"/>
    </w:p>
    <w:sectPr w:rsidR="005A61A2" w:rsidRPr="00FA58FF" w:rsidSect="00FA58FF">
      <w:headerReference w:type="even" r:id="rId9"/>
      <w:headerReference w:type="default" r:id="rId10"/>
      <w:footerReference w:type="default" r:id="rId11"/>
      <w:headerReference w:type="first" r:id="rId12"/>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C1B0" w14:textId="77777777" w:rsidR="006710BA" w:rsidRDefault="006710BA" w:rsidP="00FA58FF">
      <w:pPr>
        <w:spacing w:line="240" w:lineRule="auto"/>
      </w:pPr>
      <w:r>
        <w:separator/>
      </w:r>
    </w:p>
  </w:endnote>
  <w:endnote w:type="continuationSeparator" w:id="0">
    <w:p w14:paraId="4C9C8E1B" w14:textId="77777777" w:rsidR="006710BA" w:rsidRDefault="006710BA" w:rsidP="00FA5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6CC3" w14:textId="77777777" w:rsidR="00FA58FF" w:rsidRPr="00AD7F34" w:rsidRDefault="00FA58FF">
    <w:pPr>
      <w:pStyle w:val="Footer"/>
      <w:jc w:val="center"/>
      <w:rPr>
        <w:rFonts w:ascii="David" w:hAnsi="David" w:cs="David"/>
        <w:sz w:val="28"/>
        <w:szCs w:val="28"/>
      </w:rPr>
    </w:pPr>
    <w:r w:rsidRPr="00AD7F34">
      <w:rPr>
        <w:rFonts w:ascii="David" w:hAnsi="David" w:cs="David"/>
        <w:sz w:val="28"/>
        <w:szCs w:val="28"/>
      </w:rPr>
      <w:fldChar w:fldCharType="begin"/>
    </w:r>
    <w:r w:rsidRPr="00AD7F34">
      <w:rPr>
        <w:rFonts w:ascii="David" w:hAnsi="David" w:cs="David"/>
        <w:sz w:val="28"/>
        <w:szCs w:val="28"/>
      </w:rPr>
      <w:instrText>PAGE</w:instrText>
    </w:r>
    <w:r w:rsidRPr="00AD7F34">
      <w:rPr>
        <w:rFonts w:ascii="David" w:hAnsi="David" w:cs="David"/>
        <w:sz w:val="28"/>
        <w:szCs w:val="28"/>
      </w:rPr>
      <w:fldChar w:fldCharType="separate"/>
    </w:r>
    <w:r w:rsidRPr="00AD7F34">
      <w:rPr>
        <w:rFonts w:ascii="David" w:hAnsi="David" w:cs="David"/>
        <w:noProof/>
        <w:sz w:val="28"/>
        <w:szCs w:val="28"/>
        <w:rtl/>
      </w:rPr>
      <w:t>4</w:t>
    </w:r>
    <w:r w:rsidRPr="00AD7F34">
      <w:rPr>
        <w:rFonts w:ascii="David" w:hAnsi="David" w:cs="David"/>
        <w:noProof/>
        <w:sz w:val="28"/>
        <w:szCs w:val="28"/>
        <w:rtl/>
      </w:rPr>
      <w:t>5</w:t>
    </w:r>
    <w:r w:rsidRPr="00AD7F34">
      <w:rPr>
        <w:rFonts w:ascii="David" w:hAnsi="David" w:cs="David"/>
        <w:sz w:val="28"/>
        <w:szCs w:val="28"/>
      </w:rPr>
      <w:fldChar w:fldCharType="end"/>
    </w:r>
  </w:p>
  <w:p w14:paraId="4A2132F5" w14:textId="77777777" w:rsidR="00FA58FF" w:rsidRDefault="00FA5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F97B" w14:textId="77777777" w:rsidR="006710BA" w:rsidRDefault="006710BA" w:rsidP="00FA58FF">
      <w:pPr>
        <w:spacing w:line="240" w:lineRule="auto"/>
      </w:pPr>
      <w:r>
        <w:separator/>
      </w:r>
    </w:p>
  </w:footnote>
  <w:footnote w:type="continuationSeparator" w:id="0">
    <w:p w14:paraId="5262F31B" w14:textId="77777777" w:rsidR="006710BA" w:rsidRDefault="006710BA" w:rsidP="00FA58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D9B" w14:textId="677D73D8" w:rsidR="00FA58FF" w:rsidRDefault="00FA58FF">
    <w:pPr>
      <w:pStyle w:val="Header"/>
    </w:pPr>
    <w:r>
      <w:rPr>
        <w:noProof/>
        <w14:ligatures w14:val="standardContextual"/>
      </w:rPr>
      <mc:AlternateContent>
        <mc:Choice Requires="wps">
          <w:drawing>
            <wp:anchor distT="0" distB="0" distL="0" distR="0" simplePos="0" relativeHeight="251658752" behindDoc="0" locked="0" layoutInCell="1" allowOverlap="1" wp14:anchorId="52D2224C" wp14:editId="42D9F3C5">
              <wp:simplePos x="635" y="635"/>
              <wp:positionH relativeFrom="page">
                <wp:align>center</wp:align>
              </wp:positionH>
              <wp:positionV relativeFrom="page">
                <wp:align>top</wp:align>
              </wp:positionV>
              <wp:extent cx="462280" cy="422910"/>
              <wp:effectExtent l="0" t="0" r="13970" b="15240"/>
              <wp:wrapNone/>
              <wp:docPr id="1929559742"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17977FD8" w14:textId="2A103ED6" w:rsidR="00FA58FF" w:rsidRPr="00FA58FF" w:rsidRDefault="00FA58FF" w:rsidP="00FA58FF">
                          <w:pPr>
                            <w:rPr>
                              <w:rFonts w:ascii="Aptos" w:eastAsia="Aptos" w:hAnsi="Aptos" w:cs="Aptos"/>
                              <w:noProof/>
                              <w:color w:val="000000"/>
                              <w:sz w:val="20"/>
                              <w:szCs w:val="20"/>
                            </w:rPr>
                          </w:pPr>
                          <w:r w:rsidRPr="00FA58FF">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2224C"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6.4pt;height:33.3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" filled="f" stroked="f">
              <v:textbox style="mso-fit-shape-to-text:t" inset="0,15pt,0,0">
                <w:txbxContent>
                  <w:p w14:paraId="17977FD8" w14:textId="2A103ED6" w:rsidR="00FA58FF" w:rsidRPr="00FA58FF" w:rsidRDefault="00FA58FF" w:rsidP="00FA58FF">
                    <w:pPr>
                      <w:rPr>
                        <w:rFonts w:ascii="Aptos" w:eastAsia="Aptos" w:hAnsi="Aptos" w:cs="Aptos"/>
                        <w:noProof/>
                        <w:color w:val="000000"/>
                        <w:sz w:val="20"/>
                        <w:szCs w:val="20"/>
                      </w:rPr>
                    </w:pPr>
                    <w:r w:rsidRPr="00FA58FF">
                      <w:rPr>
                        <w:rFonts w:ascii="Aptos" w:eastAsia="Aptos" w:hAnsi="Aptos" w:cs="Aptos"/>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515991AC" wp14:editId="74365BC8">
              <wp:simplePos x="0" y="0"/>
              <wp:positionH relativeFrom="page">
                <wp:align>center</wp:align>
              </wp:positionH>
              <wp:positionV relativeFrom="page">
                <wp:align>top</wp:align>
              </wp:positionV>
              <wp:extent cx="443865" cy="4438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367776BA" w14:textId="77777777" w:rsidR="00FA58FF" w:rsidRPr="00A54410" w:rsidRDefault="00FA58FF" w:rsidP="00A54410">
                          <w:pPr>
                            <w:rPr>
                              <w:rFonts w:cs="Calibri"/>
                              <w:noProof/>
                              <w:color w:val="000000"/>
                              <w:sz w:val="20"/>
                              <w:szCs w:val="20"/>
                            </w:rPr>
                          </w:pPr>
                          <w:r w:rsidRPr="00A54410">
                            <w:rPr>
                              <w:rFonts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5991AC" id="Text Box 3" o:spid="_x0000_s1027" type="#_x0000_t202" style="position:absolute;left:0;text-align:left;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" filled="f" stroked="f">
              <v:textbox style="mso-fit-shape-to-text:t" inset="0,15pt,0,0">
                <w:txbxContent>
                  <w:p w14:paraId="367776BA" w14:textId="77777777" w:rsidR="00FA58FF" w:rsidRPr="00A54410" w:rsidRDefault="00FA58FF"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D3A" w14:textId="742D8BF4" w:rsidR="00FA58FF" w:rsidRDefault="00FA58FF" w:rsidP="00260C26">
    <w:pPr>
      <w:pStyle w:val="Header"/>
      <w:jc w:val="center"/>
      <w:rPr>
        <w:rFonts w:ascii="David" w:hAnsi="David" w:cs="David"/>
        <w:sz w:val="28"/>
        <w:szCs w:val="28"/>
        <w:rtl/>
      </w:rPr>
    </w:pPr>
    <w:r>
      <w:rPr>
        <w:rFonts w:ascii="David" w:hAnsi="David" w:cs="David" w:hint="cs"/>
        <w:noProof/>
        <w:sz w:val="28"/>
        <w:szCs w:val="28"/>
        <w:rtl/>
        <w:lang w:val="he-IL"/>
        <w14:ligatures w14:val="standardContextual"/>
      </w:rPr>
      <mc:AlternateContent>
        <mc:Choice Requires="wps">
          <w:drawing>
            <wp:anchor distT="0" distB="0" distL="0" distR="0" simplePos="0" relativeHeight="251659776" behindDoc="0" locked="0" layoutInCell="1" allowOverlap="1" wp14:anchorId="125F038F" wp14:editId="3C56ECA1">
              <wp:simplePos x="904875" y="447675"/>
              <wp:positionH relativeFrom="page">
                <wp:align>center</wp:align>
              </wp:positionH>
              <wp:positionV relativeFrom="page">
                <wp:align>top</wp:align>
              </wp:positionV>
              <wp:extent cx="462280" cy="422910"/>
              <wp:effectExtent l="0" t="0" r="13970" b="15240"/>
              <wp:wrapNone/>
              <wp:docPr id="1005793984"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56397F45" w14:textId="76D45374" w:rsidR="00FA58FF" w:rsidRPr="00FA58FF" w:rsidRDefault="00FA58FF" w:rsidP="00FA58FF">
                          <w:pPr>
                            <w:rPr>
                              <w:rFonts w:ascii="Aptos" w:eastAsia="Aptos" w:hAnsi="Aptos" w:cs="Aptos"/>
                              <w:noProof/>
                              <w:color w:val="000000"/>
                              <w:sz w:val="20"/>
                              <w:szCs w:val="20"/>
                            </w:rPr>
                          </w:pPr>
                          <w:r w:rsidRPr="00FA58FF">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F038F" id="_x0000_t202" coordsize="21600,21600" o:spt="202" path="m,l,21600r21600,l21600,xe">
              <v:stroke joinstyle="miter"/>
              <v:path gradientshapeok="t" o:connecttype="rect"/>
            </v:shapetype>
            <v:shape id="_x0000_s1028" type="#_x0000_t202" alt="- בלמ&quot;ס -" style="position:absolute;left:0;text-align:left;margin-left:0;margin-top:0;width:36.4pt;height:33.3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" filled="f" stroked="f">
              <v:textbox style="mso-fit-shape-to-text:t" inset="0,15pt,0,0">
                <w:txbxContent>
                  <w:p w14:paraId="56397F45" w14:textId="76D45374" w:rsidR="00FA58FF" w:rsidRPr="00FA58FF" w:rsidRDefault="00FA58FF" w:rsidP="00FA58FF">
                    <w:pPr>
                      <w:rPr>
                        <w:rFonts w:ascii="Aptos" w:eastAsia="Aptos" w:hAnsi="Aptos" w:cs="Aptos"/>
                        <w:noProof/>
                        <w:color w:val="000000"/>
                        <w:sz w:val="20"/>
                        <w:szCs w:val="20"/>
                      </w:rPr>
                    </w:pPr>
                    <w:r w:rsidRPr="00FA58FF">
                      <w:rPr>
                        <w:rFonts w:ascii="Aptos" w:eastAsia="Aptos" w:hAnsi="Aptos" w:cs="Aptos"/>
                        <w:noProof/>
                        <w:color w:val="000000"/>
                        <w:sz w:val="20"/>
                        <w:szCs w:val="20"/>
                        <w:rtl/>
                      </w:rPr>
                      <w:t>- בלמ"ס -</w:t>
                    </w:r>
                  </w:p>
                </w:txbxContent>
              </v:textbox>
              <w10:wrap anchorx="page" anchory="page"/>
            </v:shape>
          </w:pict>
        </mc:Fallback>
      </mc:AlternateContent>
    </w:r>
    <w:r>
      <w:rPr>
        <w:rFonts w:ascii="David" w:hAnsi="David" w:cs="David" w:hint="cs"/>
        <w:sz w:val="28"/>
        <w:szCs w:val="28"/>
        <w:rtl/>
      </w:rPr>
      <w:t xml:space="preserve">                                                                 </w:t>
    </w:r>
  </w:p>
  <w:p w14:paraId="523A0F9E" w14:textId="77777777" w:rsidR="00FA58FF" w:rsidRDefault="00FA58FF" w:rsidP="00FA58FF">
    <w:pPr>
      <w:pStyle w:val="Header"/>
      <w:tabs>
        <w:tab w:val="clear" w:pos="4153"/>
        <w:tab w:val="clear" w:pos="8306"/>
        <w:tab w:val="center" w:pos="4748"/>
        <w:tab w:val="right" w:pos="8080"/>
        <w:tab w:val="right" w:pos="8222"/>
      </w:tabs>
      <w:bidi w:val="0"/>
      <w:contextualSpacing/>
      <w:jc w:val="both"/>
      <w:rPr>
        <w:rtl/>
      </w:rPr>
    </w:pPr>
    <w:r>
      <w:rPr>
        <w:rFonts w:ascii="David" w:hAnsi="David" w:cs="David" w:hint="cs"/>
        <w:sz w:val="28"/>
        <w:szCs w:val="28"/>
        <w:rtl/>
      </w:rPr>
      <w:t xml:space="preserve">                                                                </w:t>
    </w:r>
    <w:r>
      <w:rPr>
        <w:rFonts w:ascii="David" w:hAnsi="David" w:cs="David" w:hint="cs"/>
        <w:sz w:val="28"/>
        <w:szCs w:val="28"/>
        <w:rtl/>
      </w:rPr>
      <w:t xml:space="preserve">ב ל מ " </w:t>
    </w:r>
    <w:r w:rsidRPr="00FA58FF">
      <w:rPr>
        <w:rFonts w:ascii="David" w:hAnsi="David" w:cs="David"/>
        <w:sz w:val="28"/>
        <w:szCs w:val="28"/>
        <w:rtl/>
      </w:rPr>
      <w:t xml:space="preserve">ס                                   </w:t>
    </w:r>
    <w:proofErr w:type="spellStart"/>
    <w:r w:rsidRPr="00FA58FF">
      <w:rPr>
        <w:rFonts w:ascii="David" w:hAnsi="David" w:cs="David"/>
        <w:sz w:val="28"/>
        <w:szCs w:val="28"/>
        <w:rtl/>
      </w:rPr>
      <w:t>עמ"ת</w:t>
    </w:r>
    <w:proofErr w:type="spellEnd"/>
    <w:r w:rsidRPr="00FA58FF">
      <w:rPr>
        <w:rFonts w:ascii="David" w:hAnsi="David" w:cs="David"/>
        <w:sz w:val="28"/>
        <w:szCs w:val="28"/>
        <w:rtl/>
      </w:rPr>
      <w:t xml:space="preserve"> 20889-03-26 </w:t>
    </w:r>
  </w:p>
  <w:p w14:paraId="632E9C91" w14:textId="1875F3F2" w:rsidR="00FA58FF" w:rsidRDefault="00FA58FF" w:rsidP="00FA58FF">
    <w:pPr>
      <w:pStyle w:val="Header"/>
      <w:tabs>
        <w:tab w:val="clear" w:pos="4153"/>
        <w:tab w:val="center" w:pos="3911"/>
      </w:tabs>
      <w:jc w:val="center"/>
      <w:rPr>
        <w:rFonts w:ascii="David" w:hAnsi="David"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AE5E" w14:textId="4E13A980" w:rsidR="00FA58FF" w:rsidRDefault="00FA58FF">
    <w:pPr>
      <w:pStyle w:val="Header"/>
    </w:pPr>
    <w:r>
      <w:rPr>
        <w:noProof/>
        <w14:ligatures w14:val="standardContextual"/>
      </w:rPr>
      <mc:AlternateContent>
        <mc:Choice Requires="wps">
          <w:drawing>
            <wp:anchor distT="0" distB="0" distL="0" distR="0" simplePos="0" relativeHeight="251657728" behindDoc="0" locked="0" layoutInCell="1" allowOverlap="1" wp14:anchorId="635A6C5D" wp14:editId="0CD38080">
              <wp:simplePos x="635" y="635"/>
              <wp:positionH relativeFrom="page">
                <wp:align>center</wp:align>
              </wp:positionH>
              <wp:positionV relativeFrom="page">
                <wp:align>top</wp:align>
              </wp:positionV>
              <wp:extent cx="462280" cy="422910"/>
              <wp:effectExtent l="0" t="0" r="13970" b="15240"/>
              <wp:wrapNone/>
              <wp:docPr id="454508161"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47E3409B" w14:textId="743243A9" w:rsidR="00FA58FF" w:rsidRPr="00FA58FF" w:rsidRDefault="00FA58FF" w:rsidP="00FA58FF">
                          <w:pPr>
                            <w:rPr>
                              <w:rFonts w:ascii="Aptos" w:eastAsia="Aptos" w:hAnsi="Aptos" w:cs="Aptos"/>
                              <w:noProof/>
                              <w:color w:val="000000"/>
                              <w:sz w:val="20"/>
                              <w:szCs w:val="20"/>
                            </w:rPr>
                          </w:pPr>
                          <w:r w:rsidRPr="00FA58FF">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A6C5D" id="_x0000_t202" coordsize="21600,21600" o:spt="202" path="m,l,21600r21600,l21600,xe">
              <v:stroke joinstyle="miter"/>
              <v:path gradientshapeok="t" o:connecttype="rect"/>
            </v:shapetype>
            <v:shape id="Text Box 1" o:spid="_x0000_s1029" type="#_x0000_t202" alt="- בלמ&quot;ס -" style="position:absolute;left:0;text-align:left;margin-left:0;margin-top:0;width:36.4pt;height:33.3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" filled="f" stroked="f">
              <v:textbox style="mso-fit-shape-to-text:t" inset="0,15pt,0,0">
                <w:txbxContent>
                  <w:p w14:paraId="47E3409B" w14:textId="743243A9" w:rsidR="00FA58FF" w:rsidRPr="00FA58FF" w:rsidRDefault="00FA58FF" w:rsidP="00FA58FF">
                    <w:pPr>
                      <w:rPr>
                        <w:rFonts w:ascii="Aptos" w:eastAsia="Aptos" w:hAnsi="Aptos" w:cs="Aptos"/>
                        <w:noProof/>
                        <w:color w:val="000000"/>
                        <w:sz w:val="20"/>
                        <w:szCs w:val="20"/>
                      </w:rPr>
                    </w:pPr>
                    <w:r w:rsidRPr="00FA58FF">
                      <w:rPr>
                        <w:rFonts w:ascii="Aptos" w:eastAsia="Aptos" w:hAnsi="Aptos" w:cs="Aptos"/>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24C87A19" wp14:editId="3A00C7DB">
              <wp:simplePos x="0" y="0"/>
              <wp:positionH relativeFrom="page">
                <wp:align>center</wp:align>
              </wp:positionH>
              <wp:positionV relativeFrom="page">
                <wp:align>top</wp:align>
              </wp:positionV>
              <wp:extent cx="443865" cy="4438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74792618" w14:textId="77777777" w:rsidR="00FA58FF" w:rsidRPr="00A54410" w:rsidRDefault="00FA58FF" w:rsidP="00A54410">
                          <w:pPr>
                            <w:rPr>
                              <w:rFonts w:cs="Calibri"/>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87A19" id="_x0000_s1030" type="#_x0000_t202" style="position:absolute;left:0;text-align:left;margin-left:0;margin-top:0;width:34.95pt;height:34.95pt;z-index:25165568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" filled="f" stroked="f">
              <v:textbox style="mso-fit-shape-to-text:t" inset="0,15pt,0,0">
                <w:txbxContent>
                  <w:p w14:paraId="74792618" w14:textId="77777777" w:rsidR="00FA58FF" w:rsidRPr="00A54410" w:rsidRDefault="00FA58FF" w:rsidP="00A54410">
                    <w:pPr>
                      <w:rPr>
                        <w:rFonts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009E"/>
    <w:multiLevelType w:val="hybridMultilevel"/>
    <w:tmpl w:val="1B248C6C"/>
    <w:lvl w:ilvl="0" w:tplc="8F262D5E">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A79D1"/>
    <w:multiLevelType w:val="hybridMultilevel"/>
    <w:tmpl w:val="F38AAB60"/>
    <w:lvl w:ilvl="0" w:tplc="845C318A">
      <w:start w:val="1"/>
      <w:numFmt w:val="hebrew1"/>
      <w:lvlText w:val="%1."/>
      <w:lvlJc w:val="left"/>
      <w:pPr>
        <w:ind w:left="585" w:hanging="360"/>
      </w:pPr>
      <w:rPr>
        <w:rFonts w:hint="default"/>
      </w:rPr>
    </w:lvl>
    <w:lvl w:ilvl="1" w:tplc="20000019" w:tentative="1">
      <w:start w:val="1"/>
      <w:numFmt w:val="lowerLetter"/>
      <w:lvlText w:val="%2."/>
      <w:lvlJc w:val="left"/>
      <w:pPr>
        <w:ind w:left="1305" w:hanging="360"/>
      </w:pPr>
    </w:lvl>
    <w:lvl w:ilvl="2" w:tplc="2000001B" w:tentative="1">
      <w:start w:val="1"/>
      <w:numFmt w:val="lowerRoman"/>
      <w:lvlText w:val="%3."/>
      <w:lvlJc w:val="right"/>
      <w:pPr>
        <w:ind w:left="2025" w:hanging="180"/>
      </w:pPr>
    </w:lvl>
    <w:lvl w:ilvl="3" w:tplc="2000000F" w:tentative="1">
      <w:start w:val="1"/>
      <w:numFmt w:val="decimal"/>
      <w:lvlText w:val="%4."/>
      <w:lvlJc w:val="left"/>
      <w:pPr>
        <w:ind w:left="2745" w:hanging="360"/>
      </w:pPr>
    </w:lvl>
    <w:lvl w:ilvl="4" w:tplc="20000019" w:tentative="1">
      <w:start w:val="1"/>
      <w:numFmt w:val="lowerLetter"/>
      <w:lvlText w:val="%5."/>
      <w:lvlJc w:val="left"/>
      <w:pPr>
        <w:ind w:left="3465" w:hanging="360"/>
      </w:pPr>
    </w:lvl>
    <w:lvl w:ilvl="5" w:tplc="2000001B" w:tentative="1">
      <w:start w:val="1"/>
      <w:numFmt w:val="lowerRoman"/>
      <w:lvlText w:val="%6."/>
      <w:lvlJc w:val="right"/>
      <w:pPr>
        <w:ind w:left="4185" w:hanging="180"/>
      </w:pPr>
    </w:lvl>
    <w:lvl w:ilvl="6" w:tplc="2000000F" w:tentative="1">
      <w:start w:val="1"/>
      <w:numFmt w:val="decimal"/>
      <w:lvlText w:val="%7."/>
      <w:lvlJc w:val="left"/>
      <w:pPr>
        <w:ind w:left="4905" w:hanging="360"/>
      </w:pPr>
    </w:lvl>
    <w:lvl w:ilvl="7" w:tplc="20000019" w:tentative="1">
      <w:start w:val="1"/>
      <w:numFmt w:val="lowerLetter"/>
      <w:lvlText w:val="%8."/>
      <w:lvlJc w:val="left"/>
      <w:pPr>
        <w:ind w:left="5625" w:hanging="360"/>
      </w:pPr>
    </w:lvl>
    <w:lvl w:ilvl="8" w:tplc="2000001B" w:tentative="1">
      <w:start w:val="1"/>
      <w:numFmt w:val="lowerRoman"/>
      <w:lvlText w:val="%9."/>
      <w:lvlJc w:val="right"/>
      <w:pPr>
        <w:ind w:left="6345" w:hanging="180"/>
      </w:pPr>
    </w:lvl>
  </w:abstractNum>
  <w:abstractNum w:abstractNumId="2" w15:restartNumberingAfterBreak="0">
    <w:nsid w:val="2FF75B99"/>
    <w:multiLevelType w:val="hybridMultilevel"/>
    <w:tmpl w:val="7CB81EE2"/>
    <w:lvl w:ilvl="0" w:tplc="A68CD290">
      <w:start w:val="1"/>
      <w:numFmt w:val="decimal"/>
      <w:suff w:val="space"/>
      <w:lvlText w:val="%1."/>
      <w:lvlJc w:val="left"/>
      <w:pPr>
        <w:ind w:left="0" w:firstLine="0"/>
      </w:pPr>
      <w:rPr>
        <w:rFonts w:ascii="David" w:hAnsi="David" w:cs="David" w:hint="cs"/>
        <w:sz w:val="28"/>
        <w:szCs w:val="28"/>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num w:numId="1" w16cid:durableId="262231472">
    <w:abstractNumId w:val="0"/>
  </w:num>
  <w:num w:numId="2" w16cid:durableId="1358002700">
    <w:abstractNumId w:val="1"/>
  </w:num>
  <w:num w:numId="3" w16cid:durableId="203569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FF"/>
    <w:rsid w:val="001C6C9F"/>
    <w:rsid w:val="0026706E"/>
    <w:rsid w:val="00301DAB"/>
    <w:rsid w:val="003A164C"/>
    <w:rsid w:val="005A61A2"/>
    <w:rsid w:val="005C7EF2"/>
    <w:rsid w:val="005E3C39"/>
    <w:rsid w:val="00626605"/>
    <w:rsid w:val="006710BA"/>
    <w:rsid w:val="006A365E"/>
    <w:rsid w:val="00745821"/>
    <w:rsid w:val="008F3E61"/>
    <w:rsid w:val="00902388"/>
    <w:rsid w:val="00990A99"/>
    <w:rsid w:val="00A661F6"/>
    <w:rsid w:val="00B46B10"/>
    <w:rsid w:val="00C43129"/>
    <w:rsid w:val="00D57E3B"/>
    <w:rsid w:val="00DE1C8E"/>
    <w:rsid w:val="00F53DA2"/>
    <w:rsid w:val="00FA58FF"/>
    <w:rsid w:val="00FD4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1728"/>
  <w15:chartTrackingRefBased/>
  <w15:docId w15:val="{94968673-A1A8-4680-8D35-CA804E30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FF"/>
    <w:pPr>
      <w:bidi/>
      <w:spacing w:after="0" w:line="360"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FA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8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8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8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8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8FF"/>
    <w:rPr>
      <w:rFonts w:eastAsiaTheme="majorEastAsia" w:cstheme="majorBidi"/>
      <w:color w:val="272727" w:themeColor="text1" w:themeTint="D8"/>
    </w:rPr>
  </w:style>
  <w:style w:type="paragraph" w:styleId="Title">
    <w:name w:val="Title"/>
    <w:basedOn w:val="Normal"/>
    <w:next w:val="Normal"/>
    <w:link w:val="TitleChar"/>
    <w:uiPriority w:val="10"/>
    <w:qFormat/>
    <w:rsid w:val="00FA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8FF"/>
    <w:pPr>
      <w:spacing w:before="160"/>
      <w:jc w:val="center"/>
    </w:pPr>
    <w:rPr>
      <w:i/>
      <w:iCs/>
      <w:color w:val="404040" w:themeColor="text1" w:themeTint="BF"/>
    </w:rPr>
  </w:style>
  <w:style w:type="character" w:customStyle="1" w:styleId="QuoteChar">
    <w:name w:val="Quote Char"/>
    <w:basedOn w:val="DefaultParagraphFont"/>
    <w:link w:val="Quote"/>
    <w:uiPriority w:val="29"/>
    <w:rsid w:val="00FA58FF"/>
    <w:rPr>
      <w:i/>
      <w:iCs/>
      <w:color w:val="404040" w:themeColor="text1" w:themeTint="BF"/>
    </w:rPr>
  </w:style>
  <w:style w:type="paragraph" w:styleId="ListParagraph">
    <w:name w:val="List Paragraph"/>
    <w:basedOn w:val="Normal"/>
    <w:link w:val="ListParagraphChar"/>
    <w:qFormat/>
    <w:rsid w:val="00FA58FF"/>
    <w:pPr>
      <w:ind w:left="720"/>
      <w:contextualSpacing/>
    </w:pPr>
  </w:style>
  <w:style w:type="character" w:styleId="IntenseEmphasis">
    <w:name w:val="Intense Emphasis"/>
    <w:basedOn w:val="DefaultParagraphFont"/>
    <w:uiPriority w:val="21"/>
    <w:qFormat/>
    <w:rsid w:val="00FA58FF"/>
    <w:rPr>
      <w:i/>
      <w:iCs/>
      <w:color w:val="0F4761" w:themeColor="accent1" w:themeShade="BF"/>
    </w:rPr>
  </w:style>
  <w:style w:type="paragraph" w:styleId="IntenseQuote">
    <w:name w:val="Intense Quote"/>
    <w:basedOn w:val="Normal"/>
    <w:next w:val="Normal"/>
    <w:link w:val="IntenseQuoteChar"/>
    <w:uiPriority w:val="30"/>
    <w:qFormat/>
    <w:rsid w:val="00FA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8FF"/>
    <w:rPr>
      <w:i/>
      <w:iCs/>
      <w:color w:val="0F4761" w:themeColor="accent1" w:themeShade="BF"/>
    </w:rPr>
  </w:style>
  <w:style w:type="character" w:styleId="IntenseReference">
    <w:name w:val="Intense Reference"/>
    <w:basedOn w:val="DefaultParagraphFont"/>
    <w:uiPriority w:val="32"/>
    <w:qFormat/>
    <w:rsid w:val="00FA58FF"/>
    <w:rPr>
      <w:b/>
      <w:bCs/>
      <w:smallCaps/>
      <w:color w:val="0F4761" w:themeColor="accent1" w:themeShade="BF"/>
      <w:spacing w:val="5"/>
    </w:rPr>
  </w:style>
  <w:style w:type="paragraph" w:styleId="Header">
    <w:name w:val="header"/>
    <w:basedOn w:val="Normal"/>
    <w:link w:val="HeaderChar"/>
    <w:unhideWhenUsed/>
    <w:rsid w:val="00FA58FF"/>
    <w:pPr>
      <w:tabs>
        <w:tab w:val="center" w:pos="4153"/>
        <w:tab w:val="right" w:pos="8306"/>
      </w:tabs>
      <w:spacing w:line="240" w:lineRule="auto"/>
    </w:pPr>
  </w:style>
  <w:style w:type="character" w:customStyle="1" w:styleId="HeaderChar">
    <w:name w:val="Header Char"/>
    <w:basedOn w:val="DefaultParagraphFont"/>
    <w:link w:val="Header"/>
    <w:rsid w:val="00FA58FF"/>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FA58FF"/>
    <w:pPr>
      <w:tabs>
        <w:tab w:val="center" w:pos="4153"/>
        <w:tab w:val="right" w:pos="8306"/>
      </w:tabs>
      <w:spacing w:line="240" w:lineRule="auto"/>
    </w:pPr>
  </w:style>
  <w:style w:type="character" w:customStyle="1" w:styleId="FooterChar">
    <w:name w:val="Footer Char"/>
    <w:basedOn w:val="DefaultParagraphFont"/>
    <w:link w:val="Footer"/>
    <w:uiPriority w:val="99"/>
    <w:rsid w:val="00FA58FF"/>
    <w:rPr>
      <w:rFonts w:ascii="Calibri" w:eastAsia="Calibri" w:hAnsi="Calibri" w:cs="Arial"/>
      <w:kern w:val="0"/>
      <w:sz w:val="22"/>
      <w:szCs w:val="22"/>
      <w14:ligatures w14:val="none"/>
    </w:rPr>
  </w:style>
  <w:style w:type="character" w:customStyle="1" w:styleId="ListParagraphChar">
    <w:name w:val="List Paragraph Char"/>
    <w:link w:val="ListParagraph"/>
    <w:locked/>
    <w:rsid w:val="00FA58FF"/>
  </w:style>
  <w:style w:type="character" w:customStyle="1" w:styleId="a">
    <w:name w:val="פיסקת רשימה תו"/>
    <w:link w:val="1"/>
    <w:uiPriority w:val="34"/>
    <w:locked/>
    <w:rsid w:val="00FA58FF"/>
    <w:rPr>
      <w:rFonts w:ascii="Times New Roman" w:eastAsia="Times New Roman" w:hAnsi="Times New Roman" w:cs="Times New Roman"/>
    </w:rPr>
  </w:style>
  <w:style w:type="paragraph" w:customStyle="1" w:styleId="1">
    <w:name w:val="פיסקת רשימה1"/>
    <w:basedOn w:val="Normal"/>
    <w:link w:val="a"/>
    <w:uiPriority w:val="34"/>
    <w:qFormat/>
    <w:rsid w:val="00FA58FF"/>
    <w:pPr>
      <w:spacing w:line="240" w:lineRule="auto"/>
      <w:ind w:left="720"/>
      <w:contextualSpacing/>
    </w:pPr>
    <w:rPr>
      <w:rFonts w:ascii="Times New Roman" w:eastAsia="Times New Roman"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2166</Words>
  <Characters>9879</Characters>
  <Application>Microsoft Office Word</Application>
  <DocSecurity>0</DocSecurity>
  <Lines>235</Lines>
  <Paragraphs>79</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נאיה שלום</dc:creator>
  <cp:keywords/>
  <dc:description/>
  <cp:lastModifiedBy>נאיה שלום</cp:lastModifiedBy>
  <cp:revision>15</cp:revision>
  <cp:lastPrinted>2026-03-16T09:14:00Z</cp:lastPrinted>
  <dcterms:created xsi:type="dcterms:W3CDTF">2026-03-16T08:49:00Z</dcterms:created>
  <dcterms:modified xsi:type="dcterms:W3CDTF">2026-03-16T12:04:00Z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1b173e81,7302bebe,3bf332c0</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2026-03-16T08:58:52Z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088421e4-d187-4a07-9153-9e6216cddd2b</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