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480A" w14:textId="77777777" w:rsidR="007D3C88" w:rsidRDefault="007D3C88" w:rsidP="0034714C">
      <w:pPr>
        <w:bidi w:val="0"/>
        <w:jc w:val="right"/>
        <w:rPr>
          <w:rFonts w:cs="David"/>
          <w:sz w:val="24"/>
          <w:szCs w:val="24"/>
        </w:rPr>
      </w:pPr>
    </w:p>
    <w:p w14:paraId="386F636D" w14:textId="77777777" w:rsidR="00110C2A" w:rsidRPr="00187193" w:rsidRDefault="007D3C88" w:rsidP="007B0E62">
      <w:pPr>
        <w:bidi w:val="0"/>
        <w:jc w:val="center"/>
        <w:rPr>
          <w:rFonts w:cs="David"/>
          <w:b/>
          <w:bCs/>
          <w:sz w:val="24"/>
          <w:szCs w:val="24"/>
          <w:u w:val="single"/>
        </w:rPr>
      </w:pPr>
      <w:r w:rsidRPr="00187193">
        <w:rPr>
          <w:rFonts w:cs="David" w:hint="cs"/>
          <w:b/>
          <w:bCs/>
          <w:sz w:val="24"/>
          <w:szCs w:val="24"/>
          <w:u w:val="single"/>
          <w:rtl/>
        </w:rPr>
        <w:t>ה</w:t>
      </w:r>
      <w:r w:rsidR="007B0E62">
        <w:rPr>
          <w:rFonts w:cs="David" w:hint="cs"/>
          <w:b/>
          <w:bCs/>
          <w:sz w:val="24"/>
          <w:szCs w:val="24"/>
          <w:u w:val="single"/>
          <w:rtl/>
        </w:rPr>
        <w:t xml:space="preserve"> </w:t>
      </w:r>
      <w:r w:rsidRPr="00187193">
        <w:rPr>
          <w:rFonts w:cs="David" w:hint="cs"/>
          <w:b/>
          <w:bCs/>
          <w:sz w:val="24"/>
          <w:szCs w:val="24"/>
          <w:u w:val="single"/>
          <w:rtl/>
        </w:rPr>
        <w:t>ח</w:t>
      </w:r>
      <w:r w:rsidR="007B0E62">
        <w:rPr>
          <w:rFonts w:cs="David" w:hint="cs"/>
          <w:b/>
          <w:bCs/>
          <w:sz w:val="24"/>
          <w:szCs w:val="24"/>
          <w:u w:val="single"/>
          <w:rtl/>
        </w:rPr>
        <w:t xml:space="preserve"> </w:t>
      </w:r>
      <w:r w:rsidRPr="00187193">
        <w:rPr>
          <w:rFonts w:cs="David" w:hint="cs"/>
          <w:b/>
          <w:bCs/>
          <w:sz w:val="24"/>
          <w:szCs w:val="24"/>
          <w:u w:val="single"/>
          <w:rtl/>
        </w:rPr>
        <w:t>ל</w:t>
      </w:r>
      <w:r w:rsidR="007B0E62">
        <w:rPr>
          <w:rFonts w:cs="David" w:hint="cs"/>
          <w:b/>
          <w:bCs/>
          <w:sz w:val="24"/>
          <w:szCs w:val="24"/>
          <w:u w:val="single"/>
          <w:rtl/>
        </w:rPr>
        <w:t xml:space="preserve"> </w:t>
      </w:r>
      <w:r w:rsidRPr="00187193">
        <w:rPr>
          <w:rFonts w:cs="David" w:hint="cs"/>
          <w:b/>
          <w:bCs/>
          <w:sz w:val="24"/>
          <w:szCs w:val="24"/>
          <w:u w:val="single"/>
          <w:rtl/>
        </w:rPr>
        <w:t>ט</w:t>
      </w:r>
      <w:r w:rsidR="007B0E62">
        <w:rPr>
          <w:rFonts w:cs="David" w:hint="cs"/>
          <w:b/>
          <w:bCs/>
          <w:sz w:val="24"/>
          <w:szCs w:val="24"/>
          <w:u w:val="single"/>
          <w:rtl/>
        </w:rPr>
        <w:t xml:space="preserve"> </w:t>
      </w:r>
      <w:r w:rsidRPr="00187193">
        <w:rPr>
          <w:rFonts w:cs="David" w:hint="cs"/>
          <w:b/>
          <w:bCs/>
          <w:sz w:val="24"/>
          <w:szCs w:val="24"/>
          <w:u w:val="single"/>
          <w:rtl/>
        </w:rPr>
        <w:t>ה</w:t>
      </w:r>
    </w:p>
    <w:p w14:paraId="2446247E" w14:textId="77777777" w:rsidR="00B37A33" w:rsidRDefault="00D35854" w:rsidP="00D35854">
      <w:pPr>
        <w:spacing w:line="360" w:lineRule="auto"/>
        <w:jc w:val="both"/>
        <w:rPr>
          <w:rFonts w:cs="David"/>
          <w:sz w:val="24"/>
          <w:szCs w:val="24"/>
          <w:rtl/>
        </w:rPr>
      </w:pPr>
      <w:r>
        <w:rPr>
          <w:rFonts w:cs="David" w:hint="cs"/>
          <w:sz w:val="24"/>
          <w:szCs w:val="24"/>
          <w:rtl/>
        </w:rPr>
        <w:t xml:space="preserve">לפניי </w:t>
      </w:r>
      <w:r w:rsidR="0034714C" w:rsidRPr="00D35854">
        <w:rPr>
          <w:rFonts w:cs="David" w:hint="cs"/>
          <w:sz w:val="24"/>
          <w:szCs w:val="24"/>
          <w:rtl/>
        </w:rPr>
        <w:t>בקשת</w:t>
      </w:r>
      <w:r w:rsidR="00187193" w:rsidRPr="00D35854">
        <w:rPr>
          <w:rFonts w:cs="David" w:hint="cs"/>
          <w:sz w:val="24"/>
          <w:szCs w:val="24"/>
          <w:rtl/>
        </w:rPr>
        <w:t xml:space="preserve"> ההגנה</w:t>
      </w:r>
      <w:r w:rsidR="00B37A33" w:rsidRPr="00D35854">
        <w:rPr>
          <w:rFonts w:cs="David" w:hint="cs"/>
          <w:sz w:val="24"/>
          <w:szCs w:val="24"/>
          <w:rtl/>
        </w:rPr>
        <w:t xml:space="preserve"> </w:t>
      </w:r>
      <w:r>
        <w:rPr>
          <w:rFonts w:cs="David" w:hint="cs"/>
          <w:sz w:val="24"/>
          <w:szCs w:val="24"/>
          <w:rtl/>
        </w:rPr>
        <w:t>לקבלת</w:t>
      </w:r>
      <w:r w:rsidR="00187193" w:rsidRPr="00D35854">
        <w:rPr>
          <w:rFonts w:cs="David" w:hint="cs"/>
          <w:sz w:val="24"/>
          <w:szCs w:val="24"/>
          <w:rtl/>
        </w:rPr>
        <w:t xml:space="preserve"> </w:t>
      </w:r>
      <w:r w:rsidR="00B37A33" w:rsidRPr="00D35854">
        <w:rPr>
          <w:rFonts w:cs="David" w:hint="cs"/>
          <w:sz w:val="24"/>
          <w:szCs w:val="24"/>
          <w:rtl/>
        </w:rPr>
        <w:t xml:space="preserve">חומר חקירה לפי סעיף 74 לחוק סדר הדין הפלילי [נוסח משולב], התשמ"ב-1982 (להלן - </w:t>
      </w:r>
      <w:r w:rsidR="00B37A33" w:rsidRPr="00D35854">
        <w:rPr>
          <w:rFonts w:cs="David" w:hint="cs"/>
          <w:b/>
          <w:bCs/>
          <w:sz w:val="24"/>
          <w:szCs w:val="24"/>
          <w:rtl/>
        </w:rPr>
        <w:t>חוק סדר הדין הפלילי</w:t>
      </w:r>
      <w:r w:rsidR="0034714C" w:rsidRPr="00D35854">
        <w:rPr>
          <w:rFonts w:cs="David" w:hint="cs"/>
          <w:sz w:val="24"/>
          <w:szCs w:val="24"/>
          <w:rtl/>
        </w:rPr>
        <w:t>)</w:t>
      </w:r>
      <w:r w:rsidR="00F438C0" w:rsidRPr="00D35854">
        <w:rPr>
          <w:rFonts w:cs="David" w:hint="cs"/>
          <w:sz w:val="24"/>
          <w:szCs w:val="24"/>
          <w:rtl/>
        </w:rPr>
        <w:t xml:space="preserve">, </w:t>
      </w:r>
      <w:r w:rsidR="0034714C" w:rsidRPr="00D35854">
        <w:rPr>
          <w:rFonts w:cs="David" w:hint="cs"/>
          <w:sz w:val="24"/>
          <w:szCs w:val="24"/>
          <w:rtl/>
        </w:rPr>
        <w:t>טעמיה יפורטו</w:t>
      </w:r>
      <w:r w:rsidR="00F438C0" w:rsidRPr="00D35854">
        <w:rPr>
          <w:rFonts w:cs="David" w:hint="cs"/>
          <w:sz w:val="24"/>
          <w:szCs w:val="24"/>
          <w:rtl/>
        </w:rPr>
        <w:t xml:space="preserve"> </w:t>
      </w:r>
      <w:r w:rsidR="00B37A33" w:rsidRPr="00D35854">
        <w:rPr>
          <w:rFonts w:cs="David" w:hint="cs"/>
          <w:sz w:val="24"/>
          <w:szCs w:val="24"/>
          <w:rtl/>
        </w:rPr>
        <w:t xml:space="preserve">להלן. </w:t>
      </w:r>
    </w:p>
    <w:p w14:paraId="31F2ABB9" w14:textId="77777777" w:rsidR="00BB25AC" w:rsidRPr="00BB25AC" w:rsidRDefault="00BB25AC" w:rsidP="00BB25AC">
      <w:pPr>
        <w:spacing w:line="360" w:lineRule="auto"/>
        <w:jc w:val="both"/>
        <w:rPr>
          <w:rFonts w:cs="David"/>
          <w:sz w:val="24"/>
          <w:szCs w:val="24"/>
          <w:u w:val="single"/>
        </w:rPr>
      </w:pPr>
      <w:r>
        <w:rPr>
          <w:rFonts w:cs="David" w:hint="cs"/>
          <w:sz w:val="24"/>
          <w:szCs w:val="24"/>
          <w:u w:val="single"/>
          <w:rtl/>
        </w:rPr>
        <w:t>ה</w:t>
      </w:r>
      <w:r w:rsidRPr="00BB25AC">
        <w:rPr>
          <w:rFonts w:cs="David" w:hint="cs"/>
          <w:sz w:val="24"/>
          <w:szCs w:val="24"/>
          <w:u w:val="single"/>
          <w:rtl/>
        </w:rPr>
        <w:t xml:space="preserve">רקע </w:t>
      </w:r>
      <w:r>
        <w:rPr>
          <w:rFonts w:cs="David" w:hint="cs"/>
          <w:sz w:val="24"/>
          <w:szCs w:val="24"/>
          <w:u w:val="single"/>
          <w:rtl/>
        </w:rPr>
        <w:t>ל</w:t>
      </w:r>
      <w:r w:rsidRPr="00BB25AC">
        <w:rPr>
          <w:rFonts w:cs="David" w:hint="cs"/>
          <w:sz w:val="24"/>
          <w:szCs w:val="24"/>
          <w:u w:val="single"/>
          <w:rtl/>
        </w:rPr>
        <w:t>בקשה ומהותה</w:t>
      </w:r>
    </w:p>
    <w:p w14:paraId="45B2A9A7" w14:textId="77777777" w:rsidR="00D35854" w:rsidRDefault="00AD3C07" w:rsidP="00284BB4">
      <w:pPr>
        <w:pStyle w:val="ListParagraph"/>
        <w:numPr>
          <w:ilvl w:val="0"/>
          <w:numId w:val="3"/>
        </w:numPr>
        <w:spacing w:after="0" w:line="360" w:lineRule="auto"/>
        <w:ind w:left="714" w:hanging="357"/>
        <w:jc w:val="both"/>
        <w:rPr>
          <w:rFonts w:cs="David"/>
          <w:sz w:val="24"/>
          <w:szCs w:val="24"/>
        </w:rPr>
      </w:pPr>
      <w:r w:rsidRPr="007D5AFD">
        <w:rPr>
          <w:rFonts w:cs="David" w:hint="cs"/>
          <w:sz w:val="24"/>
          <w:szCs w:val="24"/>
          <w:rtl/>
        </w:rPr>
        <w:t xml:space="preserve"> </w:t>
      </w:r>
      <w:r w:rsidR="00D35854" w:rsidRPr="007D5AFD">
        <w:rPr>
          <w:rFonts w:cs="David" w:hint="cs"/>
          <w:sz w:val="24"/>
          <w:szCs w:val="24"/>
          <w:rtl/>
        </w:rPr>
        <w:t xml:space="preserve">ביום </w:t>
      </w:r>
      <w:r w:rsidR="00D35854">
        <w:rPr>
          <w:rFonts w:cs="David" w:hint="cs"/>
          <w:sz w:val="24"/>
          <w:szCs w:val="24"/>
          <w:rtl/>
        </w:rPr>
        <w:t xml:space="preserve">4.11.2019 הוגש </w:t>
      </w:r>
      <w:r w:rsidR="00D35854" w:rsidRPr="007D5AFD">
        <w:rPr>
          <w:rFonts w:cs="David" w:hint="cs"/>
          <w:sz w:val="24"/>
          <w:szCs w:val="24"/>
          <w:rtl/>
        </w:rPr>
        <w:t>כנגד המבקש</w:t>
      </w:r>
      <w:r w:rsidR="00D35854">
        <w:rPr>
          <w:rFonts w:cs="David" w:hint="cs"/>
          <w:sz w:val="24"/>
          <w:szCs w:val="24"/>
          <w:rtl/>
        </w:rPr>
        <w:t xml:space="preserve"> </w:t>
      </w:r>
      <w:r w:rsidR="00F9127D">
        <w:rPr>
          <w:rFonts w:cs="David" w:hint="cs"/>
          <w:sz w:val="24"/>
          <w:szCs w:val="24"/>
          <w:rtl/>
        </w:rPr>
        <w:t>-</w:t>
      </w:r>
      <w:r w:rsidR="00D35854">
        <w:rPr>
          <w:rFonts w:cs="David" w:hint="cs"/>
          <w:sz w:val="24"/>
          <w:szCs w:val="24"/>
          <w:rtl/>
        </w:rPr>
        <w:t xml:space="preserve"> לוחם בגדוד 90</w:t>
      </w:r>
      <w:r w:rsidR="00284BB4">
        <w:rPr>
          <w:rFonts w:cs="David" w:hint="cs"/>
          <w:sz w:val="24"/>
          <w:szCs w:val="24"/>
          <w:rtl/>
        </w:rPr>
        <w:t xml:space="preserve"> (להלן </w:t>
      </w:r>
      <w:r w:rsidR="00284BB4">
        <w:rPr>
          <w:rFonts w:cs="David"/>
          <w:sz w:val="24"/>
          <w:szCs w:val="24"/>
          <w:rtl/>
        </w:rPr>
        <w:t>–</w:t>
      </w:r>
      <w:r w:rsidR="00284BB4" w:rsidRPr="00284BB4">
        <w:rPr>
          <w:rFonts w:cs="David" w:hint="cs"/>
          <w:b/>
          <w:bCs/>
          <w:sz w:val="24"/>
          <w:szCs w:val="24"/>
          <w:rtl/>
        </w:rPr>
        <w:t>המבקש</w:t>
      </w:r>
      <w:r w:rsidR="00284BB4">
        <w:rPr>
          <w:rFonts w:cs="David" w:hint="cs"/>
          <w:sz w:val="24"/>
          <w:szCs w:val="24"/>
          <w:rtl/>
        </w:rPr>
        <w:t>)</w:t>
      </w:r>
      <w:r w:rsidR="00D35854">
        <w:rPr>
          <w:rFonts w:cs="David" w:hint="cs"/>
          <w:sz w:val="24"/>
          <w:szCs w:val="24"/>
          <w:rtl/>
        </w:rPr>
        <w:t>,</w:t>
      </w:r>
      <w:r w:rsidR="00D35854" w:rsidRPr="007D5AFD">
        <w:rPr>
          <w:rFonts w:cs="David" w:hint="cs"/>
          <w:sz w:val="24"/>
          <w:szCs w:val="24"/>
          <w:rtl/>
        </w:rPr>
        <w:t xml:space="preserve"> </w:t>
      </w:r>
      <w:r w:rsidR="0034714C" w:rsidRPr="007D5AFD">
        <w:rPr>
          <w:rFonts w:cs="David" w:hint="cs"/>
          <w:sz w:val="24"/>
          <w:szCs w:val="24"/>
          <w:rtl/>
        </w:rPr>
        <w:t xml:space="preserve">כתב אישום </w:t>
      </w:r>
      <w:r w:rsidR="00D35854">
        <w:rPr>
          <w:rFonts w:cs="David" w:hint="cs"/>
          <w:sz w:val="24"/>
          <w:szCs w:val="24"/>
          <w:rtl/>
        </w:rPr>
        <w:t>המייחס לו עבֵרות של הטרדה מינית והתנכלות בצוותא; מעשה מגונה; והתנהגות שאינה הולמת. כתב האישום סב על שורת מעשים בעלי אופי מיני שעשה, לכאורה, המבקש ב</w:t>
      </w:r>
      <w:r w:rsidR="00F9127D">
        <w:rPr>
          <w:rFonts w:cs="David" w:hint="cs"/>
          <w:sz w:val="24"/>
          <w:szCs w:val="24"/>
          <w:rtl/>
        </w:rPr>
        <w:t xml:space="preserve">סמ"ר ד' ק' - </w:t>
      </w:r>
      <w:r w:rsidR="00D35854">
        <w:rPr>
          <w:rFonts w:cs="David" w:hint="cs"/>
          <w:sz w:val="24"/>
          <w:szCs w:val="24"/>
          <w:rtl/>
        </w:rPr>
        <w:t>לוחם אחר המשרת עמו בגדוד</w:t>
      </w:r>
      <w:r w:rsidR="00284BB4">
        <w:rPr>
          <w:rFonts w:cs="David" w:hint="cs"/>
          <w:sz w:val="24"/>
          <w:szCs w:val="24"/>
          <w:rtl/>
        </w:rPr>
        <w:t xml:space="preserve"> (להלן </w:t>
      </w:r>
      <w:r w:rsidR="00284BB4">
        <w:rPr>
          <w:rFonts w:cs="David"/>
          <w:sz w:val="24"/>
          <w:szCs w:val="24"/>
          <w:rtl/>
        </w:rPr>
        <w:t>–</w:t>
      </w:r>
      <w:r w:rsidR="00284BB4">
        <w:rPr>
          <w:rFonts w:cs="David" w:hint="cs"/>
          <w:sz w:val="24"/>
          <w:szCs w:val="24"/>
          <w:rtl/>
        </w:rPr>
        <w:t xml:space="preserve"> </w:t>
      </w:r>
      <w:r w:rsidR="00284BB4" w:rsidRPr="00284BB4">
        <w:rPr>
          <w:rFonts w:cs="David" w:hint="cs"/>
          <w:b/>
          <w:bCs/>
          <w:sz w:val="24"/>
          <w:szCs w:val="24"/>
          <w:rtl/>
        </w:rPr>
        <w:t>נפגע העברה</w:t>
      </w:r>
      <w:r w:rsidR="00284BB4">
        <w:rPr>
          <w:rFonts w:cs="David" w:hint="cs"/>
          <w:sz w:val="24"/>
          <w:szCs w:val="24"/>
          <w:rtl/>
        </w:rPr>
        <w:t>)</w:t>
      </w:r>
      <w:r w:rsidR="00D35854">
        <w:rPr>
          <w:rFonts w:cs="David" w:hint="cs"/>
          <w:sz w:val="24"/>
          <w:szCs w:val="24"/>
          <w:rtl/>
        </w:rPr>
        <w:t xml:space="preserve">, בעת ששהו השניים בחדר משותף במוצב. </w:t>
      </w:r>
    </w:p>
    <w:p w14:paraId="72235683" w14:textId="112DEB35" w:rsidR="0034714C" w:rsidRDefault="00D35854" w:rsidP="00F9127D">
      <w:pPr>
        <w:pStyle w:val="ListParagraph"/>
        <w:spacing w:after="0" w:line="360" w:lineRule="auto"/>
        <w:ind w:left="714"/>
        <w:jc w:val="both"/>
        <w:rPr>
          <w:rFonts w:cs="David"/>
          <w:sz w:val="24"/>
          <w:szCs w:val="24"/>
          <w:rtl/>
        </w:rPr>
      </w:pPr>
      <w:r>
        <w:rPr>
          <w:rFonts w:cs="David" w:hint="cs"/>
          <w:sz w:val="24"/>
          <w:szCs w:val="24"/>
          <w:rtl/>
        </w:rPr>
        <w:t xml:space="preserve">מפרט האישום </w:t>
      </w:r>
      <w:r w:rsidRPr="00D35854">
        <w:rPr>
          <w:rFonts w:cs="David" w:hint="cs"/>
          <w:b/>
          <w:bCs/>
          <w:sz w:val="24"/>
          <w:szCs w:val="24"/>
          <w:rtl/>
        </w:rPr>
        <w:t>הראשון</w:t>
      </w:r>
      <w:r>
        <w:rPr>
          <w:rFonts w:cs="David" w:hint="cs"/>
          <w:sz w:val="24"/>
          <w:szCs w:val="24"/>
          <w:rtl/>
        </w:rPr>
        <w:t xml:space="preserve"> עולה, כי בתקופה שבין חודש דצמבר 2018 לפברואר 2019, בעת ששהו במוצב "תפוח" לנו המבקש וסמ"ר ד' ק' בחדר משותף. </w:t>
      </w:r>
      <w:r w:rsidR="00F9127D">
        <w:rPr>
          <w:rFonts w:cs="David" w:hint="cs"/>
          <w:sz w:val="24"/>
          <w:szCs w:val="24"/>
          <w:rtl/>
        </w:rPr>
        <w:t xml:space="preserve">במהלך שהותם המשותפת בחדר, נהג המבקש, כנטען, בהזדמנויות רבות, לכל הפחות אחת לשבוע, להכות באמצעות ידו את סמ"ר ד' ק' באיבר מינו מעל לבגדיו. בכל פעם התנגד סמ"ר ד' ק' למעשים והביע התנגדות זו באופן מילולי, אך המבקש שב וחזר על המעשים. לעיתים עשה זאת בצוותא עם סמ"ר </w:t>
      </w:r>
      <w:proofErr w:type="spellStart"/>
      <w:r w:rsidR="00F9127D">
        <w:rPr>
          <w:rFonts w:cs="David" w:hint="cs"/>
          <w:sz w:val="24"/>
          <w:szCs w:val="24"/>
          <w:rtl/>
        </w:rPr>
        <w:t>אברמוב</w:t>
      </w:r>
      <w:proofErr w:type="spellEnd"/>
      <w:r w:rsidR="00F9127D">
        <w:rPr>
          <w:rFonts w:cs="David" w:hint="cs"/>
          <w:sz w:val="24"/>
          <w:szCs w:val="24"/>
          <w:rtl/>
        </w:rPr>
        <w:t>.</w:t>
      </w:r>
    </w:p>
    <w:p w14:paraId="50BAE08A" w14:textId="77777777" w:rsidR="00F9127D" w:rsidRDefault="00F9127D" w:rsidP="00F9127D">
      <w:pPr>
        <w:pStyle w:val="ListParagraph"/>
        <w:spacing w:after="0" w:line="360" w:lineRule="auto"/>
        <w:ind w:left="714"/>
        <w:jc w:val="both"/>
        <w:rPr>
          <w:rFonts w:cs="David"/>
          <w:sz w:val="24"/>
          <w:szCs w:val="24"/>
          <w:rtl/>
        </w:rPr>
      </w:pPr>
      <w:r>
        <w:rPr>
          <w:rFonts w:cs="David" w:hint="cs"/>
          <w:sz w:val="24"/>
          <w:szCs w:val="24"/>
          <w:rtl/>
        </w:rPr>
        <w:t xml:space="preserve">מפרט האישום </w:t>
      </w:r>
      <w:r w:rsidRPr="00F9127D">
        <w:rPr>
          <w:rFonts w:cs="David" w:hint="cs"/>
          <w:b/>
          <w:bCs/>
          <w:sz w:val="24"/>
          <w:szCs w:val="24"/>
          <w:rtl/>
        </w:rPr>
        <w:t>השני</w:t>
      </w:r>
      <w:r>
        <w:rPr>
          <w:rFonts w:cs="David" w:hint="cs"/>
          <w:sz w:val="24"/>
          <w:szCs w:val="24"/>
          <w:rtl/>
        </w:rPr>
        <w:t xml:space="preserve"> עולה, כי במהלך חודש פברואר 2019 בבסיס "אל פארן" ברמת הגולן, בעת ששכב סמ"ר ד' ק' על מיטתו ועסק במכשירו הסלולארי, בחדר המשותף שבו שהה עם המבקש, התקרב המבקש אל מיטתו של סמ"ר ד' ק', נעמד בסמוך לראשו והציע לו לבצע בו מין אוראלי. לאחר מכן, הוריד המבקש את מכנסיו ואת תחתוניו, הפנה את איבר מינו הזקור לעבר פניו של סמ"ר ד' ק' ושב על הצעתו. בתגובה אמר סמ"ר ד' ק' למבקש "די" והפנה את גופו לכיוון קיר החדר. </w:t>
      </w:r>
    </w:p>
    <w:p w14:paraId="2C44FF33" w14:textId="3C1C7CA1" w:rsidR="00F9127D" w:rsidRDefault="00F9127D" w:rsidP="00284BB4">
      <w:pPr>
        <w:pStyle w:val="ListParagraph"/>
        <w:spacing w:after="0" w:line="360" w:lineRule="auto"/>
        <w:ind w:left="714"/>
        <w:jc w:val="both"/>
        <w:rPr>
          <w:rFonts w:cs="David"/>
          <w:sz w:val="24"/>
          <w:szCs w:val="24"/>
          <w:rtl/>
        </w:rPr>
      </w:pPr>
      <w:r>
        <w:rPr>
          <w:rFonts w:cs="David" w:hint="cs"/>
          <w:sz w:val="24"/>
          <w:szCs w:val="24"/>
          <w:rtl/>
        </w:rPr>
        <w:t xml:space="preserve">מפרט האישום </w:t>
      </w:r>
      <w:r w:rsidRPr="00F9127D">
        <w:rPr>
          <w:rFonts w:cs="David" w:hint="cs"/>
          <w:b/>
          <w:bCs/>
          <w:sz w:val="24"/>
          <w:szCs w:val="24"/>
          <w:rtl/>
        </w:rPr>
        <w:t>השלישי</w:t>
      </w:r>
      <w:r>
        <w:rPr>
          <w:rFonts w:cs="David" w:hint="cs"/>
          <w:sz w:val="24"/>
          <w:szCs w:val="24"/>
          <w:rtl/>
        </w:rPr>
        <w:t xml:space="preserve"> עולה, כי במהלך חודש מארס 2019 בעת שנחקר המבקש בחשד לביצוע העברות המנויות לעיל, נחקר גם סמ"ר </w:t>
      </w:r>
      <w:proofErr w:type="spellStart"/>
      <w:r>
        <w:rPr>
          <w:rFonts w:cs="David" w:hint="cs"/>
          <w:sz w:val="24"/>
          <w:szCs w:val="24"/>
          <w:rtl/>
        </w:rPr>
        <w:t>אברמוב</w:t>
      </w:r>
      <w:proofErr w:type="spellEnd"/>
      <w:r>
        <w:rPr>
          <w:rFonts w:cs="David" w:hint="cs"/>
          <w:sz w:val="24"/>
          <w:szCs w:val="24"/>
          <w:rtl/>
        </w:rPr>
        <w:t xml:space="preserve"> בחשד לביצוע המעשים המתוארים בפרט האישום הראשון. לאחר החקירות התקשר המבקש אל סמ"ר ד' ק' והוא לא ענה לו. </w:t>
      </w:r>
      <w:r w:rsidR="00284BB4">
        <w:rPr>
          <w:rFonts w:cs="David" w:hint="cs"/>
          <w:sz w:val="24"/>
          <w:szCs w:val="24"/>
          <w:rtl/>
        </w:rPr>
        <w:t xml:space="preserve">לפיכך, </w:t>
      </w:r>
      <w:r>
        <w:rPr>
          <w:rFonts w:cs="David" w:hint="cs"/>
          <w:sz w:val="24"/>
          <w:szCs w:val="24"/>
          <w:rtl/>
        </w:rPr>
        <w:t xml:space="preserve">התקשר סמ"ר </w:t>
      </w:r>
      <w:proofErr w:type="spellStart"/>
      <w:r>
        <w:rPr>
          <w:rFonts w:cs="David" w:hint="cs"/>
          <w:sz w:val="24"/>
          <w:szCs w:val="24"/>
          <w:rtl/>
        </w:rPr>
        <w:t>אברמוב</w:t>
      </w:r>
      <w:proofErr w:type="spellEnd"/>
      <w:r>
        <w:rPr>
          <w:rFonts w:cs="David" w:hint="cs"/>
          <w:sz w:val="24"/>
          <w:szCs w:val="24"/>
          <w:rtl/>
        </w:rPr>
        <w:t xml:space="preserve"> לסמ"ר ד' ק' ושאלו האם יוכל לבטל את תלונתו במצ"ח. סמ"ר </w:t>
      </w:r>
      <w:proofErr w:type="spellStart"/>
      <w:r>
        <w:rPr>
          <w:rFonts w:cs="David" w:hint="cs"/>
          <w:sz w:val="24"/>
          <w:szCs w:val="24"/>
          <w:rtl/>
        </w:rPr>
        <w:t>אברמוב</w:t>
      </w:r>
      <w:proofErr w:type="spellEnd"/>
      <w:r>
        <w:rPr>
          <w:rFonts w:cs="David" w:hint="cs"/>
          <w:sz w:val="24"/>
          <w:szCs w:val="24"/>
          <w:rtl/>
        </w:rPr>
        <w:t xml:space="preserve"> ביקש את סליחתו של סמ"ר ד' ק' </w:t>
      </w:r>
      <w:r w:rsidR="00284BB4">
        <w:rPr>
          <w:rFonts w:cs="David" w:hint="cs"/>
          <w:sz w:val="24"/>
          <w:szCs w:val="24"/>
          <w:rtl/>
        </w:rPr>
        <w:t xml:space="preserve">והציע לו "לסגור" את הדברים ביניהם. עם סיום השיחה,  שוחח סמ"ר </w:t>
      </w:r>
      <w:proofErr w:type="spellStart"/>
      <w:r w:rsidR="00284BB4">
        <w:rPr>
          <w:rFonts w:cs="David" w:hint="cs"/>
          <w:sz w:val="24"/>
          <w:szCs w:val="24"/>
          <w:rtl/>
        </w:rPr>
        <w:t>אברמוב</w:t>
      </w:r>
      <w:proofErr w:type="spellEnd"/>
      <w:r w:rsidR="00284BB4">
        <w:rPr>
          <w:rFonts w:cs="David" w:hint="cs"/>
          <w:sz w:val="24"/>
          <w:szCs w:val="24"/>
          <w:rtl/>
        </w:rPr>
        <w:t xml:space="preserve"> עם המבקש הציע לו להתנצל בפני סמ"ר ד' ק' על מנת שיבטל את תלונתו. המבקש הסכים וסמ"ר </w:t>
      </w:r>
      <w:proofErr w:type="spellStart"/>
      <w:r w:rsidR="00284BB4">
        <w:rPr>
          <w:rFonts w:cs="David" w:hint="cs"/>
          <w:sz w:val="24"/>
          <w:szCs w:val="24"/>
          <w:rtl/>
        </w:rPr>
        <w:t>אברמוב</w:t>
      </w:r>
      <w:proofErr w:type="spellEnd"/>
      <w:r w:rsidR="00284BB4">
        <w:rPr>
          <w:rFonts w:cs="David" w:hint="cs"/>
          <w:sz w:val="24"/>
          <w:szCs w:val="24"/>
          <w:rtl/>
        </w:rPr>
        <w:t xml:space="preserve"> צירף לשיחה את סמ"ר ד' ק', אז התנצלו השניים בפניו וביקשו ממנו לבטל את התלונה נגדם. ביוני 2019, שלח המבקש לסמ"ר ד' ק' מסרון ושאלו האם ביטל את התלונה שמסר במצ"ח נגדו. </w:t>
      </w:r>
    </w:p>
    <w:p w14:paraId="6DFF2509" w14:textId="77777777" w:rsidR="00BB25AC" w:rsidRDefault="00284BB4" w:rsidP="00826A44">
      <w:pPr>
        <w:pStyle w:val="ListParagraph"/>
        <w:numPr>
          <w:ilvl w:val="0"/>
          <w:numId w:val="3"/>
        </w:numPr>
        <w:spacing w:after="0" w:line="360" w:lineRule="auto"/>
        <w:ind w:left="714" w:hanging="357"/>
        <w:jc w:val="both"/>
        <w:rPr>
          <w:rFonts w:cs="David"/>
          <w:sz w:val="24"/>
          <w:szCs w:val="24"/>
        </w:rPr>
      </w:pPr>
      <w:r>
        <w:rPr>
          <w:rFonts w:cs="David" w:hint="cs"/>
          <w:sz w:val="24"/>
          <w:szCs w:val="24"/>
          <w:rtl/>
        </w:rPr>
        <w:t xml:space="preserve">בבקשתה, עמדה ההגנה על כך שבמסגרת חקירת האירועים </w:t>
      </w:r>
      <w:r w:rsidR="00D6472D">
        <w:rPr>
          <w:rFonts w:cs="David" w:hint="cs"/>
          <w:sz w:val="24"/>
          <w:szCs w:val="24"/>
          <w:rtl/>
        </w:rPr>
        <w:t>שב</w:t>
      </w:r>
      <w:r>
        <w:rPr>
          <w:rFonts w:cs="David" w:hint="cs"/>
          <w:sz w:val="24"/>
          <w:szCs w:val="24"/>
          <w:rtl/>
        </w:rPr>
        <w:t>כתב האישום, נחקרו פרט למבקש</w:t>
      </w:r>
      <w:r w:rsidR="00BB25AC">
        <w:rPr>
          <w:rFonts w:cs="David" w:hint="cs"/>
          <w:sz w:val="24"/>
          <w:szCs w:val="24"/>
          <w:rtl/>
        </w:rPr>
        <w:t>,</w:t>
      </w:r>
      <w:r>
        <w:rPr>
          <w:rFonts w:cs="David" w:hint="cs"/>
          <w:sz w:val="24"/>
          <w:szCs w:val="24"/>
          <w:rtl/>
        </w:rPr>
        <w:t xml:space="preserve"> גם </w:t>
      </w:r>
      <w:r w:rsidRPr="00BB25AC">
        <w:rPr>
          <w:rFonts w:cs="David" w:hint="cs"/>
          <w:b/>
          <w:bCs/>
          <w:sz w:val="24"/>
          <w:szCs w:val="24"/>
          <w:rtl/>
        </w:rPr>
        <w:t xml:space="preserve">סמ"ר </w:t>
      </w:r>
      <w:proofErr w:type="spellStart"/>
      <w:r w:rsidRPr="00BB25AC">
        <w:rPr>
          <w:rFonts w:cs="David" w:hint="cs"/>
          <w:b/>
          <w:bCs/>
          <w:sz w:val="24"/>
          <w:szCs w:val="24"/>
          <w:rtl/>
        </w:rPr>
        <w:t>אברמוב</w:t>
      </w:r>
      <w:proofErr w:type="spellEnd"/>
      <w:r>
        <w:rPr>
          <w:rFonts w:cs="David" w:hint="cs"/>
          <w:sz w:val="24"/>
          <w:szCs w:val="24"/>
          <w:rtl/>
        </w:rPr>
        <w:t xml:space="preserve"> וחייל נוסף בשם </w:t>
      </w:r>
      <w:r w:rsidRPr="00BB25AC">
        <w:rPr>
          <w:rFonts w:cs="David" w:hint="cs"/>
          <w:b/>
          <w:bCs/>
          <w:sz w:val="24"/>
          <w:szCs w:val="24"/>
          <w:rtl/>
        </w:rPr>
        <w:t>סמ"ר רושני</w:t>
      </w:r>
      <w:r w:rsidR="00BB25AC">
        <w:rPr>
          <w:rFonts w:cs="David" w:hint="cs"/>
          <w:sz w:val="24"/>
          <w:szCs w:val="24"/>
          <w:rtl/>
        </w:rPr>
        <w:t xml:space="preserve">, </w:t>
      </w:r>
      <w:r>
        <w:rPr>
          <w:rFonts w:cs="David" w:hint="cs"/>
          <w:sz w:val="24"/>
          <w:szCs w:val="24"/>
          <w:rtl/>
        </w:rPr>
        <w:t xml:space="preserve">בחשד לביצוע מעשים </w:t>
      </w:r>
      <w:r w:rsidR="00D6472D">
        <w:rPr>
          <w:rFonts w:cs="David" w:hint="cs"/>
          <w:sz w:val="24"/>
          <w:szCs w:val="24"/>
          <w:rtl/>
        </w:rPr>
        <w:t>"</w:t>
      </w:r>
      <w:r>
        <w:rPr>
          <w:rFonts w:cs="David" w:hint="cs"/>
          <w:sz w:val="24"/>
          <w:szCs w:val="24"/>
          <w:rtl/>
        </w:rPr>
        <w:t>דומים</w:t>
      </w:r>
      <w:r w:rsidR="00D6472D">
        <w:rPr>
          <w:rFonts w:cs="David" w:hint="cs"/>
          <w:sz w:val="24"/>
          <w:szCs w:val="24"/>
          <w:rtl/>
        </w:rPr>
        <w:t>"</w:t>
      </w:r>
      <w:r>
        <w:rPr>
          <w:rFonts w:cs="David" w:hint="cs"/>
          <w:sz w:val="24"/>
          <w:szCs w:val="24"/>
          <w:rtl/>
        </w:rPr>
        <w:t xml:space="preserve"> כלפי נפגע העברה. </w:t>
      </w:r>
      <w:r w:rsidR="00D6472D">
        <w:rPr>
          <w:rFonts w:cs="David" w:hint="cs"/>
          <w:sz w:val="24"/>
          <w:szCs w:val="24"/>
          <w:rtl/>
        </w:rPr>
        <w:t xml:space="preserve">מעשיו של סמ"ר </w:t>
      </w:r>
      <w:proofErr w:type="spellStart"/>
      <w:r w:rsidR="00D6472D">
        <w:rPr>
          <w:rFonts w:cs="David" w:hint="cs"/>
          <w:sz w:val="24"/>
          <w:szCs w:val="24"/>
          <w:rtl/>
        </w:rPr>
        <w:t>אברמוב</w:t>
      </w:r>
      <w:proofErr w:type="spellEnd"/>
      <w:r w:rsidR="00D6472D">
        <w:rPr>
          <w:rFonts w:cs="David" w:hint="cs"/>
          <w:sz w:val="24"/>
          <w:szCs w:val="24"/>
          <w:rtl/>
        </w:rPr>
        <w:t xml:space="preserve"> משתקפים בכתב האישום שהוגש כנגד המבקש ופורטו לעיל. מעשיו של סמ"ר </w:t>
      </w:r>
      <w:proofErr w:type="spellStart"/>
      <w:r w:rsidR="00D6472D">
        <w:rPr>
          <w:rFonts w:cs="David" w:hint="cs"/>
          <w:sz w:val="24"/>
          <w:szCs w:val="24"/>
          <w:rtl/>
        </w:rPr>
        <w:t>רושני</w:t>
      </w:r>
      <w:proofErr w:type="spellEnd"/>
      <w:r w:rsidR="00826A44">
        <w:rPr>
          <w:rFonts w:cs="David" w:hint="cs"/>
          <w:sz w:val="24"/>
          <w:szCs w:val="24"/>
          <w:rtl/>
        </w:rPr>
        <w:t xml:space="preserve">, </w:t>
      </w:r>
      <w:r w:rsidR="00D6472D">
        <w:rPr>
          <w:rFonts w:cs="David" w:hint="cs"/>
          <w:sz w:val="24"/>
          <w:szCs w:val="24"/>
          <w:rtl/>
        </w:rPr>
        <w:t xml:space="preserve">כעולה מחומר הראיות, נעוצים באירוע אשר במהלכו בעת שעמד נפגע העבירה בתור לשק"ם נטל סמ"ר </w:t>
      </w:r>
      <w:proofErr w:type="spellStart"/>
      <w:r w:rsidR="00D6472D">
        <w:rPr>
          <w:rFonts w:cs="David" w:hint="cs"/>
          <w:sz w:val="24"/>
          <w:szCs w:val="24"/>
          <w:rtl/>
        </w:rPr>
        <w:t>רושני</w:t>
      </w:r>
      <w:proofErr w:type="spellEnd"/>
      <w:r w:rsidR="00D6472D">
        <w:rPr>
          <w:rFonts w:cs="David" w:hint="cs"/>
          <w:sz w:val="24"/>
          <w:szCs w:val="24"/>
          <w:rtl/>
        </w:rPr>
        <w:t xml:space="preserve"> מקל מטאטא, ודחף אותו לעבר </w:t>
      </w:r>
      <w:r w:rsidR="00D6472D">
        <w:rPr>
          <w:rFonts w:cs="David" w:hint="cs"/>
          <w:sz w:val="24"/>
          <w:szCs w:val="24"/>
          <w:rtl/>
        </w:rPr>
        <w:lastRenderedPageBreak/>
        <w:t>ישבנו של נפגע העבירה מעל לבגדיו</w:t>
      </w:r>
      <w:r w:rsidR="00B47BA3">
        <w:rPr>
          <w:rFonts w:cs="David" w:hint="cs"/>
          <w:sz w:val="24"/>
          <w:szCs w:val="24"/>
          <w:rtl/>
        </w:rPr>
        <w:t xml:space="preserve">, </w:t>
      </w:r>
      <w:r w:rsidR="00826A44">
        <w:rPr>
          <w:rFonts w:cs="David" w:hint="cs"/>
          <w:sz w:val="24"/>
          <w:szCs w:val="24"/>
          <w:rtl/>
        </w:rPr>
        <w:t>ובהמשך אף שוחח עם נפגע העבירה וניסה להניא אותו מהגשת התלונה במצ"ח</w:t>
      </w:r>
      <w:r w:rsidR="00D6472D">
        <w:rPr>
          <w:rFonts w:cs="David" w:hint="cs"/>
          <w:sz w:val="24"/>
          <w:szCs w:val="24"/>
          <w:rtl/>
        </w:rPr>
        <w:t xml:space="preserve">. </w:t>
      </w:r>
      <w:r w:rsidR="00826A44">
        <w:rPr>
          <w:rFonts w:cs="David" w:hint="cs"/>
          <w:sz w:val="24"/>
          <w:szCs w:val="24"/>
          <w:rtl/>
        </w:rPr>
        <w:t>טענה ההגנה</w:t>
      </w:r>
      <w:r w:rsidR="00D6472D">
        <w:rPr>
          <w:rFonts w:cs="David" w:hint="cs"/>
          <w:sz w:val="24"/>
          <w:szCs w:val="24"/>
          <w:rtl/>
        </w:rPr>
        <w:t xml:space="preserve"> כי </w:t>
      </w:r>
      <w:r w:rsidR="00BB25AC">
        <w:rPr>
          <w:rFonts w:cs="David" w:hint="cs"/>
          <w:sz w:val="24"/>
          <w:szCs w:val="24"/>
          <w:rtl/>
        </w:rPr>
        <w:t>בעוד ששני האחרונים נשפטו בגין מעורבותם במעשי</w:t>
      </w:r>
      <w:r w:rsidR="00826A44">
        <w:rPr>
          <w:rFonts w:cs="David" w:hint="cs"/>
          <w:sz w:val="24"/>
          <w:szCs w:val="24"/>
          <w:rtl/>
        </w:rPr>
        <w:t>ה</w:t>
      </w:r>
      <w:r w:rsidR="00BB25AC">
        <w:rPr>
          <w:rFonts w:cs="David" w:hint="cs"/>
          <w:sz w:val="24"/>
          <w:szCs w:val="24"/>
          <w:rtl/>
        </w:rPr>
        <w:t>ם בדין משמעתי, ביחס למבקש הוחלט להגיש כתב אישום. עתירת המבקש מהתביעה הצבאית לקבל</w:t>
      </w:r>
      <w:r w:rsidR="006B5505">
        <w:rPr>
          <w:rFonts w:cs="David" w:hint="cs"/>
          <w:sz w:val="24"/>
          <w:szCs w:val="24"/>
          <w:rtl/>
        </w:rPr>
        <w:t xml:space="preserve">ת פרוטוקולי </w:t>
      </w:r>
      <w:r w:rsidR="00BB25AC">
        <w:rPr>
          <w:rFonts w:cs="David" w:hint="cs"/>
          <w:sz w:val="24"/>
          <w:szCs w:val="24"/>
          <w:rtl/>
        </w:rPr>
        <w:t xml:space="preserve">ההליכים המשמעתיים שנוהלו ביחס לשני המעורבים האחרים, נענתה, להשקפתו, באורח חלקי בלבד. הוטעם, כי הועברו לעיונו החלטת </w:t>
      </w:r>
      <w:proofErr w:type="spellStart"/>
      <w:r w:rsidR="00BB25AC">
        <w:rPr>
          <w:rFonts w:cs="David" w:hint="cs"/>
          <w:sz w:val="24"/>
          <w:szCs w:val="24"/>
          <w:rtl/>
        </w:rPr>
        <w:t>הקש"ב</w:t>
      </w:r>
      <w:proofErr w:type="spellEnd"/>
      <w:r w:rsidR="00BB25AC">
        <w:rPr>
          <w:rFonts w:cs="David" w:hint="cs"/>
          <w:sz w:val="24"/>
          <w:szCs w:val="24"/>
          <w:rtl/>
        </w:rPr>
        <w:t xml:space="preserve"> ופרוטוקול ההליך המשמעתי שנוהל בעניינו של סמ"ר </w:t>
      </w:r>
      <w:proofErr w:type="spellStart"/>
      <w:r w:rsidR="00BB25AC">
        <w:rPr>
          <w:rFonts w:cs="David" w:hint="cs"/>
          <w:sz w:val="24"/>
          <w:szCs w:val="24"/>
          <w:rtl/>
        </w:rPr>
        <w:t>אברמוב</w:t>
      </w:r>
      <w:proofErr w:type="spellEnd"/>
      <w:r w:rsidR="00BB25AC">
        <w:rPr>
          <w:rFonts w:cs="David" w:hint="cs"/>
          <w:sz w:val="24"/>
          <w:szCs w:val="24"/>
          <w:rtl/>
        </w:rPr>
        <w:t xml:space="preserve"> בלבד. בעניינו של סמ"ר רושני, נמסר לו מהתביעה, כי אין המדובר בחומר חקירה. </w:t>
      </w:r>
    </w:p>
    <w:p w14:paraId="703CBE7B" w14:textId="77777777" w:rsidR="00BB25AC" w:rsidRDefault="00BB25AC" w:rsidP="00BB25AC">
      <w:pPr>
        <w:pStyle w:val="ListParagraph"/>
        <w:spacing w:after="0" w:line="360" w:lineRule="auto"/>
        <w:ind w:left="714"/>
        <w:jc w:val="both"/>
        <w:rPr>
          <w:rFonts w:cs="David"/>
          <w:sz w:val="24"/>
          <w:szCs w:val="24"/>
          <w:rtl/>
        </w:rPr>
      </w:pPr>
      <w:r>
        <w:rPr>
          <w:rFonts w:cs="David" w:hint="cs"/>
          <w:sz w:val="24"/>
          <w:szCs w:val="24"/>
          <w:rtl/>
        </w:rPr>
        <w:t>עתירת ההגנה היא</w:t>
      </w:r>
      <w:r w:rsidR="006B5505">
        <w:rPr>
          <w:rFonts w:cs="David" w:hint="cs"/>
          <w:sz w:val="24"/>
          <w:szCs w:val="24"/>
          <w:rtl/>
        </w:rPr>
        <w:t>,</w:t>
      </w:r>
      <w:r>
        <w:rPr>
          <w:rFonts w:cs="David" w:hint="cs"/>
          <w:sz w:val="24"/>
          <w:szCs w:val="24"/>
          <w:rtl/>
        </w:rPr>
        <w:t xml:space="preserve"> אפוא</w:t>
      </w:r>
      <w:r w:rsidR="006B5505">
        <w:rPr>
          <w:rFonts w:cs="David" w:hint="cs"/>
          <w:sz w:val="24"/>
          <w:szCs w:val="24"/>
          <w:rtl/>
        </w:rPr>
        <w:t>,</w:t>
      </w:r>
      <w:r>
        <w:rPr>
          <w:rFonts w:cs="David" w:hint="cs"/>
          <w:sz w:val="24"/>
          <w:szCs w:val="24"/>
          <w:rtl/>
        </w:rPr>
        <w:t xml:space="preserve"> לקבל את </w:t>
      </w:r>
      <w:r w:rsidRPr="00BB25AC">
        <w:rPr>
          <w:rFonts w:cs="David" w:hint="cs"/>
          <w:b/>
          <w:bCs/>
          <w:sz w:val="24"/>
          <w:szCs w:val="24"/>
          <w:rtl/>
        </w:rPr>
        <w:t>פרוטוקול ההליך המשמעתי</w:t>
      </w:r>
      <w:r w:rsidRPr="00BB25AC">
        <w:rPr>
          <w:rFonts w:cs="David" w:hint="cs"/>
          <w:sz w:val="24"/>
          <w:szCs w:val="24"/>
          <w:rtl/>
        </w:rPr>
        <w:t xml:space="preserve"> בצירוף החלטת קצין השיפוט הבכיר בעניינו של </w:t>
      </w:r>
      <w:r w:rsidRPr="00BB25AC">
        <w:rPr>
          <w:rFonts w:cs="David" w:hint="cs"/>
          <w:b/>
          <w:bCs/>
          <w:sz w:val="24"/>
          <w:szCs w:val="24"/>
          <w:rtl/>
        </w:rPr>
        <w:t>סמ"ר רושני</w:t>
      </w:r>
      <w:r>
        <w:rPr>
          <w:rFonts w:cs="David" w:hint="cs"/>
          <w:sz w:val="24"/>
          <w:szCs w:val="24"/>
          <w:rtl/>
        </w:rPr>
        <w:t xml:space="preserve">. </w:t>
      </w:r>
    </w:p>
    <w:p w14:paraId="65646A65" w14:textId="77777777" w:rsidR="00BB25AC" w:rsidRPr="00BB25AC" w:rsidRDefault="006B5505" w:rsidP="00BB25AC">
      <w:pPr>
        <w:pStyle w:val="Heading1"/>
      </w:pPr>
      <w:r>
        <w:rPr>
          <w:rFonts w:hint="cs"/>
          <w:rtl/>
        </w:rPr>
        <w:t>עמדות הצדדים</w:t>
      </w:r>
      <w:r w:rsidR="00BB25AC">
        <w:rPr>
          <w:rFonts w:hint="cs"/>
          <w:rtl/>
        </w:rPr>
        <w:t xml:space="preserve"> </w:t>
      </w:r>
    </w:p>
    <w:p w14:paraId="58528C51" w14:textId="77777777" w:rsidR="003C6270" w:rsidRDefault="006B5505" w:rsidP="00CF187D">
      <w:pPr>
        <w:pStyle w:val="ListParagraph"/>
        <w:numPr>
          <w:ilvl w:val="0"/>
          <w:numId w:val="3"/>
        </w:numPr>
        <w:spacing w:after="0" w:line="360" w:lineRule="auto"/>
        <w:ind w:left="714" w:hanging="357"/>
        <w:jc w:val="both"/>
        <w:rPr>
          <w:rFonts w:cs="David"/>
          <w:sz w:val="24"/>
          <w:szCs w:val="24"/>
        </w:rPr>
      </w:pPr>
      <w:r>
        <w:rPr>
          <w:rFonts w:cs="David" w:hint="cs"/>
          <w:sz w:val="24"/>
          <w:szCs w:val="24"/>
          <w:rtl/>
        </w:rPr>
        <w:t xml:space="preserve">שלושה נימוקים </w:t>
      </w:r>
      <w:r w:rsidR="00CF187D">
        <w:rPr>
          <w:rFonts w:cs="David" w:hint="cs"/>
          <w:sz w:val="24"/>
          <w:szCs w:val="24"/>
          <w:rtl/>
        </w:rPr>
        <w:t>הציגה</w:t>
      </w:r>
      <w:r>
        <w:rPr>
          <w:rFonts w:cs="David" w:hint="cs"/>
          <w:sz w:val="24"/>
          <w:szCs w:val="24"/>
          <w:rtl/>
        </w:rPr>
        <w:t xml:space="preserve"> ההגנה </w:t>
      </w:r>
      <w:r w:rsidR="00CF187D">
        <w:rPr>
          <w:rFonts w:cs="David" w:hint="cs"/>
          <w:sz w:val="24"/>
          <w:szCs w:val="24"/>
          <w:rtl/>
        </w:rPr>
        <w:t>לכך ש</w:t>
      </w:r>
      <w:r>
        <w:rPr>
          <w:rFonts w:cs="David" w:hint="cs"/>
          <w:sz w:val="24"/>
          <w:szCs w:val="24"/>
          <w:rtl/>
        </w:rPr>
        <w:t xml:space="preserve">החומר המבוקש "נחוץ ואף הכרחי" להגנת המבקש. </w:t>
      </w:r>
      <w:r w:rsidRPr="00CF187D">
        <w:rPr>
          <w:rFonts w:cs="David" w:hint="cs"/>
          <w:b/>
          <w:bCs/>
          <w:sz w:val="24"/>
          <w:szCs w:val="24"/>
          <w:rtl/>
        </w:rPr>
        <w:t>האחד</w:t>
      </w:r>
      <w:r>
        <w:rPr>
          <w:rFonts w:cs="David" w:hint="cs"/>
          <w:sz w:val="24"/>
          <w:szCs w:val="24"/>
          <w:rtl/>
        </w:rPr>
        <w:t xml:space="preserve">, לצורך ביסוס טענת הגנה מן הצדק שטעמיה </w:t>
      </w:r>
      <w:r w:rsidRPr="00CF187D">
        <w:rPr>
          <w:rFonts w:cs="David" w:hint="cs"/>
          <w:b/>
          <w:bCs/>
          <w:sz w:val="24"/>
          <w:szCs w:val="24"/>
          <w:rtl/>
        </w:rPr>
        <w:t>אכיפה בררנית</w:t>
      </w:r>
      <w:r>
        <w:rPr>
          <w:rFonts w:cs="David" w:hint="cs"/>
          <w:sz w:val="24"/>
          <w:szCs w:val="24"/>
          <w:rtl/>
        </w:rPr>
        <w:t xml:space="preserve">; השני, </w:t>
      </w:r>
      <w:r w:rsidRPr="006B5505">
        <w:rPr>
          <w:rFonts w:cs="David" w:hint="cs"/>
          <w:b/>
          <w:bCs/>
          <w:sz w:val="24"/>
          <w:szCs w:val="24"/>
          <w:rtl/>
        </w:rPr>
        <w:t>ייתכן</w:t>
      </w:r>
      <w:r>
        <w:rPr>
          <w:rFonts w:cs="David" w:hint="cs"/>
          <w:sz w:val="24"/>
          <w:szCs w:val="24"/>
          <w:rtl/>
        </w:rPr>
        <w:t xml:space="preserve"> שבטיעונים שהעלה סמ"ר רושני במסגרת ההליך המשמעתי תהיה תועלת להגנת המבקש; </w:t>
      </w:r>
      <w:r w:rsidRPr="00CF187D">
        <w:rPr>
          <w:rFonts w:cs="David" w:hint="cs"/>
          <w:b/>
          <w:bCs/>
          <w:sz w:val="24"/>
          <w:szCs w:val="24"/>
          <w:rtl/>
        </w:rPr>
        <w:t>השלישי</w:t>
      </w:r>
      <w:r>
        <w:rPr>
          <w:rFonts w:cs="David" w:hint="cs"/>
          <w:sz w:val="24"/>
          <w:szCs w:val="24"/>
          <w:rtl/>
        </w:rPr>
        <w:t xml:space="preserve">, החומר נחוץ לצורך הצגת "התמונה המלאה" בפני </w:t>
      </w:r>
      <w:proofErr w:type="spellStart"/>
      <w:r>
        <w:rPr>
          <w:rFonts w:cs="David" w:hint="cs"/>
          <w:sz w:val="24"/>
          <w:szCs w:val="24"/>
          <w:rtl/>
        </w:rPr>
        <w:t>התצ"ר</w:t>
      </w:r>
      <w:proofErr w:type="spellEnd"/>
      <w:r>
        <w:rPr>
          <w:rFonts w:cs="David" w:hint="cs"/>
          <w:sz w:val="24"/>
          <w:szCs w:val="24"/>
          <w:rtl/>
        </w:rPr>
        <w:t xml:space="preserve"> במסגרת </w:t>
      </w:r>
      <w:r w:rsidRPr="00CF187D">
        <w:rPr>
          <w:rFonts w:cs="David" w:hint="cs"/>
          <w:b/>
          <w:bCs/>
          <w:sz w:val="24"/>
          <w:szCs w:val="24"/>
          <w:rtl/>
        </w:rPr>
        <w:t>השגה</w:t>
      </w:r>
      <w:r>
        <w:rPr>
          <w:rFonts w:cs="David" w:hint="cs"/>
          <w:sz w:val="24"/>
          <w:szCs w:val="24"/>
          <w:rtl/>
        </w:rPr>
        <w:t xml:space="preserve"> שמבקשת ההגנה להגיש על דחיית בקשתה לביטול כתב האישום. </w:t>
      </w:r>
    </w:p>
    <w:p w14:paraId="71DDE148" w14:textId="77777777" w:rsidR="008A6013" w:rsidRDefault="003C6270" w:rsidP="00703A84">
      <w:pPr>
        <w:pStyle w:val="ListParagraph"/>
        <w:numPr>
          <w:ilvl w:val="0"/>
          <w:numId w:val="3"/>
        </w:numPr>
        <w:spacing w:after="0" w:line="360" w:lineRule="auto"/>
        <w:ind w:left="714"/>
        <w:jc w:val="both"/>
        <w:rPr>
          <w:rFonts w:cs="David"/>
          <w:sz w:val="24"/>
          <w:szCs w:val="24"/>
        </w:rPr>
      </w:pPr>
      <w:r w:rsidRPr="007B0E62">
        <w:rPr>
          <w:rFonts w:cs="David" w:hint="cs"/>
          <w:sz w:val="24"/>
          <w:szCs w:val="24"/>
          <w:rtl/>
        </w:rPr>
        <w:t>עמדת התביעה הצבאית</w:t>
      </w:r>
      <w:r w:rsidR="007B0E62" w:rsidRPr="007B0E62">
        <w:rPr>
          <w:rFonts w:cs="David" w:hint="cs"/>
          <w:sz w:val="24"/>
          <w:szCs w:val="24"/>
          <w:rtl/>
        </w:rPr>
        <w:t>,</w:t>
      </w:r>
      <w:r w:rsidR="00DF28D6">
        <w:rPr>
          <w:rFonts w:cs="David" w:hint="cs"/>
          <w:sz w:val="24"/>
          <w:szCs w:val="24"/>
          <w:rtl/>
        </w:rPr>
        <w:t xml:space="preserve"> </w:t>
      </w:r>
      <w:r w:rsidR="008B1BD9">
        <w:rPr>
          <w:rFonts w:cs="David" w:hint="cs"/>
          <w:sz w:val="24"/>
          <w:szCs w:val="24"/>
          <w:rtl/>
        </w:rPr>
        <w:t xml:space="preserve">היא </w:t>
      </w:r>
      <w:r w:rsidR="00703A84">
        <w:rPr>
          <w:rFonts w:cs="David" w:hint="cs"/>
          <w:sz w:val="24"/>
          <w:szCs w:val="24"/>
          <w:rtl/>
        </w:rPr>
        <w:t>שאין מדובר ב</w:t>
      </w:r>
      <w:r w:rsidR="008B1BD9">
        <w:rPr>
          <w:rFonts w:cs="David" w:hint="cs"/>
          <w:sz w:val="24"/>
          <w:szCs w:val="24"/>
          <w:rtl/>
        </w:rPr>
        <w:t xml:space="preserve">חומר חקירה, שכן האירועים שבגינם הועמד סמ"ר רושני לדין משמעתי </w:t>
      </w:r>
      <w:r w:rsidR="008B1BD9" w:rsidRPr="008B1BD9">
        <w:rPr>
          <w:rFonts w:cs="David" w:hint="cs"/>
          <w:b/>
          <w:bCs/>
          <w:sz w:val="24"/>
          <w:szCs w:val="24"/>
          <w:rtl/>
        </w:rPr>
        <w:t>מנותקים עובדתית</w:t>
      </w:r>
      <w:r w:rsidR="008B1BD9">
        <w:rPr>
          <w:rFonts w:cs="David" w:hint="cs"/>
          <w:sz w:val="24"/>
          <w:szCs w:val="24"/>
          <w:rtl/>
        </w:rPr>
        <w:t xml:space="preserve"> מאלה המיוחסים למבקש בכתב האישום. נטען, כי </w:t>
      </w:r>
      <w:r w:rsidR="00703A84">
        <w:rPr>
          <w:rFonts w:cs="David" w:hint="cs"/>
          <w:sz w:val="24"/>
          <w:szCs w:val="24"/>
          <w:rtl/>
        </w:rPr>
        <w:t>לרשות הסנגור הועמדו</w:t>
      </w:r>
      <w:r w:rsidR="008B1BD9">
        <w:rPr>
          <w:rFonts w:cs="David" w:hint="cs"/>
          <w:sz w:val="24"/>
          <w:szCs w:val="24"/>
          <w:rtl/>
        </w:rPr>
        <w:t xml:space="preserve"> </w:t>
      </w:r>
      <w:r w:rsidR="00703A84">
        <w:rPr>
          <w:rFonts w:cs="David" w:hint="cs"/>
          <w:sz w:val="24"/>
          <w:szCs w:val="24"/>
          <w:rtl/>
        </w:rPr>
        <w:t>כלל חומרי</w:t>
      </w:r>
      <w:r w:rsidR="008B1BD9">
        <w:rPr>
          <w:rFonts w:cs="David" w:hint="cs"/>
          <w:sz w:val="24"/>
          <w:szCs w:val="24"/>
          <w:rtl/>
        </w:rPr>
        <w:t xml:space="preserve"> החקירה </w:t>
      </w:r>
      <w:r w:rsidR="00703A84">
        <w:rPr>
          <w:rFonts w:cs="David" w:hint="cs"/>
          <w:sz w:val="24"/>
          <w:szCs w:val="24"/>
          <w:rtl/>
        </w:rPr>
        <w:t>ב</w:t>
      </w:r>
      <w:r w:rsidR="008B1BD9">
        <w:rPr>
          <w:rFonts w:cs="David" w:hint="cs"/>
          <w:sz w:val="24"/>
          <w:szCs w:val="24"/>
          <w:rtl/>
        </w:rPr>
        <w:t>נוגע לסמ"ר רושני</w:t>
      </w:r>
      <w:r w:rsidR="00703A84">
        <w:rPr>
          <w:rFonts w:cs="David" w:hint="cs"/>
          <w:sz w:val="24"/>
          <w:szCs w:val="24"/>
          <w:rtl/>
        </w:rPr>
        <w:t>;</w:t>
      </w:r>
      <w:r w:rsidR="008B1BD9">
        <w:rPr>
          <w:rFonts w:cs="David" w:hint="cs"/>
          <w:sz w:val="24"/>
          <w:szCs w:val="24"/>
          <w:rtl/>
        </w:rPr>
        <w:t xml:space="preserve"> וכי, לפנים משורת הדין, הועברו גם נתונים בנוגע להליך המשמעתי</w:t>
      </w:r>
      <w:r w:rsidR="00703A84">
        <w:rPr>
          <w:rFonts w:cs="David" w:hint="cs"/>
          <w:sz w:val="24"/>
          <w:szCs w:val="24"/>
          <w:rtl/>
        </w:rPr>
        <w:t xml:space="preserve">, וכי </w:t>
      </w:r>
      <w:r w:rsidR="008B1BD9">
        <w:rPr>
          <w:rFonts w:cs="David" w:hint="cs"/>
          <w:sz w:val="24"/>
          <w:szCs w:val="24"/>
          <w:rtl/>
        </w:rPr>
        <w:t xml:space="preserve">אלה במקובץ </w:t>
      </w:r>
      <w:r w:rsidR="00703A84">
        <w:rPr>
          <w:rFonts w:cs="David" w:hint="cs"/>
          <w:sz w:val="24"/>
          <w:szCs w:val="24"/>
          <w:rtl/>
        </w:rPr>
        <w:t>מכילים</w:t>
      </w:r>
      <w:r w:rsidR="008B1BD9">
        <w:rPr>
          <w:rFonts w:cs="David" w:hint="cs"/>
          <w:sz w:val="24"/>
          <w:szCs w:val="24"/>
          <w:rtl/>
        </w:rPr>
        <w:t xml:space="preserve"> את </w:t>
      </w:r>
      <w:r w:rsidR="00703A84">
        <w:rPr>
          <w:rFonts w:cs="David" w:hint="cs"/>
          <w:sz w:val="24"/>
          <w:szCs w:val="24"/>
          <w:rtl/>
        </w:rPr>
        <w:t>כל</w:t>
      </w:r>
      <w:r w:rsidR="008B1BD9">
        <w:rPr>
          <w:rFonts w:cs="David" w:hint="cs"/>
          <w:sz w:val="24"/>
          <w:szCs w:val="24"/>
          <w:rtl/>
        </w:rPr>
        <w:t xml:space="preserve"> המידע הרלוונטי </w:t>
      </w:r>
      <w:r w:rsidR="00703A84">
        <w:rPr>
          <w:rFonts w:cs="David" w:hint="cs"/>
          <w:sz w:val="24"/>
          <w:szCs w:val="24"/>
          <w:rtl/>
        </w:rPr>
        <w:t>ל</w:t>
      </w:r>
      <w:r w:rsidR="008B1BD9">
        <w:rPr>
          <w:rFonts w:cs="David" w:hint="cs"/>
          <w:sz w:val="24"/>
          <w:szCs w:val="24"/>
          <w:rtl/>
        </w:rPr>
        <w:t>העלאת טענת אכיפה בררנית. בהתייחס לנימוק השלישי, נטען כי אין הצדקה לבקשת חומר חקירה בהליך הפלילי</w:t>
      </w:r>
      <w:r w:rsidR="00703A84">
        <w:rPr>
          <w:rFonts w:cs="David" w:hint="cs"/>
          <w:sz w:val="24"/>
          <w:szCs w:val="24"/>
          <w:rtl/>
        </w:rPr>
        <w:t xml:space="preserve">, שיש </w:t>
      </w:r>
      <w:r w:rsidR="008B1BD9">
        <w:rPr>
          <w:rFonts w:cs="David" w:hint="cs"/>
          <w:sz w:val="24"/>
          <w:szCs w:val="24"/>
          <w:rtl/>
        </w:rPr>
        <w:t>כוונ</w:t>
      </w:r>
      <w:r w:rsidR="00703A84">
        <w:rPr>
          <w:rFonts w:cs="David" w:hint="cs"/>
          <w:sz w:val="24"/>
          <w:szCs w:val="24"/>
          <w:rtl/>
        </w:rPr>
        <w:t>ה</w:t>
      </w:r>
      <w:r w:rsidR="008B1BD9">
        <w:rPr>
          <w:rFonts w:cs="David" w:hint="cs"/>
          <w:sz w:val="24"/>
          <w:szCs w:val="24"/>
          <w:rtl/>
        </w:rPr>
        <w:t xml:space="preserve"> לעשות ב</w:t>
      </w:r>
      <w:r w:rsidR="00703A84">
        <w:rPr>
          <w:rFonts w:cs="David" w:hint="cs"/>
          <w:sz w:val="24"/>
          <w:szCs w:val="24"/>
          <w:rtl/>
        </w:rPr>
        <w:t>ו</w:t>
      </w:r>
      <w:r w:rsidR="008B1BD9">
        <w:rPr>
          <w:rFonts w:cs="David" w:hint="cs"/>
          <w:sz w:val="24"/>
          <w:szCs w:val="24"/>
          <w:rtl/>
        </w:rPr>
        <w:t xml:space="preserve"> שימוש באפיק המנהלי.</w:t>
      </w:r>
    </w:p>
    <w:p w14:paraId="68186989" w14:textId="77777777" w:rsidR="007B0E62" w:rsidRDefault="007B0E62" w:rsidP="00915390">
      <w:pPr>
        <w:spacing w:after="0" w:line="360" w:lineRule="auto"/>
        <w:ind w:firstLine="357"/>
        <w:rPr>
          <w:rFonts w:cs="David"/>
          <w:b/>
          <w:bCs/>
          <w:sz w:val="24"/>
          <w:szCs w:val="24"/>
          <w:u w:val="single"/>
          <w:rtl/>
        </w:rPr>
      </w:pPr>
    </w:p>
    <w:p w14:paraId="0B9599A5" w14:textId="77777777" w:rsidR="00915390" w:rsidRPr="00703A84" w:rsidRDefault="00703A84" w:rsidP="007B0E62">
      <w:pPr>
        <w:spacing w:after="0" w:line="360" w:lineRule="auto"/>
        <w:ind w:firstLine="357"/>
        <w:rPr>
          <w:rFonts w:cs="David"/>
          <w:sz w:val="24"/>
          <w:szCs w:val="24"/>
          <w:u w:val="single"/>
          <w:rtl/>
        </w:rPr>
      </w:pPr>
      <w:r>
        <w:rPr>
          <w:rFonts w:cs="David" w:hint="cs"/>
          <w:sz w:val="24"/>
          <w:szCs w:val="24"/>
          <w:u w:val="single"/>
          <w:rtl/>
        </w:rPr>
        <w:t>דיון והכרעה</w:t>
      </w:r>
    </w:p>
    <w:p w14:paraId="0533FF80" w14:textId="77777777" w:rsidR="00B85666" w:rsidRDefault="006F5688" w:rsidP="00CF187D">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בקשת ההגנה לקבלת פרוטוקול הדין המשמעתי בצירוף החלטת קצין השיפוט במסגרת אותו הליך שנוהל כלפי סמ"ר רושני, מבוססת בעיקרה, על </w:t>
      </w:r>
      <w:r w:rsidR="00CF187D">
        <w:rPr>
          <w:rFonts w:ascii="David" w:eastAsia="Times New Roman" w:hAnsi="David" w:cs="David" w:hint="cs"/>
          <w:color w:val="222222"/>
          <w:sz w:val="24"/>
          <w:szCs w:val="24"/>
          <w:rtl/>
        </w:rPr>
        <w:t>כוונתה</w:t>
      </w:r>
      <w:r>
        <w:rPr>
          <w:rFonts w:ascii="David" w:eastAsia="Times New Roman" w:hAnsi="David" w:cs="David" w:hint="cs"/>
          <w:color w:val="222222"/>
          <w:sz w:val="24"/>
          <w:szCs w:val="24"/>
          <w:rtl/>
        </w:rPr>
        <w:t xml:space="preserve"> להעלות טענה של אכיפה בררנית, במסגרת טענה מקדמית של הגנה מן הצדק (</w:t>
      </w:r>
      <w:r w:rsidRPr="00327F0E">
        <w:rPr>
          <w:rFonts w:ascii="David" w:eastAsia="Times New Roman" w:hAnsi="David" w:cs="David" w:hint="cs"/>
          <w:color w:val="222222"/>
          <w:sz w:val="24"/>
          <w:szCs w:val="24"/>
          <w:rtl/>
        </w:rPr>
        <w:t>סעיף 351(ב)(6) לחוק השיפוט הצבאי</w:t>
      </w:r>
      <w:r>
        <w:rPr>
          <w:rFonts w:ascii="David" w:eastAsia="Times New Roman" w:hAnsi="David" w:cs="David" w:hint="cs"/>
          <w:color w:val="222222"/>
          <w:sz w:val="24"/>
          <w:szCs w:val="24"/>
          <w:rtl/>
        </w:rPr>
        <w:t xml:space="preserve">) בפתח ההליך </w:t>
      </w:r>
      <w:r w:rsidRPr="006F5688">
        <w:rPr>
          <w:rFonts w:ascii="David" w:eastAsia="Times New Roman" w:hAnsi="David" w:cs="David" w:hint="cs"/>
          <w:b/>
          <w:bCs/>
          <w:color w:val="222222"/>
          <w:sz w:val="24"/>
          <w:szCs w:val="24"/>
          <w:rtl/>
        </w:rPr>
        <w:t>הפלילי</w:t>
      </w:r>
      <w:r w:rsidR="00CF187D">
        <w:rPr>
          <w:rFonts w:ascii="David" w:eastAsia="Times New Roman" w:hAnsi="David" w:cs="David" w:hint="cs"/>
          <w:b/>
          <w:bCs/>
          <w:color w:val="222222"/>
          <w:sz w:val="24"/>
          <w:szCs w:val="24"/>
          <w:rtl/>
        </w:rPr>
        <w:t xml:space="preserve"> </w:t>
      </w:r>
      <w:r w:rsidR="00CF187D" w:rsidRPr="00CF187D">
        <w:rPr>
          <w:rFonts w:ascii="David" w:eastAsia="Times New Roman" w:hAnsi="David" w:cs="David" w:hint="cs"/>
          <w:color w:val="222222"/>
          <w:sz w:val="24"/>
          <w:szCs w:val="24"/>
          <w:rtl/>
        </w:rPr>
        <w:t xml:space="preserve">ובמסגרת השגה </w:t>
      </w:r>
      <w:r w:rsidR="00CF187D">
        <w:rPr>
          <w:rFonts w:ascii="David" w:eastAsia="Times New Roman" w:hAnsi="David" w:cs="David" w:hint="cs"/>
          <w:color w:val="222222"/>
          <w:sz w:val="24"/>
          <w:szCs w:val="24"/>
          <w:rtl/>
        </w:rPr>
        <w:t xml:space="preserve">על דחיית בקשת ביטול כתב האישום </w:t>
      </w:r>
      <w:r w:rsidR="00CF187D" w:rsidRPr="00CF187D">
        <w:rPr>
          <w:rFonts w:ascii="David" w:eastAsia="Times New Roman" w:hAnsi="David" w:cs="David" w:hint="cs"/>
          <w:color w:val="222222"/>
          <w:sz w:val="24"/>
          <w:szCs w:val="24"/>
          <w:rtl/>
        </w:rPr>
        <w:t>ב</w:t>
      </w:r>
      <w:r w:rsidR="00CF187D">
        <w:rPr>
          <w:rFonts w:ascii="David" w:eastAsia="Times New Roman" w:hAnsi="David" w:cs="David" w:hint="cs"/>
          <w:color w:val="222222"/>
          <w:sz w:val="24"/>
          <w:szCs w:val="24"/>
          <w:rtl/>
        </w:rPr>
        <w:t>אפיק המנהלי</w:t>
      </w:r>
      <w:r w:rsidRPr="00CF187D">
        <w:rPr>
          <w:rFonts w:ascii="David" w:eastAsia="Times New Roman" w:hAnsi="David" w:cs="David" w:hint="cs"/>
          <w:color w:val="222222"/>
          <w:sz w:val="24"/>
          <w:szCs w:val="24"/>
          <w:rtl/>
        </w:rPr>
        <w:t>.</w:t>
      </w:r>
      <w:r w:rsidR="00F95F80">
        <w:rPr>
          <w:rFonts w:ascii="David" w:eastAsia="Times New Roman" w:hAnsi="David" w:cs="David" w:hint="cs"/>
          <w:color w:val="222222"/>
          <w:sz w:val="24"/>
          <w:szCs w:val="24"/>
          <w:rtl/>
        </w:rPr>
        <w:t xml:space="preserve"> </w:t>
      </w:r>
    </w:p>
    <w:p w14:paraId="36DD7996" w14:textId="77777777" w:rsidR="006F5688" w:rsidRDefault="003E37E7" w:rsidP="00CF187D">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כעולה מבקשת ההגנה, </w:t>
      </w:r>
      <w:r w:rsidR="006F5688">
        <w:rPr>
          <w:rFonts w:ascii="David" w:eastAsia="Times New Roman" w:hAnsi="David" w:cs="David" w:hint="cs"/>
          <w:color w:val="222222"/>
          <w:sz w:val="24"/>
          <w:szCs w:val="24"/>
          <w:rtl/>
        </w:rPr>
        <w:t xml:space="preserve">מדובר בטענת אכיפה בררנית </w:t>
      </w:r>
      <w:r w:rsidR="00B85666" w:rsidRPr="00CF187D">
        <w:rPr>
          <w:rFonts w:ascii="David" w:eastAsia="Times New Roman" w:hAnsi="David" w:cs="David" w:hint="cs"/>
          <w:b/>
          <w:bCs/>
          <w:color w:val="222222"/>
          <w:sz w:val="24"/>
          <w:szCs w:val="24"/>
          <w:rtl/>
        </w:rPr>
        <w:t>קונקרטית</w:t>
      </w:r>
      <w:r w:rsidR="00B85666">
        <w:rPr>
          <w:rFonts w:ascii="David" w:eastAsia="Times New Roman" w:hAnsi="David" w:cs="David" w:hint="cs"/>
          <w:b/>
          <w:bCs/>
          <w:color w:val="222222"/>
          <w:sz w:val="24"/>
          <w:szCs w:val="24"/>
          <w:rtl/>
        </w:rPr>
        <w:t xml:space="preserve"> </w:t>
      </w:r>
      <w:r w:rsidR="00B85666">
        <w:rPr>
          <w:rFonts w:ascii="David" w:eastAsia="Times New Roman" w:hAnsi="David" w:cs="David" w:hint="cs"/>
          <w:color w:val="222222"/>
          <w:sz w:val="24"/>
          <w:szCs w:val="24"/>
          <w:rtl/>
        </w:rPr>
        <w:t>הנוגעת</w:t>
      </w:r>
      <w:r w:rsidR="00B85666">
        <w:rPr>
          <w:rFonts w:ascii="David" w:eastAsia="Times New Roman" w:hAnsi="David" w:cs="David" w:hint="cs"/>
          <w:b/>
          <w:bCs/>
          <w:color w:val="222222"/>
          <w:sz w:val="24"/>
          <w:szCs w:val="24"/>
          <w:rtl/>
        </w:rPr>
        <w:t xml:space="preserve"> להחלטת הרשות להעמיד לדין</w:t>
      </w:r>
      <w:r w:rsidR="003D2F10">
        <w:rPr>
          <w:rFonts w:ascii="David" w:eastAsia="Times New Roman" w:hAnsi="David" w:cs="David" w:hint="cs"/>
          <w:color w:val="222222"/>
          <w:sz w:val="24"/>
          <w:szCs w:val="24"/>
          <w:rtl/>
        </w:rPr>
        <w:t>,</w:t>
      </w:r>
      <w:r w:rsidR="006F5688">
        <w:rPr>
          <w:rFonts w:ascii="David" w:eastAsia="Times New Roman" w:hAnsi="David" w:cs="David" w:hint="cs"/>
          <w:color w:val="222222"/>
          <w:sz w:val="24"/>
          <w:szCs w:val="24"/>
          <w:rtl/>
        </w:rPr>
        <w:t xml:space="preserve"> </w:t>
      </w:r>
      <w:r w:rsidR="00B85666">
        <w:rPr>
          <w:rFonts w:ascii="David" w:eastAsia="Times New Roman" w:hAnsi="David" w:cs="David" w:hint="cs"/>
          <w:color w:val="222222"/>
          <w:sz w:val="24"/>
          <w:szCs w:val="24"/>
          <w:rtl/>
        </w:rPr>
        <w:t xml:space="preserve">המבוססת על טענה של </w:t>
      </w:r>
      <w:r w:rsidR="006F5688">
        <w:rPr>
          <w:rFonts w:ascii="David" w:eastAsia="Times New Roman" w:hAnsi="David" w:cs="David" w:hint="cs"/>
          <w:color w:val="222222"/>
          <w:sz w:val="24"/>
          <w:szCs w:val="24"/>
          <w:rtl/>
        </w:rPr>
        <w:t>נקיטת יחס שונה</w:t>
      </w:r>
      <w:r w:rsidR="00CF187D">
        <w:rPr>
          <w:rFonts w:ascii="David" w:eastAsia="Times New Roman" w:hAnsi="David" w:cs="David" w:hint="cs"/>
          <w:color w:val="222222"/>
          <w:sz w:val="24"/>
          <w:szCs w:val="24"/>
          <w:rtl/>
        </w:rPr>
        <w:t>,</w:t>
      </w:r>
      <w:r w:rsidR="006F5688">
        <w:rPr>
          <w:rFonts w:ascii="David" w:eastAsia="Times New Roman" w:hAnsi="David" w:cs="David" w:hint="cs"/>
          <w:color w:val="222222"/>
          <w:sz w:val="24"/>
          <w:szCs w:val="24"/>
          <w:rtl/>
        </w:rPr>
        <w:t xml:space="preserve"> </w:t>
      </w:r>
      <w:r w:rsidR="00B85666">
        <w:rPr>
          <w:rFonts w:ascii="David" w:eastAsia="Times New Roman" w:hAnsi="David" w:cs="David" w:hint="cs"/>
          <w:color w:val="222222"/>
          <w:sz w:val="24"/>
          <w:szCs w:val="24"/>
          <w:rtl/>
        </w:rPr>
        <w:t>לכאורה</w:t>
      </w:r>
      <w:r w:rsidR="00CF187D">
        <w:rPr>
          <w:rFonts w:ascii="David" w:eastAsia="Times New Roman" w:hAnsi="David" w:cs="David" w:hint="cs"/>
          <w:color w:val="222222"/>
          <w:sz w:val="24"/>
          <w:szCs w:val="24"/>
          <w:rtl/>
        </w:rPr>
        <w:t>,</w:t>
      </w:r>
      <w:r w:rsidR="00B85666">
        <w:rPr>
          <w:rFonts w:ascii="David" w:eastAsia="Times New Roman" w:hAnsi="David" w:cs="David" w:hint="cs"/>
          <w:color w:val="222222"/>
          <w:sz w:val="24"/>
          <w:szCs w:val="24"/>
          <w:rtl/>
        </w:rPr>
        <w:t xml:space="preserve"> </w:t>
      </w:r>
      <w:r w:rsidR="006F5688">
        <w:rPr>
          <w:rFonts w:ascii="David" w:eastAsia="Times New Roman" w:hAnsi="David" w:cs="David" w:hint="cs"/>
          <w:color w:val="222222"/>
          <w:sz w:val="24"/>
          <w:szCs w:val="24"/>
          <w:rtl/>
        </w:rPr>
        <w:t xml:space="preserve">של הרשות כלפי מעורבים </w:t>
      </w:r>
      <w:r w:rsidR="00B85666">
        <w:rPr>
          <w:rFonts w:ascii="David" w:eastAsia="Times New Roman" w:hAnsi="David" w:cs="David" w:hint="cs"/>
          <w:color w:val="222222"/>
          <w:sz w:val="24"/>
          <w:szCs w:val="24"/>
          <w:rtl/>
        </w:rPr>
        <w:t xml:space="preserve">באותה פרשה (לסוגי אכיפה בררנית ראו </w:t>
      </w:r>
      <w:proofErr w:type="spellStart"/>
      <w:r w:rsidR="00B85666" w:rsidRPr="00B85666">
        <w:rPr>
          <w:rFonts w:ascii="David" w:eastAsia="Times New Roman" w:hAnsi="David" w:cs="David" w:hint="cs"/>
          <w:color w:val="222222"/>
          <w:sz w:val="24"/>
          <w:szCs w:val="24"/>
          <w:rtl/>
        </w:rPr>
        <w:t>בש</w:t>
      </w:r>
      <w:r w:rsidR="00B85666" w:rsidRPr="00B85666">
        <w:rPr>
          <w:rFonts w:ascii="David" w:eastAsia="Times New Roman" w:hAnsi="David" w:cs="David"/>
          <w:color w:val="222222"/>
          <w:sz w:val="24"/>
          <w:szCs w:val="24"/>
          <w:rtl/>
        </w:rPr>
        <w:t>"</w:t>
      </w:r>
      <w:r w:rsidR="00B85666" w:rsidRPr="00B85666">
        <w:rPr>
          <w:rFonts w:ascii="David" w:eastAsia="Times New Roman" w:hAnsi="David" w:cs="David" w:hint="cs"/>
          <w:color w:val="222222"/>
          <w:sz w:val="24"/>
          <w:szCs w:val="24"/>
          <w:rtl/>
        </w:rPr>
        <w:t>פ</w:t>
      </w:r>
      <w:proofErr w:type="spellEnd"/>
      <w:r w:rsidR="00B85666" w:rsidRPr="00B85666">
        <w:rPr>
          <w:rFonts w:ascii="David" w:eastAsia="Times New Roman" w:hAnsi="David" w:cs="David"/>
          <w:color w:val="222222"/>
          <w:sz w:val="24"/>
          <w:szCs w:val="24"/>
          <w:rtl/>
        </w:rPr>
        <w:t xml:space="preserve"> 7148/12 </w:t>
      </w:r>
      <w:proofErr w:type="spellStart"/>
      <w:r w:rsidR="00B85666" w:rsidRPr="00B85666">
        <w:rPr>
          <w:rFonts w:ascii="David" w:eastAsia="Times New Roman" w:hAnsi="David" w:cs="David" w:hint="cs"/>
          <w:b/>
          <w:bCs/>
          <w:color w:val="222222"/>
          <w:sz w:val="24"/>
          <w:szCs w:val="24"/>
          <w:rtl/>
        </w:rPr>
        <w:t>כנאנה</w:t>
      </w:r>
      <w:proofErr w:type="spellEnd"/>
      <w:r w:rsidR="00B85666" w:rsidRPr="00B85666">
        <w:rPr>
          <w:rFonts w:ascii="David" w:eastAsia="Times New Roman" w:hAnsi="David" w:cs="David"/>
          <w:b/>
          <w:bCs/>
          <w:color w:val="222222"/>
          <w:sz w:val="24"/>
          <w:szCs w:val="24"/>
          <w:rtl/>
        </w:rPr>
        <w:t xml:space="preserve"> </w:t>
      </w:r>
      <w:r w:rsidR="00B85666" w:rsidRPr="00B85666">
        <w:rPr>
          <w:rFonts w:ascii="David" w:eastAsia="Times New Roman" w:hAnsi="David" w:cs="David" w:hint="cs"/>
          <w:b/>
          <w:bCs/>
          <w:color w:val="222222"/>
          <w:sz w:val="24"/>
          <w:szCs w:val="24"/>
          <w:rtl/>
        </w:rPr>
        <w:t>נ</w:t>
      </w:r>
      <w:r w:rsidR="00B85666" w:rsidRPr="00B85666">
        <w:rPr>
          <w:rFonts w:ascii="David" w:eastAsia="Times New Roman" w:hAnsi="David" w:cs="David"/>
          <w:b/>
          <w:bCs/>
          <w:color w:val="222222"/>
          <w:sz w:val="24"/>
          <w:szCs w:val="24"/>
          <w:rtl/>
        </w:rPr>
        <w:t xml:space="preserve">' </w:t>
      </w:r>
      <w:r w:rsidR="00B85666" w:rsidRPr="00B85666">
        <w:rPr>
          <w:rFonts w:ascii="David" w:eastAsia="Times New Roman" w:hAnsi="David" w:cs="David" w:hint="cs"/>
          <w:b/>
          <w:bCs/>
          <w:color w:val="222222"/>
          <w:sz w:val="24"/>
          <w:szCs w:val="24"/>
          <w:rtl/>
        </w:rPr>
        <w:t>מדינת</w:t>
      </w:r>
      <w:r w:rsidR="00B85666" w:rsidRPr="00B85666">
        <w:rPr>
          <w:rFonts w:ascii="David" w:eastAsia="Times New Roman" w:hAnsi="David" w:cs="David"/>
          <w:b/>
          <w:bCs/>
          <w:color w:val="222222"/>
          <w:sz w:val="24"/>
          <w:szCs w:val="24"/>
          <w:rtl/>
        </w:rPr>
        <w:t xml:space="preserve"> </w:t>
      </w:r>
      <w:r w:rsidR="00B85666" w:rsidRPr="00B85666">
        <w:rPr>
          <w:rFonts w:ascii="David" w:eastAsia="Times New Roman" w:hAnsi="David" w:cs="David" w:hint="cs"/>
          <w:b/>
          <w:bCs/>
          <w:color w:val="222222"/>
          <w:sz w:val="24"/>
          <w:szCs w:val="24"/>
          <w:rtl/>
        </w:rPr>
        <w:t>ישראל</w:t>
      </w:r>
      <w:r w:rsidR="00B85666">
        <w:rPr>
          <w:rFonts w:ascii="David" w:eastAsia="Times New Roman" w:hAnsi="David" w:cs="David" w:hint="cs"/>
          <w:color w:val="222222"/>
          <w:sz w:val="24"/>
          <w:szCs w:val="24"/>
          <w:rtl/>
        </w:rPr>
        <w:t>, בפס'       13-11</w:t>
      </w:r>
      <w:r w:rsidR="00B85666" w:rsidRPr="00B85666">
        <w:rPr>
          <w:rFonts w:ascii="David" w:eastAsia="Times New Roman" w:hAnsi="David" w:cs="David"/>
          <w:color w:val="222222"/>
          <w:sz w:val="24"/>
          <w:szCs w:val="24"/>
          <w:rtl/>
        </w:rPr>
        <w:t xml:space="preserve"> </w:t>
      </w:r>
      <w:r w:rsidR="00B85666">
        <w:rPr>
          <w:rFonts w:ascii="David" w:eastAsia="Times New Roman" w:hAnsi="David" w:cs="David" w:hint="cs"/>
          <w:color w:val="222222"/>
          <w:sz w:val="24"/>
          <w:szCs w:val="24"/>
          <w:rtl/>
        </w:rPr>
        <w:t xml:space="preserve">(14.10.2012)). לטענת ההגנה, המבקש וסמ"ר רושני </w:t>
      </w:r>
      <w:r w:rsidR="006F5688" w:rsidRPr="00B85666">
        <w:rPr>
          <w:rFonts w:ascii="David" w:eastAsia="Times New Roman" w:hAnsi="David" w:cs="David" w:hint="cs"/>
          <w:color w:val="222222"/>
          <w:sz w:val="24"/>
          <w:szCs w:val="24"/>
          <w:rtl/>
        </w:rPr>
        <w:t xml:space="preserve">משתייכים </w:t>
      </w:r>
      <w:r w:rsidR="006F5688" w:rsidRPr="00B85666">
        <w:rPr>
          <w:rFonts w:ascii="David" w:eastAsia="Times New Roman" w:hAnsi="David" w:cs="David" w:hint="cs"/>
          <w:b/>
          <w:bCs/>
          <w:color w:val="222222"/>
          <w:sz w:val="24"/>
          <w:szCs w:val="24"/>
          <w:rtl/>
        </w:rPr>
        <w:t>לאותה יחידה</w:t>
      </w:r>
      <w:r w:rsidR="003D2F10" w:rsidRPr="00B85666">
        <w:rPr>
          <w:rFonts w:ascii="David" w:eastAsia="Times New Roman" w:hAnsi="David" w:cs="David" w:hint="cs"/>
          <w:color w:val="222222"/>
          <w:sz w:val="24"/>
          <w:szCs w:val="24"/>
          <w:rtl/>
        </w:rPr>
        <w:t xml:space="preserve">, </w:t>
      </w:r>
      <w:r w:rsidR="00B85666">
        <w:rPr>
          <w:rFonts w:ascii="David" w:eastAsia="Times New Roman" w:hAnsi="David" w:cs="David" w:hint="cs"/>
          <w:color w:val="222222"/>
          <w:sz w:val="24"/>
          <w:szCs w:val="24"/>
          <w:rtl/>
        </w:rPr>
        <w:t>והם</w:t>
      </w:r>
      <w:r w:rsidR="003D2F10" w:rsidRPr="00B85666">
        <w:rPr>
          <w:rFonts w:ascii="David" w:eastAsia="Times New Roman" w:hAnsi="David" w:cs="David" w:hint="cs"/>
          <w:color w:val="222222"/>
          <w:sz w:val="24"/>
          <w:szCs w:val="24"/>
          <w:rtl/>
        </w:rPr>
        <w:t xml:space="preserve"> </w:t>
      </w:r>
      <w:r w:rsidR="006F5688" w:rsidRPr="00B85666">
        <w:rPr>
          <w:rFonts w:ascii="David" w:eastAsia="Times New Roman" w:hAnsi="David" w:cs="David" w:hint="cs"/>
          <w:color w:val="222222"/>
          <w:sz w:val="24"/>
          <w:szCs w:val="24"/>
          <w:rtl/>
        </w:rPr>
        <w:t xml:space="preserve">חשודים בביצוע מעשים שלהם מסכת עובדתית </w:t>
      </w:r>
      <w:r w:rsidR="006F5688" w:rsidRPr="00B85666">
        <w:rPr>
          <w:rFonts w:ascii="David" w:eastAsia="Times New Roman" w:hAnsi="David" w:cs="David" w:hint="cs"/>
          <w:b/>
          <w:bCs/>
          <w:color w:val="222222"/>
          <w:sz w:val="24"/>
          <w:szCs w:val="24"/>
          <w:rtl/>
        </w:rPr>
        <w:t>דומה</w:t>
      </w:r>
      <w:r w:rsidR="003D2F10" w:rsidRPr="00B85666">
        <w:rPr>
          <w:rFonts w:ascii="David" w:eastAsia="Times New Roman" w:hAnsi="David" w:cs="David" w:hint="cs"/>
          <w:color w:val="222222"/>
          <w:sz w:val="24"/>
          <w:szCs w:val="24"/>
          <w:rtl/>
        </w:rPr>
        <w:t xml:space="preserve"> שבוצעו לכאורה </w:t>
      </w:r>
      <w:r w:rsidR="003D2F10" w:rsidRPr="00B85666">
        <w:rPr>
          <w:rFonts w:ascii="David" w:eastAsia="Times New Roman" w:hAnsi="David" w:cs="David" w:hint="cs"/>
          <w:b/>
          <w:bCs/>
          <w:color w:val="222222"/>
          <w:sz w:val="24"/>
          <w:szCs w:val="24"/>
          <w:rtl/>
        </w:rPr>
        <w:t>בתוך</w:t>
      </w:r>
      <w:r w:rsidR="003D2F10" w:rsidRPr="00B85666">
        <w:rPr>
          <w:rFonts w:ascii="David" w:eastAsia="Times New Roman" w:hAnsi="David" w:cs="David" w:hint="cs"/>
          <w:color w:val="222222"/>
          <w:sz w:val="24"/>
          <w:szCs w:val="24"/>
          <w:rtl/>
        </w:rPr>
        <w:t xml:space="preserve"> היחידה </w:t>
      </w:r>
      <w:r w:rsidR="003D2F10" w:rsidRPr="00B85666">
        <w:rPr>
          <w:rFonts w:ascii="David" w:eastAsia="Times New Roman" w:hAnsi="David" w:cs="David" w:hint="cs"/>
          <w:b/>
          <w:bCs/>
          <w:color w:val="222222"/>
          <w:sz w:val="24"/>
          <w:szCs w:val="24"/>
          <w:rtl/>
        </w:rPr>
        <w:t>בזמנים</w:t>
      </w:r>
      <w:r w:rsidR="002B09EB">
        <w:rPr>
          <w:rFonts w:ascii="David" w:eastAsia="Times New Roman" w:hAnsi="David" w:cs="David" w:hint="cs"/>
          <w:color w:val="222222"/>
          <w:sz w:val="24"/>
          <w:szCs w:val="24"/>
          <w:rtl/>
        </w:rPr>
        <w:t xml:space="preserve"> חופפים,</w:t>
      </w:r>
      <w:r w:rsidR="003D2F10" w:rsidRPr="00B85666">
        <w:rPr>
          <w:rFonts w:ascii="David" w:eastAsia="Times New Roman" w:hAnsi="David" w:cs="David" w:hint="cs"/>
          <w:color w:val="222222"/>
          <w:sz w:val="24"/>
          <w:szCs w:val="24"/>
          <w:rtl/>
        </w:rPr>
        <w:t xml:space="preserve"> </w:t>
      </w:r>
      <w:r w:rsidR="00B85666">
        <w:rPr>
          <w:rFonts w:ascii="David" w:eastAsia="Times New Roman" w:hAnsi="David" w:cs="David" w:hint="cs"/>
          <w:color w:val="222222"/>
          <w:sz w:val="24"/>
          <w:szCs w:val="24"/>
          <w:rtl/>
        </w:rPr>
        <w:t xml:space="preserve">לפיכך, </w:t>
      </w:r>
      <w:r w:rsidR="002B09EB">
        <w:rPr>
          <w:rFonts w:ascii="David" w:eastAsia="Times New Roman" w:hAnsi="David" w:cs="David" w:hint="cs"/>
          <w:color w:val="222222"/>
          <w:sz w:val="24"/>
          <w:szCs w:val="24"/>
          <w:rtl/>
        </w:rPr>
        <w:t xml:space="preserve">נטען כי </w:t>
      </w:r>
      <w:r w:rsidR="00CF187D">
        <w:rPr>
          <w:rFonts w:ascii="David" w:eastAsia="Times New Roman" w:hAnsi="David" w:cs="David" w:hint="cs"/>
          <w:color w:val="222222"/>
          <w:sz w:val="24"/>
          <w:szCs w:val="24"/>
          <w:rtl/>
        </w:rPr>
        <w:t>נגועה</w:t>
      </w:r>
      <w:r w:rsidR="00B85666">
        <w:rPr>
          <w:rFonts w:ascii="David" w:eastAsia="Times New Roman" w:hAnsi="David" w:cs="David" w:hint="cs"/>
          <w:color w:val="222222"/>
          <w:sz w:val="24"/>
          <w:szCs w:val="24"/>
          <w:rtl/>
        </w:rPr>
        <w:t xml:space="preserve"> החלטת הרשות להסתפק בהליך שמעתי ביחס לסמ"ר רושני ולהעמיד לדין פלילי את המבקש בפגם.</w:t>
      </w:r>
    </w:p>
    <w:p w14:paraId="698E5026" w14:textId="77777777" w:rsidR="006F5688" w:rsidRPr="00585B4E" w:rsidRDefault="00CF187D" w:rsidP="00CF187D">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ככלל, </w:t>
      </w:r>
      <w:r w:rsidR="006F5688" w:rsidRPr="0050397F">
        <w:rPr>
          <w:rFonts w:ascii="David" w:eastAsia="Times New Roman" w:hAnsi="David" w:cs="David" w:hint="cs"/>
          <w:color w:val="222222"/>
          <w:sz w:val="24"/>
          <w:szCs w:val="24"/>
          <w:rtl/>
        </w:rPr>
        <w:t xml:space="preserve">הפסיקה </w:t>
      </w:r>
      <w:r w:rsidR="00B85666">
        <w:rPr>
          <w:rFonts w:ascii="David" w:eastAsia="Times New Roman" w:hAnsi="David" w:cs="David" w:hint="cs"/>
          <w:color w:val="222222"/>
          <w:sz w:val="24"/>
          <w:szCs w:val="24"/>
          <w:rtl/>
        </w:rPr>
        <w:t>הכירה</w:t>
      </w:r>
      <w:r w:rsidR="003E37E7">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במידע שעשוי לסייע להגנה ל</w:t>
      </w:r>
      <w:r w:rsidR="006F5688" w:rsidRPr="0050397F">
        <w:rPr>
          <w:rFonts w:ascii="David" w:eastAsia="Times New Roman" w:hAnsi="David" w:cs="David" w:hint="cs"/>
          <w:color w:val="222222"/>
          <w:sz w:val="24"/>
          <w:szCs w:val="24"/>
          <w:rtl/>
        </w:rPr>
        <w:t xml:space="preserve">ביסוס טענת אכיפה בררנית, </w:t>
      </w:r>
      <w:r w:rsidR="006F5688" w:rsidRPr="0050397F">
        <w:rPr>
          <w:rFonts w:ascii="David" w:eastAsia="Times New Roman" w:hAnsi="David" w:cs="David" w:hint="cs"/>
          <w:b/>
          <w:bCs/>
          <w:color w:val="222222"/>
          <w:sz w:val="24"/>
          <w:szCs w:val="24"/>
          <w:rtl/>
        </w:rPr>
        <w:t>כחומר חקירה</w:t>
      </w:r>
      <w:r w:rsidR="006F5688" w:rsidRPr="0050397F">
        <w:rPr>
          <w:rFonts w:ascii="David" w:eastAsia="Times New Roman" w:hAnsi="David" w:cs="David" w:hint="cs"/>
          <w:color w:val="222222"/>
          <w:sz w:val="24"/>
          <w:szCs w:val="24"/>
          <w:rtl/>
        </w:rPr>
        <w:t>, ובלבד שהצביעה ההגנה על תשתית לכאורית ראשונית שיש בה לתמוך בטענה זו (</w:t>
      </w:r>
      <w:proofErr w:type="spellStart"/>
      <w:r w:rsidR="00585B4E" w:rsidRPr="00585B4E">
        <w:rPr>
          <w:rFonts w:ascii="David" w:eastAsia="Times New Roman" w:hAnsi="David" w:cs="David" w:hint="cs"/>
          <w:color w:val="222222"/>
          <w:sz w:val="24"/>
          <w:szCs w:val="24"/>
          <w:rtl/>
        </w:rPr>
        <w:t>עלב"ש</w:t>
      </w:r>
      <w:proofErr w:type="spellEnd"/>
      <w:r w:rsidR="00585B4E" w:rsidRPr="00585B4E">
        <w:rPr>
          <w:rFonts w:ascii="David" w:eastAsia="Times New Roman" w:hAnsi="David" w:cs="David" w:hint="cs"/>
          <w:color w:val="222222"/>
          <w:sz w:val="24"/>
          <w:szCs w:val="24"/>
          <w:rtl/>
        </w:rPr>
        <w:t xml:space="preserve"> 49/12 </w:t>
      </w:r>
      <w:proofErr w:type="spellStart"/>
      <w:r w:rsidR="00585B4E" w:rsidRPr="00585B4E">
        <w:rPr>
          <w:rFonts w:ascii="David" w:eastAsia="Times New Roman" w:hAnsi="David" w:cs="David" w:hint="cs"/>
          <w:b/>
          <w:bCs/>
          <w:color w:val="222222"/>
          <w:sz w:val="24"/>
          <w:szCs w:val="24"/>
          <w:rtl/>
        </w:rPr>
        <w:t>פוזיילוב</w:t>
      </w:r>
      <w:proofErr w:type="spellEnd"/>
      <w:r w:rsidR="00585B4E" w:rsidRPr="00585B4E">
        <w:rPr>
          <w:rFonts w:ascii="David" w:eastAsia="Times New Roman" w:hAnsi="David" w:cs="David" w:hint="cs"/>
          <w:b/>
          <w:bCs/>
          <w:color w:val="222222"/>
          <w:sz w:val="24"/>
          <w:szCs w:val="24"/>
          <w:rtl/>
        </w:rPr>
        <w:t xml:space="preserve"> נ' </w:t>
      </w:r>
      <w:r w:rsidR="00585B4E">
        <w:rPr>
          <w:rFonts w:ascii="David" w:eastAsia="Times New Roman" w:hAnsi="David" w:cs="David" w:hint="cs"/>
          <w:b/>
          <w:bCs/>
          <w:color w:val="222222"/>
          <w:sz w:val="24"/>
          <w:szCs w:val="24"/>
          <w:rtl/>
        </w:rPr>
        <w:t>התובע הצבאי הראשי</w:t>
      </w:r>
      <w:r w:rsidR="00585B4E" w:rsidRPr="00585B4E">
        <w:rPr>
          <w:rFonts w:ascii="David" w:eastAsia="Times New Roman" w:hAnsi="David" w:cs="David" w:hint="cs"/>
          <w:color w:val="222222"/>
          <w:sz w:val="24"/>
          <w:szCs w:val="24"/>
          <w:rtl/>
        </w:rPr>
        <w:t xml:space="preserve"> (2012)</w:t>
      </w:r>
      <w:r w:rsidR="00585B4E">
        <w:rPr>
          <w:rFonts w:ascii="David" w:eastAsia="Times New Roman" w:hAnsi="David" w:cs="David" w:hint="cs"/>
          <w:color w:val="222222"/>
          <w:sz w:val="24"/>
          <w:szCs w:val="24"/>
          <w:rtl/>
        </w:rPr>
        <w:t>)</w:t>
      </w:r>
      <w:r w:rsidR="006F5688" w:rsidRPr="00585B4E">
        <w:rPr>
          <w:rFonts w:ascii="David" w:eastAsia="Times New Roman" w:hAnsi="David" w:cs="David" w:hint="cs"/>
          <w:color w:val="222222"/>
          <w:sz w:val="24"/>
          <w:szCs w:val="24"/>
          <w:rtl/>
        </w:rPr>
        <w:t xml:space="preserve">. </w:t>
      </w:r>
      <w:r w:rsidR="003E37E7" w:rsidRPr="00585B4E">
        <w:rPr>
          <w:rFonts w:ascii="David" w:eastAsia="Times New Roman" w:hAnsi="David" w:cs="David" w:hint="cs"/>
          <w:color w:val="222222"/>
          <w:sz w:val="24"/>
          <w:szCs w:val="24"/>
          <w:rtl/>
        </w:rPr>
        <w:t>בחלוף הזמן</w:t>
      </w:r>
      <w:r w:rsidR="00B85666" w:rsidRPr="00585B4E">
        <w:rPr>
          <w:rFonts w:ascii="David" w:eastAsia="Times New Roman" w:hAnsi="David" w:cs="David" w:hint="cs"/>
          <w:color w:val="222222"/>
          <w:sz w:val="24"/>
          <w:szCs w:val="24"/>
          <w:rtl/>
        </w:rPr>
        <w:t>,</w:t>
      </w:r>
      <w:r w:rsidR="003E37E7" w:rsidRPr="00585B4E">
        <w:rPr>
          <w:rFonts w:ascii="David" w:eastAsia="Times New Roman" w:hAnsi="David" w:cs="David" w:hint="cs"/>
          <w:color w:val="222222"/>
          <w:sz w:val="24"/>
          <w:szCs w:val="24"/>
          <w:rtl/>
        </w:rPr>
        <w:t xml:space="preserve"> נקבע בפסיקת בית </w:t>
      </w:r>
      <w:r w:rsidR="003E37E7" w:rsidRPr="00585B4E">
        <w:rPr>
          <w:rFonts w:ascii="David" w:eastAsia="Times New Roman" w:hAnsi="David" w:cs="David" w:hint="cs"/>
          <w:color w:val="222222"/>
          <w:sz w:val="24"/>
          <w:szCs w:val="24"/>
          <w:rtl/>
        </w:rPr>
        <w:lastRenderedPageBreak/>
        <w:t>המשפט העליון כי המיקום ה</w:t>
      </w:r>
      <w:r>
        <w:rPr>
          <w:rFonts w:ascii="David" w:eastAsia="Times New Roman" w:hAnsi="David" w:cs="David" w:hint="cs"/>
          <w:color w:val="222222"/>
          <w:sz w:val="24"/>
          <w:szCs w:val="24"/>
          <w:rtl/>
        </w:rPr>
        <w:t>"</w:t>
      </w:r>
      <w:r w:rsidR="003E37E7" w:rsidRPr="00585B4E">
        <w:rPr>
          <w:rFonts w:ascii="David" w:eastAsia="Times New Roman" w:hAnsi="David" w:cs="David" w:hint="cs"/>
          <w:color w:val="222222"/>
          <w:sz w:val="24"/>
          <w:szCs w:val="24"/>
          <w:rtl/>
        </w:rPr>
        <w:t>ג</w:t>
      </w:r>
      <w:r>
        <w:rPr>
          <w:rFonts w:ascii="David" w:eastAsia="Times New Roman" w:hAnsi="David" w:cs="David" w:hint="cs"/>
          <w:color w:val="222222"/>
          <w:sz w:val="24"/>
          <w:szCs w:val="24"/>
          <w:rtl/>
        </w:rPr>
        <w:t>י</w:t>
      </w:r>
      <w:r w:rsidR="003E37E7" w:rsidRPr="00585B4E">
        <w:rPr>
          <w:rFonts w:ascii="David" w:eastAsia="Times New Roman" w:hAnsi="David" w:cs="David" w:hint="cs"/>
          <w:color w:val="222222"/>
          <w:sz w:val="24"/>
          <w:szCs w:val="24"/>
          <w:rtl/>
        </w:rPr>
        <w:t>אומטרי</w:t>
      </w:r>
      <w:r>
        <w:rPr>
          <w:rFonts w:ascii="David" w:eastAsia="Times New Roman" w:hAnsi="David" w:cs="David" w:hint="cs"/>
          <w:color w:val="222222"/>
          <w:sz w:val="24"/>
          <w:szCs w:val="24"/>
          <w:rtl/>
        </w:rPr>
        <w:t>"</w:t>
      </w:r>
      <w:r w:rsidR="003E37E7" w:rsidRPr="00585B4E">
        <w:rPr>
          <w:rFonts w:ascii="David" w:eastAsia="Times New Roman" w:hAnsi="David" w:cs="David" w:hint="cs"/>
          <w:color w:val="222222"/>
          <w:sz w:val="24"/>
          <w:szCs w:val="24"/>
          <w:rtl/>
        </w:rPr>
        <w:t xml:space="preserve"> של בקשה לקבל נתונים לביסוס טענת אכיפה בררנית </w:t>
      </w:r>
      <w:r w:rsidR="00F95F80" w:rsidRPr="00585B4E">
        <w:rPr>
          <w:rFonts w:ascii="David" w:eastAsia="Times New Roman" w:hAnsi="David" w:cs="David" w:hint="cs"/>
          <w:color w:val="222222"/>
          <w:sz w:val="24"/>
          <w:szCs w:val="24"/>
          <w:rtl/>
        </w:rPr>
        <w:t xml:space="preserve">היא אכן </w:t>
      </w:r>
      <w:r w:rsidR="00B85666" w:rsidRPr="00585B4E">
        <w:rPr>
          <w:rFonts w:ascii="David" w:eastAsia="Times New Roman" w:hAnsi="David" w:cs="David" w:hint="cs"/>
          <w:color w:val="222222"/>
          <w:sz w:val="24"/>
          <w:szCs w:val="24"/>
          <w:rtl/>
        </w:rPr>
        <w:t>בדל"ת אמות</w:t>
      </w:r>
      <w:r w:rsidR="00F95F80" w:rsidRPr="00585B4E">
        <w:rPr>
          <w:rFonts w:ascii="David" w:eastAsia="Times New Roman" w:hAnsi="David" w:cs="David" w:hint="cs"/>
          <w:color w:val="222222"/>
          <w:sz w:val="24"/>
          <w:szCs w:val="24"/>
          <w:rtl/>
        </w:rPr>
        <w:t xml:space="preserve"> ההליך</w:t>
      </w:r>
      <w:r w:rsidR="003E37E7" w:rsidRPr="00585B4E">
        <w:rPr>
          <w:rFonts w:ascii="David" w:eastAsia="Times New Roman" w:hAnsi="David" w:cs="David" w:hint="cs"/>
          <w:color w:val="222222"/>
          <w:sz w:val="24"/>
          <w:szCs w:val="24"/>
          <w:rtl/>
        </w:rPr>
        <w:t xml:space="preserve"> הפלילי (</w:t>
      </w:r>
      <w:proofErr w:type="spellStart"/>
      <w:r w:rsidR="003E37E7" w:rsidRPr="00585B4E">
        <w:rPr>
          <w:rFonts w:ascii="David" w:eastAsia="Times New Roman" w:hAnsi="David" w:cs="David" w:hint="cs"/>
          <w:color w:val="222222"/>
          <w:sz w:val="24"/>
          <w:szCs w:val="24"/>
          <w:rtl/>
        </w:rPr>
        <w:t>עע"ם</w:t>
      </w:r>
      <w:proofErr w:type="spellEnd"/>
      <w:r w:rsidR="003E37E7" w:rsidRPr="00585B4E">
        <w:rPr>
          <w:rFonts w:ascii="David" w:eastAsia="Times New Roman" w:hAnsi="David" w:cs="David" w:hint="cs"/>
          <w:color w:val="222222"/>
          <w:sz w:val="24"/>
          <w:szCs w:val="24"/>
          <w:rtl/>
        </w:rPr>
        <w:t xml:space="preserve"> 2668/15  </w:t>
      </w:r>
      <w:r w:rsidR="00F95F80" w:rsidRPr="00585B4E">
        <w:rPr>
          <w:rFonts w:ascii="David" w:eastAsia="Times New Roman" w:hAnsi="David" w:cs="David" w:hint="cs"/>
          <w:b/>
          <w:bCs/>
          <w:color w:val="222222"/>
          <w:sz w:val="24"/>
          <w:szCs w:val="24"/>
          <w:rtl/>
        </w:rPr>
        <w:t xml:space="preserve">מדינת ישראל </w:t>
      </w:r>
      <w:r w:rsidR="00F95F80" w:rsidRPr="00585B4E">
        <w:rPr>
          <w:rFonts w:ascii="David" w:eastAsia="Times New Roman" w:hAnsi="David" w:cs="David"/>
          <w:b/>
          <w:bCs/>
          <w:color w:val="222222"/>
          <w:sz w:val="24"/>
          <w:szCs w:val="24"/>
          <w:rtl/>
        </w:rPr>
        <w:t>–</w:t>
      </w:r>
      <w:r w:rsidR="00F95F80" w:rsidRPr="00585B4E">
        <w:rPr>
          <w:rFonts w:ascii="David" w:eastAsia="Times New Roman" w:hAnsi="David" w:cs="David" w:hint="cs"/>
          <w:b/>
          <w:bCs/>
          <w:color w:val="222222"/>
          <w:sz w:val="24"/>
          <w:szCs w:val="24"/>
          <w:rtl/>
        </w:rPr>
        <w:t xml:space="preserve"> משרד המשפטים נ' פרופ' וייס</w:t>
      </w:r>
      <w:r w:rsidR="00F95F80" w:rsidRPr="00585B4E">
        <w:rPr>
          <w:rFonts w:ascii="David" w:eastAsia="Times New Roman" w:hAnsi="David" w:cs="David" w:hint="cs"/>
          <w:color w:val="222222"/>
          <w:sz w:val="24"/>
          <w:szCs w:val="24"/>
          <w:rtl/>
        </w:rPr>
        <w:t xml:space="preserve"> (18.11.2015)</w:t>
      </w:r>
      <w:r w:rsidR="003E37E7" w:rsidRPr="00585B4E">
        <w:rPr>
          <w:rFonts w:ascii="David" w:eastAsia="Times New Roman" w:hAnsi="David" w:cs="David" w:hint="cs"/>
          <w:color w:val="222222"/>
          <w:sz w:val="24"/>
          <w:szCs w:val="24"/>
          <w:rtl/>
        </w:rPr>
        <w:t xml:space="preserve">). </w:t>
      </w:r>
      <w:proofErr w:type="spellStart"/>
      <w:r w:rsidR="003E37E7" w:rsidRPr="00585B4E">
        <w:rPr>
          <w:rFonts w:ascii="David" w:eastAsia="Times New Roman" w:hAnsi="David" w:cs="David" w:hint="cs"/>
          <w:color w:val="222222"/>
          <w:sz w:val="24"/>
          <w:szCs w:val="24"/>
          <w:rtl/>
        </w:rPr>
        <w:t>בענין</w:t>
      </w:r>
      <w:proofErr w:type="spellEnd"/>
      <w:r w:rsidR="003E37E7" w:rsidRPr="00585B4E">
        <w:rPr>
          <w:rFonts w:ascii="David" w:eastAsia="Times New Roman" w:hAnsi="David" w:cs="David" w:hint="cs"/>
          <w:color w:val="222222"/>
          <w:sz w:val="24"/>
          <w:szCs w:val="24"/>
          <w:rtl/>
        </w:rPr>
        <w:t xml:space="preserve"> </w:t>
      </w:r>
      <w:r w:rsidR="003E37E7" w:rsidRPr="00585B4E">
        <w:rPr>
          <w:rFonts w:ascii="David" w:eastAsia="Times New Roman" w:hAnsi="David" w:cs="David" w:hint="cs"/>
          <w:b/>
          <w:bCs/>
          <w:color w:val="222222"/>
          <w:sz w:val="24"/>
          <w:szCs w:val="24"/>
          <w:rtl/>
        </w:rPr>
        <w:t>מזרחי</w:t>
      </w:r>
      <w:r w:rsidR="00F95F80" w:rsidRPr="00585B4E">
        <w:rPr>
          <w:rFonts w:ascii="David" w:eastAsia="Times New Roman" w:hAnsi="David" w:cs="David" w:hint="cs"/>
          <w:color w:val="222222"/>
          <w:sz w:val="24"/>
          <w:szCs w:val="24"/>
          <w:rtl/>
        </w:rPr>
        <w:t xml:space="preserve"> התבקשו נתוני אכיפה סטטיסטיים בשלוש השנים האחרונות לשם ביסוס טענת הגנה מן הצדק. </w:t>
      </w:r>
      <w:r>
        <w:rPr>
          <w:rFonts w:ascii="David" w:eastAsia="Times New Roman" w:hAnsi="David" w:cs="David" w:hint="cs"/>
          <w:color w:val="222222"/>
          <w:sz w:val="24"/>
          <w:szCs w:val="24"/>
          <w:rtl/>
        </w:rPr>
        <w:t>נקבע</w:t>
      </w:r>
      <w:r w:rsidR="00F95F80" w:rsidRPr="00585B4E">
        <w:rPr>
          <w:rFonts w:ascii="David" w:eastAsia="Times New Roman" w:hAnsi="David" w:cs="David" w:hint="cs"/>
          <w:color w:val="222222"/>
          <w:sz w:val="24"/>
          <w:szCs w:val="24"/>
          <w:rtl/>
        </w:rPr>
        <w:t xml:space="preserve"> כי הדרך הראויה לדיון בבקשה היא בהליך העיקרי במסגרת העלאת הטענה המקדמית של הגנה מן הצדק בצירוף סעיף 108 לחוק סדר הדין הפלילי, המאפשר להגנה לקבל מסמכים שאינם מצויים בידה (</w:t>
      </w:r>
      <w:proofErr w:type="spellStart"/>
      <w:r w:rsidR="00F95F80" w:rsidRPr="00585B4E">
        <w:rPr>
          <w:rFonts w:ascii="David" w:eastAsia="Times New Roman" w:hAnsi="David" w:cs="David" w:hint="cs"/>
          <w:color w:val="222222"/>
          <w:sz w:val="24"/>
          <w:szCs w:val="24"/>
          <w:rtl/>
        </w:rPr>
        <w:t>בש"פ</w:t>
      </w:r>
      <w:proofErr w:type="spellEnd"/>
      <w:r w:rsidR="00F95F80" w:rsidRPr="00585B4E">
        <w:rPr>
          <w:rFonts w:ascii="David" w:eastAsia="Times New Roman" w:hAnsi="David" w:cs="David" w:hint="cs"/>
          <w:color w:val="222222"/>
          <w:sz w:val="24"/>
          <w:szCs w:val="24"/>
          <w:rtl/>
        </w:rPr>
        <w:t xml:space="preserve"> 2242/16 </w:t>
      </w:r>
      <w:r w:rsidR="00F95F80" w:rsidRPr="00585B4E">
        <w:rPr>
          <w:rFonts w:ascii="David" w:eastAsia="Times New Roman" w:hAnsi="David" w:cs="David" w:hint="cs"/>
          <w:b/>
          <w:bCs/>
          <w:color w:val="222222"/>
          <w:sz w:val="24"/>
          <w:szCs w:val="24"/>
          <w:rtl/>
        </w:rPr>
        <w:t>מדינת ישראל נ' מזרחי</w:t>
      </w:r>
      <w:r w:rsidR="00F95F80" w:rsidRPr="00585B4E">
        <w:rPr>
          <w:rFonts w:ascii="David" w:eastAsia="Times New Roman" w:hAnsi="David" w:cs="David" w:hint="cs"/>
          <w:color w:val="222222"/>
          <w:sz w:val="24"/>
          <w:szCs w:val="24"/>
          <w:rtl/>
        </w:rPr>
        <w:t xml:space="preserve"> (31.3.2016)). באותו עניין נקבע כי גם אם בית המשפט נכון לנקוט בגישה "ליברלית" להכ</w:t>
      </w:r>
      <w:r w:rsidR="00B85666" w:rsidRPr="00585B4E">
        <w:rPr>
          <w:rFonts w:ascii="David" w:eastAsia="Times New Roman" w:hAnsi="David" w:cs="David" w:hint="cs"/>
          <w:color w:val="222222"/>
          <w:sz w:val="24"/>
          <w:szCs w:val="24"/>
          <w:rtl/>
        </w:rPr>
        <w:t xml:space="preserve">רה בבקשה מעין זו במסגרת סעיף 74, </w:t>
      </w:r>
      <w:r w:rsidR="00F95F80" w:rsidRPr="00585B4E">
        <w:rPr>
          <w:rFonts w:ascii="David" w:eastAsia="Times New Roman" w:hAnsi="David" w:cs="David" w:hint="cs"/>
          <w:color w:val="222222"/>
          <w:sz w:val="24"/>
          <w:szCs w:val="24"/>
          <w:rtl/>
        </w:rPr>
        <w:t xml:space="preserve">על החומר המבוקש להיות קשור </w:t>
      </w:r>
      <w:r w:rsidR="00F95F80" w:rsidRPr="00585B4E">
        <w:rPr>
          <w:rFonts w:ascii="David" w:eastAsia="Times New Roman" w:hAnsi="David" w:cs="David" w:hint="cs"/>
          <w:b/>
          <w:bCs/>
          <w:color w:val="222222"/>
          <w:sz w:val="24"/>
          <w:szCs w:val="24"/>
          <w:rtl/>
        </w:rPr>
        <w:t>לתשתית הראייתית</w:t>
      </w:r>
      <w:r w:rsidR="00F95F80" w:rsidRPr="00585B4E">
        <w:rPr>
          <w:rFonts w:ascii="David" w:eastAsia="Times New Roman" w:hAnsi="David" w:cs="David" w:hint="cs"/>
          <w:color w:val="222222"/>
          <w:sz w:val="24"/>
          <w:szCs w:val="24"/>
          <w:rtl/>
        </w:rPr>
        <w:t xml:space="preserve"> שעליה </w:t>
      </w:r>
      <w:r w:rsidR="00F95F80" w:rsidRPr="00585B4E">
        <w:rPr>
          <w:rFonts w:ascii="David" w:eastAsia="Times New Roman" w:hAnsi="David" w:cs="David" w:hint="cs"/>
          <w:b/>
          <w:bCs/>
          <w:color w:val="222222"/>
          <w:sz w:val="24"/>
          <w:szCs w:val="24"/>
          <w:rtl/>
        </w:rPr>
        <w:t>מבוסס</w:t>
      </w:r>
      <w:r w:rsidR="00F95F80" w:rsidRPr="00585B4E">
        <w:rPr>
          <w:rFonts w:ascii="David" w:eastAsia="Times New Roman" w:hAnsi="David" w:cs="David" w:hint="cs"/>
          <w:color w:val="222222"/>
          <w:sz w:val="24"/>
          <w:szCs w:val="24"/>
          <w:rtl/>
        </w:rPr>
        <w:t xml:space="preserve"> כתב האישום (עניין </w:t>
      </w:r>
      <w:r w:rsidR="00F95F80" w:rsidRPr="00585B4E">
        <w:rPr>
          <w:rFonts w:ascii="David" w:eastAsia="Times New Roman" w:hAnsi="David" w:cs="David" w:hint="cs"/>
          <w:b/>
          <w:bCs/>
          <w:color w:val="222222"/>
          <w:sz w:val="24"/>
          <w:szCs w:val="24"/>
          <w:rtl/>
        </w:rPr>
        <w:t>מזרחי</w:t>
      </w:r>
      <w:r w:rsidR="00F95F80" w:rsidRPr="00585B4E">
        <w:rPr>
          <w:rFonts w:ascii="David" w:eastAsia="Times New Roman" w:hAnsi="David" w:cs="David" w:hint="cs"/>
          <w:color w:val="222222"/>
          <w:sz w:val="24"/>
          <w:szCs w:val="24"/>
          <w:rtl/>
        </w:rPr>
        <w:t xml:space="preserve"> לעיל, בפס' 6). </w:t>
      </w:r>
    </w:p>
    <w:p w14:paraId="13A5A7C9" w14:textId="77777777" w:rsidR="00B85666" w:rsidRDefault="00B85666" w:rsidP="00FC5CF5">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עיון בבקשת ההגנה מעלה כי מעורבותו של סמ"ר רושני </w:t>
      </w:r>
      <w:r w:rsidRPr="00CF187D">
        <w:rPr>
          <w:rFonts w:ascii="David" w:eastAsia="Times New Roman" w:hAnsi="David" w:cs="David" w:hint="cs"/>
          <w:b/>
          <w:bCs/>
          <w:color w:val="222222"/>
          <w:sz w:val="24"/>
          <w:szCs w:val="24"/>
          <w:rtl/>
        </w:rPr>
        <w:t>אינה</w:t>
      </w:r>
      <w:r>
        <w:rPr>
          <w:rFonts w:ascii="David" w:eastAsia="Times New Roman" w:hAnsi="David" w:cs="David" w:hint="cs"/>
          <w:color w:val="222222"/>
          <w:sz w:val="24"/>
          <w:szCs w:val="24"/>
          <w:rtl/>
        </w:rPr>
        <w:t xml:space="preserve"> נוגעת לתשתית הראייתית שעליה מבוסס כתב האישום. למעשה שמו של רושני כלל אינו מצוין בכתב האישום (להבדיל מסמ"ר </w:t>
      </w:r>
      <w:proofErr w:type="spellStart"/>
      <w:r>
        <w:rPr>
          <w:rFonts w:ascii="David" w:eastAsia="Times New Roman" w:hAnsi="David" w:cs="David" w:hint="cs"/>
          <w:color w:val="222222"/>
          <w:sz w:val="24"/>
          <w:szCs w:val="24"/>
          <w:rtl/>
        </w:rPr>
        <w:t>אברמוב</w:t>
      </w:r>
      <w:proofErr w:type="spellEnd"/>
      <w:r w:rsidR="00FC5CF5">
        <w:rPr>
          <w:rFonts w:ascii="David" w:eastAsia="Times New Roman" w:hAnsi="David" w:cs="David" w:hint="cs"/>
          <w:color w:val="222222"/>
          <w:sz w:val="24"/>
          <w:szCs w:val="24"/>
          <w:rtl/>
        </w:rPr>
        <w:t xml:space="preserve"> שמעשיו שלובים בפרטי האישום הראשון והשלישי ומכאן האבחנה שערכה התביעה הצבאית בין העניינים).</w:t>
      </w:r>
      <w:r>
        <w:rPr>
          <w:rFonts w:ascii="David" w:eastAsia="Times New Roman" w:hAnsi="David" w:cs="David" w:hint="cs"/>
          <w:color w:val="222222"/>
          <w:sz w:val="24"/>
          <w:szCs w:val="24"/>
          <w:rtl/>
        </w:rPr>
        <w:t xml:space="preserve"> </w:t>
      </w:r>
      <w:r w:rsidR="00FC5CF5">
        <w:rPr>
          <w:rFonts w:ascii="David" w:eastAsia="Times New Roman" w:hAnsi="David" w:cs="David" w:hint="cs"/>
          <w:color w:val="222222"/>
          <w:sz w:val="24"/>
          <w:szCs w:val="24"/>
          <w:rtl/>
        </w:rPr>
        <w:t xml:space="preserve">לפיכך, </w:t>
      </w:r>
      <w:r>
        <w:rPr>
          <w:rFonts w:ascii="David" w:eastAsia="Times New Roman" w:hAnsi="David" w:cs="David" w:hint="cs"/>
          <w:color w:val="222222"/>
          <w:sz w:val="24"/>
          <w:szCs w:val="24"/>
          <w:rtl/>
        </w:rPr>
        <w:t>אף נקיטת גישה "מרחיבה" המוכנה להכיר במישור העקרוני בדיון בבקשה מעין זו במסגרת בקשה לפי סעיף 74, אינה מתיישבת עם נסיבות המקרה דנן.</w:t>
      </w:r>
    </w:p>
    <w:p w14:paraId="552285A9" w14:textId="77777777" w:rsidR="00B85666" w:rsidRDefault="00B85666" w:rsidP="0050397F">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עיון בחומר הראיות שעל יסודו הוגש כתב האישום</w:t>
      </w:r>
      <w:r w:rsidR="002B09EB">
        <w:rPr>
          <w:rFonts w:ascii="David" w:eastAsia="Times New Roman" w:hAnsi="David" w:cs="David" w:hint="cs"/>
          <w:color w:val="222222"/>
          <w:sz w:val="24"/>
          <w:szCs w:val="24"/>
          <w:rtl/>
        </w:rPr>
        <w:t>, כפי שיבואר להלן,</w:t>
      </w:r>
      <w:r>
        <w:rPr>
          <w:rFonts w:ascii="David" w:eastAsia="Times New Roman" w:hAnsi="David" w:cs="David" w:hint="cs"/>
          <w:color w:val="222222"/>
          <w:sz w:val="24"/>
          <w:szCs w:val="24"/>
          <w:rtl/>
        </w:rPr>
        <w:t xml:space="preserve"> </w:t>
      </w:r>
      <w:r w:rsidRPr="00CF187D">
        <w:rPr>
          <w:rFonts w:ascii="David" w:eastAsia="Times New Roman" w:hAnsi="David" w:cs="David" w:hint="cs"/>
          <w:b/>
          <w:bCs/>
          <w:color w:val="222222"/>
          <w:sz w:val="24"/>
          <w:szCs w:val="24"/>
          <w:rtl/>
        </w:rPr>
        <w:t>מחזק</w:t>
      </w:r>
      <w:r>
        <w:rPr>
          <w:rFonts w:ascii="David" w:eastAsia="Times New Roman" w:hAnsi="David" w:cs="David" w:hint="cs"/>
          <w:color w:val="222222"/>
          <w:sz w:val="24"/>
          <w:szCs w:val="24"/>
          <w:rtl/>
        </w:rPr>
        <w:t xml:space="preserve"> את הדברים. </w:t>
      </w:r>
    </w:p>
    <w:p w14:paraId="286E94B7" w14:textId="77777777" w:rsidR="0050397F" w:rsidRDefault="0050397F" w:rsidP="0050397F">
      <w:pPr>
        <w:pStyle w:val="ListParagraph"/>
        <w:numPr>
          <w:ilvl w:val="0"/>
          <w:numId w:val="3"/>
        </w:numPr>
        <w:spacing w:after="0" w:line="36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אכיפה בררנית מתרחשת במקרים שבהם הדין נאכף כלפי אדם אחד ולא כלפי אדם אחר, ללא </w:t>
      </w:r>
      <w:r w:rsidRPr="00102D84">
        <w:rPr>
          <w:rFonts w:ascii="David" w:eastAsia="Times New Roman" w:hAnsi="David" w:cs="David" w:hint="cs"/>
          <w:b/>
          <w:bCs/>
          <w:color w:val="222222"/>
          <w:sz w:val="24"/>
          <w:szCs w:val="24"/>
          <w:rtl/>
        </w:rPr>
        <w:t>טעם טוב</w:t>
      </w:r>
      <w:r>
        <w:rPr>
          <w:rFonts w:ascii="David" w:eastAsia="Times New Roman" w:hAnsi="David" w:cs="David" w:hint="cs"/>
          <w:color w:val="222222"/>
          <w:sz w:val="24"/>
          <w:szCs w:val="24"/>
          <w:rtl/>
        </w:rPr>
        <w:t xml:space="preserve"> לאבחנה ביניהם (ע"פ 6328/12 </w:t>
      </w:r>
      <w:r w:rsidRPr="00CF187D">
        <w:rPr>
          <w:rFonts w:ascii="David" w:eastAsia="Times New Roman" w:hAnsi="David" w:cs="David" w:hint="cs"/>
          <w:b/>
          <w:bCs/>
          <w:color w:val="222222"/>
          <w:sz w:val="24"/>
          <w:szCs w:val="24"/>
          <w:rtl/>
        </w:rPr>
        <w:t>מדינת ישראל נ' פרץ</w:t>
      </w:r>
      <w:r>
        <w:rPr>
          <w:rFonts w:ascii="David" w:eastAsia="Times New Roman" w:hAnsi="David" w:cs="David" w:hint="cs"/>
          <w:color w:val="222222"/>
          <w:sz w:val="24"/>
          <w:szCs w:val="24"/>
          <w:rtl/>
        </w:rPr>
        <w:t xml:space="preserve">, בפס' 23 (טרם פורסם, 10.9.2013)). במקרים שבהם זוהו </w:t>
      </w:r>
      <w:r w:rsidRPr="00102D84">
        <w:rPr>
          <w:rFonts w:ascii="David" w:eastAsia="Times New Roman" w:hAnsi="David" w:cs="David" w:hint="cs"/>
          <w:b/>
          <w:bCs/>
          <w:color w:val="222222"/>
          <w:sz w:val="24"/>
          <w:szCs w:val="24"/>
          <w:rtl/>
        </w:rPr>
        <w:t>הבדלים רלוונטיים ומשמעותיים</w:t>
      </w:r>
      <w:r>
        <w:rPr>
          <w:rFonts w:ascii="David" w:eastAsia="Times New Roman" w:hAnsi="David" w:cs="David" w:hint="cs"/>
          <w:color w:val="222222"/>
          <w:sz w:val="24"/>
          <w:szCs w:val="24"/>
          <w:rtl/>
        </w:rPr>
        <w:t xml:space="preserve"> במידת המעורבות של נאשמים אל מול אחרים שאינם הואשמו בפלילים</w:t>
      </w:r>
      <w:r w:rsidR="00CF187D">
        <w:rPr>
          <w:rFonts w:ascii="David" w:eastAsia="Times New Roman" w:hAnsi="David" w:cs="David" w:hint="cs"/>
          <w:color w:val="222222"/>
          <w:sz w:val="24"/>
          <w:szCs w:val="24"/>
          <w:rtl/>
        </w:rPr>
        <w:t>, נדחו טענות בדבר אכיפה בררנית,</w:t>
      </w:r>
      <w:r w:rsidR="00102D84">
        <w:rPr>
          <w:rFonts w:ascii="David" w:eastAsia="Times New Roman" w:hAnsi="David" w:cs="David" w:hint="cs"/>
          <w:color w:val="222222"/>
          <w:sz w:val="24"/>
          <w:szCs w:val="24"/>
          <w:rtl/>
        </w:rPr>
        <w:t xml:space="preserve"> החלטת רשויות התביעה נמצאה סבירה ונקבע כי אינה פוגעת באופן מהותי בשוויון באופן העולה כדי אכיפה בררנית (למשל: ע"פ 4603/17 </w:t>
      </w:r>
      <w:r w:rsidR="00102D84" w:rsidRPr="00102D84">
        <w:rPr>
          <w:rFonts w:ascii="David" w:eastAsia="Times New Roman" w:hAnsi="David" w:cs="David" w:hint="cs"/>
          <w:b/>
          <w:bCs/>
          <w:color w:val="222222"/>
          <w:sz w:val="24"/>
          <w:szCs w:val="24"/>
          <w:rtl/>
        </w:rPr>
        <w:t>אדרי נ' מדינת ישראל</w:t>
      </w:r>
      <w:r w:rsidR="00102D84">
        <w:rPr>
          <w:rFonts w:ascii="David" w:eastAsia="Times New Roman" w:hAnsi="David" w:cs="David" w:hint="cs"/>
          <w:color w:val="222222"/>
          <w:sz w:val="24"/>
          <w:szCs w:val="24"/>
          <w:rtl/>
        </w:rPr>
        <w:t xml:space="preserve">, בפס' 41 (טרם פורסם, 16.7.2019)). </w:t>
      </w:r>
    </w:p>
    <w:p w14:paraId="354BEEAC" w14:textId="77777777" w:rsidR="006F5688" w:rsidRPr="0065643D" w:rsidRDefault="0065643D" w:rsidP="004E2253">
      <w:pPr>
        <w:pStyle w:val="ListParagraph"/>
        <w:numPr>
          <w:ilvl w:val="0"/>
          <w:numId w:val="3"/>
        </w:numPr>
        <w:spacing w:after="0" w:line="36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ומן ההלכה לעניינינו, בעוד שביחס למבקש קיימים שני </w:t>
      </w:r>
      <w:r w:rsidRPr="0065643D">
        <w:rPr>
          <w:rFonts w:ascii="David" w:eastAsia="Times New Roman" w:hAnsi="David" w:cs="David" w:hint="cs"/>
          <w:color w:val="222222"/>
          <w:sz w:val="24"/>
          <w:szCs w:val="24"/>
          <w:rtl/>
        </w:rPr>
        <w:t>פרטי אישום</w:t>
      </w:r>
      <w:r>
        <w:rPr>
          <w:rFonts w:ascii="David" w:eastAsia="Times New Roman" w:hAnsi="David" w:cs="David" w:hint="cs"/>
          <w:b/>
          <w:bCs/>
          <w:color w:val="222222"/>
          <w:sz w:val="24"/>
          <w:szCs w:val="24"/>
          <w:rtl/>
        </w:rPr>
        <w:t xml:space="preserve"> </w:t>
      </w:r>
      <w:r w:rsidRPr="0065643D">
        <w:rPr>
          <w:rFonts w:ascii="David" w:eastAsia="Times New Roman" w:hAnsi="David" w:cs="David" w:hint="cs"/>
          <w:color w:val="222222"/>
          <w:sz w:val="24"/>
          <w:szCs w:val="24"/>
          <w:rtl/>
        </w:rPr>
        <w:t>הנושאים</w:t>
      </w:r>
      <w:r>
        <w:rPr>
          <w:rFonts w:ascii="David" w:eastAsia="Times New Roman" w:hAnsi="David" w:cs="David" w:hint="cs"/>
          <w:b/>
          <w:bCs/>
          <w:color w:val="222222"/>
          <w:sz w:val="24"/>
          <w:szCs w:val="24"/>
          <w:rtl/>
        </w:rPr>
        <w:t xml:space="preserve"> אופי מיני</w:t>
      </w:r>
      <w:r>
        <w:rPr>
          <w:rFonts w:ascii="David" w:eastAsia="Times New Roman" w:hAnsi="David" w:cs="David" w:hint="cs"/>
          <w:color w:val="222222"/>
          <w:sz w:val="24"/>
          <w:szCs w:val="24"/>
          <w:rtl/>
        </w:rPr>
        <w:t xml:space="preserve">, </w:t>
      </w:r>
      <w:r w:rsidRPr="0065643D">
        <w:rPr>
          <w:rFonts w:ascii="David" w:eastAsia="Times New Roman" w:hAnsi="David" w:cs="David" w:hint="cs"/>
          <w:b/>
          <w:bCs/>
          <w:color w:val="222222"/>
          <w:sz w:val="24"/>
          <w:szCs w:val="24"/>
          <w:rtl/>
        </w:rPr>
        <w:t>האחד</w:t>
      </w:r>
      <w:r>
        <w:rPr>
          <w:rFonts w:ascii="David" w:eastAsia="Times New Roman" w:hAnsi="David" w:cs="David" w:hint="cs"/>
          <w:color w:val="222222"/>
          <w:sz w:val="24"/>
          <w:szCs w:val="24"/>
          <w:rtl/>
        </w:rPr>
        <w:t xml:space="preserve">, מתאר </w:t>
      </w:r>
      <w:r w:rsidRPr="0065643D">
        <w:rPr>
          <w:rFonts w:ascii="David" w:eastAsia="Times New Roman" w:hAnsi="David" w:cs="David" w:hint="cs"/>
          <w:color w:val="222222"/>
          <w:sz w:val="24"/>
          <w:szCs w:val="24"/>
          <w:rtl/>
        </w:rPr>
        <w:t>מעשים</w:t>
      </w:r>
      <w:r w:rsidRPr="0065643D">
        <w:rPr>
          <w:rFonts w:ascii="David" w:eastAsia="Times New Roman" w:hAnsi="David" w:cs="David" w:hint="cs"/>
          <w:b/>
          <w:bCs/>
          <w:color w:val="222222"/>
          <w:sz w:val="24"/>
          <w:szCs w:val="24"/>
          <w:rtl/>
        </w:rPr>
        <w:t xml:space="preserve"> חוזרים ונשנים </w:t>
      </w:r>
      <w:r w:rsidRPr="0065643D">
        <w:rPr>
          <w:rFonts w:ascii="David" w:eastAsia="Times New Roman" w:hAnsi="David" w:cs="David" w:hint="cs"/>
          <w:color w:val="222222"/>
          <w:sz w:val="24"/>
          <w:szCs w:val="24"/>
          <w:rtl/>
        </w:rPr>
        <w:t>בתדירות קבועה</w:t>
      </w:r>
      <w:r>
        <w:rPr>
          <w:rFonts w:ascii="David" w:eastAsia="Times New Roman" w:hAnsi="David" w:cs="David" w:hint="cs"/>
          <w:color w:val="222222"/>
          <w:sz w:val="24"/>
          <w:szCs w:val="24"/>
          <w:rtl/>
        </w:rPr>
        <w:t xml:space="preserve"> של </w:t>
      </w:r>
      <w:r w:rsidR="002B09EB">
        <w:rPr>
          <w:rFonts w:ascii="David" w:eastAsia="Times New Roman" w:hAnsi="David" w:cs="David" w:hint="cs"/>
          <w:color w:val="222222"/>
          <w:sz w:val="24"/>
          <w:szCs w:val="24"/>
          <w:rtl/>
        </w:rPr>
        <w:t>הכאת</w:t>
      </w:r>
      <w:r>
        <w:rPr>
          <w:rFonts w:ascii="David" w:eastAsia="Times New Roman" w:hAnsi="David" w:cs="David" w:hint="cs"/>
          <w:color w:val="222222"/>
          <w:sz w:val="24"/>
          <w:szCs w:val="24"/>
          <w:rtl/>
        </w:rPr>
        <w:t xml:space="preserve"> איבר מינו של נפגע העבירה </w:t>
      </w:r>
      <w:r w:rsidRPr="0065643D">
        <w:rPr>
          <w:rFonts w:ascii="David" w:eastAsia="Times New Roman" w:hAnsi="David" w:cs="David" w:hint="cs"/>
          <w:b/>
          <w:bCs/>
          <w:color w:val="222222"/>
          <w:sz w:val="24"/>
          <w:szCs w:val="24"/>
          <w:rtl/>
        </w:rPr>
        <w:t>והאחר</w:t>
      </w:r>
      <w:r>
        <w:rPr>
          <w:rFonts w:ascii="David" w:eastAsia="Times New Roman" w:hAnsi="David" w:cs="David" w:hint="cs"/>
          <w:color w:val="222222"/>
          <w:sz w:val="24"/>
          <w:szCs w:val="24"/>
          <w:rtl/>
        </w:rPr>
        <w:t xml:space="preserve"> מתאר </w:t>
      </w:r>
      <w:r w:rsidRPr="0065643D">
        <w:rPr>
          <w:rFonts w:ascii="David" w:eastAsia="Times New Roman" w:hAnsi="David" w:cs="David" w:hint="cs"/>
          <w:color w:val="222222"/>
          <w:sz w:val="24"/>
          <w:szCs w:val="24"/>
          <w:rtl/>
        </w:rPr>
        <w:t>חשיפת איבר מינו בצירוף הצעה</w:t>
      </w:r>
      <w:r w:rsidRPr="0065643D">
        <w:rPr>
          <w:rFonts w:ascii="David" w:eastAsia="Times New Roman" w:hAnsi="David" w:cs="David" w:hint="cs"/>
          <w:b/>
          <w:bCs/>
          <w:color w:val="222222"/>
          <w:sz w:val="24"/>
          <w:szCs w:val="24"/>
          <w:rtl/>
        </w:rPr>
        <w:t xml:space="preserve"> </w:t>
      </w:r>
      <w:r>
        <w:rPr>
          <w:rFonts w:ascii="David" w:eastAsia="Times New Roman" w:hAnsi="David" w:cs="David" w:hint="cs"/>
          <w:color w:val="222222"/>
          <w:sz w:val="24"/>
          <w:szCs w:val="24"/>
          <w:rtl/>
        </w:rPr>
        <w:t>בעל</w:t>
      </w:r>
      <w:r w:rsidR="002B09EB">
        <w:rPr>
          <w:rFonts w:ascii="David" w:eastAsia="Times New Roman" w:hAnsi="David" w:cs="David" w:hint="cs"/>
          <w:color w:val="222222"/>
          <w:sz w:val="24"/>
          <w:szCs w:val="24"/>
          <w:rtl/>
        </w:rPr>
        <w:t>ת</w:t>
      </w:r>
      <w:r>
        <w:rPr>
          <w:rFonts w:ascii="David" w:eastAsia="Times New Roman" w:hAnsi="David" w:cs="David" w:hint="cs"/>
          <w:color w:val="222222"/>
          <w:sz w:val="24"/>
          <w:szCs w:val="24"/>
          <w:rtl/>
        </w:rPr>
        <w:t xml:space="preserve"> אופי מיני לנפגע העבירה</w:t>
      </w:r>
      <w:r w:rsidR="00A66D90">
        <w:rPr>
          <w:rFonts w:ascii="David" w:eastAsia="Times New Roman" w:hAnsi="David" w:cs="David" w:hint="cs"/>
          <w:color w:val="222222"/>
          <w:sz w:val="24"/>
          <w:szCs w:val="24"/>
          <w:rtl/>
        </w:rPr>
        <w:t xml:space="preserve"> בעת ששהו השניים לבדם בחדר המשותף</w:t>
      </w:r>
      <w:r>
        <w:rPr>
          <w:rFonts w:ascii="David" w:eastAsia="Times New Roman" w:hAnsi="David" w:cs="David" w:hint="cs"/>
          <w:color w:val="222222"/>
          <w:sz w:val="24"/>
          <w:szCs w:val="24"/>
          <w:rtl/>
        </w:rPr>
        <w:t xml:space="preserve">; ביחס </w:t>
      </w:r>
      <w:r w:rsidR="002B09EB">
        <w:rPr>
          <w:rFonts w:ascii="David" w:eastAsia="Times New Roman" w:hAnsi="David" w:cs="David" w:hint="cs"/>
          <w:color w:val="222222"/>
          <w:sz w:val="24"/>
          <w:szCs w:val="24"/>
          <w:rtl/>
        </w:rPr>
        <w:t xml:space="preserve">לסמ"ר </w:t>
      </w:r>
      <w:proofErr w:type="spellStart"/>
      <w:r w:rsidR="002B09EB">
        <w:rPr>
          <w:rFonts w:ascii="David" w:eastAsia="Times New Roman" w:hAnsi="David" w:cs="David" w:hint="cs"/>
          <w:color w:val="222222"/>
          <w:sz w:val="24"/>
          <w:szCs w:val="24"/>
          <w:rtl/>
        </w:rPr>
        <w:t>רושני</w:t>
      </w:r>
      <w:proofErr w:type="spellEnd"/>
      <w:r>
        <w:rPr>
          <w:rFonts w:ascii="David" w:eastAsia="Times New Roman" w:hAnsi="David" w:cs="David" w:hint="cs"/>
          <w:color w:val="222222"/>
          <w:sz w:val="24"/>
          <w:szCs w:val="24"/>
          <w:rtl/>
        </w:rPr>
        <w:t xml:space="preserve"> דובר על אירוע נקודתי </w:t>
      </w:r>
      <w:r w:rsidRPr="002B09EB">
        <w:rPr>
          <w:rFonts w:ascii="David" w:eastAsia="Times New Roman" w:hAnsi="David" w:cs="David" w:hint="cs"/>
          <w:b/>
          <w:bCs/>
          <w:color w:val="222222"/>
          <w:sz w:val="24"/>
          <w:szCs w:val="24"/>
          <w:rtl/>
        </w:rPr>
        <w:t>אחד</w:t>
      </w:r>
      <w:r>
        <w:rPr>
          <w:rFonts w:ascii="David" w:eastAsia="Times New Roman" w:hAnsi="David" w:cs="David" w:hint="cs"/>
          <w:color w:val="222222"/>
          <w:sz w:val="24"/>
          <w:szCs w:val="24"/>
          <w:rtl/>
        </w:rPr>
        <w:t xml:space="preserve"> של </w:t>
      </w:r>
      <w:r w:rsidR="002B09EB">
        <w:rPr>
          <w:rFonts w:ascii="David" w:eastAsia="Times New Roman" w:hAnsi="David" w:cs="David" w:hint="cs"/>
          <w:color w:val="222222"/>
          <w:sz w:val="24"/>
          <w:szCs w:val="24"/>
          <w:rtl/>
        </w:rPr>
        <w:t xml:space="preserve">דחיפת מקל לעבר </w:t>
      </w:r>
      <w:r>
        <w:rPr>
          <w:rFonts w:ascii="David" w:eastAsia="Times New Roman" w:hAnsi="David" w:cs="David" w:hint="cs"/>
          <w:color w:val="222222"/>
          <w:sz w:val="24"/>
          <w:szCs w:val="24"/>
          <w:rtl/>
        </w:rPr>
        <w:t xml:space="preserve">ישבנו </w:t>
      </w:r>
      <w:r w:rsidR="002B09EB">
        <w:rPr>
          <w:rFonts w:ascii="David" w:eastAsia="Times New Roman" w:hAnsi="David" w:cs="David" w:hint="cs"/>
          <w:color w:val="222222"/>
          <w:sz w:val="24"/>
          <w:szCs w:val="24"/>
          <w:rtl/>
        </w:rPr>
        <w:t>של נפגע העבירה</w:t>
      </w:r>
      <w:r w:rsidR="00A66D90">
        <w:rPr>
          <w:rFonts w:ascii="David" w:eastAsia="Times New Roman" w:hAnsi="David" w:cs="David" w:hint="cs"/>
          <w:color w:val="222222"/>
          <w:sz w:val="24"/>
          <w:szCs w:val="24"/>
          <w:rtl/>
        </w:rPr>
        <w:t xml:space="preserve"> במקום ציבורי וגלוי</w:t>
      </w:r>
      <w:r>
        <w:rPr>
          <w:rFonts w:ascii="David" w:eastAsia="Times New Roman" w:hAnsi="David" w:cs="David" w:hint="cs"/>
          <w:color w:val="222222"/>
          <w:sz w:val="24"/>
          <w:szCs w:val="24"/>
          <w:rtl/>
        </w:rPr>
        <w:t xml:space="preserve">. קשה להבין את טענת ההגנה כי המעשה שבו נחשד </w:t>
      </w:r>
      <w:r w:rsidR="002B09EB">
        <w:rPr>
          <w:rFonts w:ascii="David" w:eastAsia="Times New Roman" w:hAnsi="David" w:cs="David" w:hint="cs"/>
          <w:color w:val="222222"/>
          <w:sz w:val="24"/>
          <w:szCs w:val="24"/>
          <w:rtl/>
        </w:rPr>
        <w:t xml:space="preserve">סמ"ר </w:t>
      </w:r>
      <w:proofErr w:type="spellStart"/>
      <w:r>
        <w:rPr>
          <w:rFonts w:ascii="David" w:eastAsia="Times New Roman" w:hAnsi="David" w:cs="David" w:hint="cs"/>
          <w:color w:val="222222"/>
          <w:sz w:val="24"/>
          <w:szCs w:val="24"/>
          <w:rtl/>
        </w:rPr>
        <w:t>רושני</w:t>
      </w:r>
      <w:proofErr w:type="spellEnd"/>
      <w:r>
        <w:rPr>
          <w:rFonts w:ascii="David" w:eastAsia="Times New Roman" w:hAnsi="David" w:cs="David" w:hint="cs"/>
          <w:color w:val="222222"/>
          <w:sz w:val="24"/>
          <w:szCs w:val="24"/>
          <w:rtl/>
        </w:rPr>
        <w:t xml:space="preserve"> ואשר עליו נשפט בדין משמעתי חמור מהמעשים המיוחסים למבקש. </w:t>
      </w:r>
      <w:r w:rsidR="002B09EB">
        <w:rPr>
          <w:rFonts w:ascii="David" w:eastAsia="Times New Roman" w:hAnsi="David" w:cs="David" w:hint="cs"/>
          <w:color w:val="222222"/>
          <w:sz w:val="24"/>
          <w:szCs w:val="24"/>
          <w:rtl/>
        </w:rPr>
        <w:t xml:space="preserve">הנמקת הטענה בכך שמעשה </w:t>
      </w:r>
      <w:r w:rsidR="0006232B">
        <w:rPr>
          <w:rFonts w:ascii="David" w:eastAsia="Times New Roman" w:hAnsi="David" w:cs="David" w:hint="cs"/>
          <w:color w:val="222222"/>
          <w:sz w:val="24"/>
          <w:szCs w:val="24"/>
          <w:rtl/>
        </w:rPr>
        <w:t xml:space="preserve">סמ"ר </w:t>
      </w:r>
      <w:proofErr w:type="spellStart"/>
      <w:r w:rsidR="002B09EB">
        <w:rPr>
          <w:rFonts w:ascii="David" w:eastAsia="Times New Roman" w:hAnsi="David" w:cs="David" w:hint="cs"/>
          <w:color w:val="222222"/>
          <w:sz w:val="24"/>
          <w:szCs w:val="24"/>
          <w:rtl/>
        </w:rPr>
        <w:t>רושני</w:t>
      </w:r>
      <w:proofErr w:type="spellEnd"/>
      <w:r w:rsidR="002B09EB">
        <w:rPr>
          <w:rFonts w:ascii="David" w:eastAsia="Times New Roman" w:hAnsi="David" w:cs="David" w:hint="cs"/>
          <w:color w:val="222222"/>
          <w:sz w:val="24"/>
          <w:szCs w:val="24"/>
          <w:rtl/>
        </w:rPr>
        <w:t xml:space="preserve"> כולל נגיעה פיזית בעוד שמעשיו של המבקש לא, אינה נכונה </w:t>
      </w:r>
      <w:r w:rsidR="0006232B">
        <w:rPr>
          <w:rFonts w:ascii="David" w:eastAsia="Times New Roman" w:hAnsi="David" w:cs="David" w:hint="cs"/>
          <w:color w:val="222222"/>
          <w:sz w:val="24"/>
          <w:szCs w:val="24"/>
          <w:rtl/>
        </w:rPr>
        <w:t xml:space="preserve">עובדתית (פרט האישום הראשון) </w:t>
      </w:r>
      <w:r w:rsidR="002B09EB">
        <w:rPr>
          <w:rFonts w:ascii="David" w:eastAsia="Times New Roman" w:hAnsi="David" w:cs="David" w:hint="cs"/>
          <w:color w:val="222222"/>
          <w:sz w:val="24"/>
          <w:szCs w:val="24"/>
          <w:rtl/>
        </w:rPr>
        <w:t>ואינה מניחה את הדעת</w:t>
      </w:r>
      <w:r w:rsidR="0006232B">
        <w:rPr>
          <w:rFonts w:ascii="David" w:eastAsia="Times New Roman" w:hAnsi="David" w:cs="David" w:hint="cs"/>
          <w:color w:val="222222"/>
          <w:sz w:val="24"/>
          <w:szCs w:val="24"/>
          <w:rtl/>
        </w:rPr>
        <w:t xml:space="preserve"> (בהשוואה לחומרה המשתקפת מפרט האישום השני)</w:t>
      </w:r>
      <w:r w:rsidR="002B09EB">
        <w:rPr>
          <w:rFonts w:ascii="David" w:eastAsia="Times New Roman" w:hAnsi="David" w:cs="David" w:hint="cs"/>
          <w:color w:val="222222"/>
          <w:sz w:val="24"/>
          <w:szCs w:val="24"/>
          <w:rtl/>
        </w:rPr>
        <w:t xml:space="preserve">. </w:t>
      </w:r>
      <w:r w:rsidR="00A66D90" w:rsidRPr="00A66D90">
        <w:rPr>
          <w:rFonts w:ascii="David" w:eastAsia="Times New Roman" w:hAnsi="David" w:cs="David" w:hint="cs"/>
          <w:color w:val="222222"/>
          <w:sz w:val="24"/>
          <w:szCs w:val="24"/>
          <w:rtl/>
        </w:rPr>
        <w:t xml:space="preserve">עצם ההצבעה על כך שמדובר באירועים "דומים" שהתרחשו ב"אותו גדוד" ובאותה "מסגרת זמנים", כהשקפת ההגנה </w:t>
      </w:r>
      <w:r w:rsidR="00A66D90" w:rsidRPr="00A66D90">
        <w:rPr>
          <w:rFonts w:ascii="David" w:eastAsia="Times New Roman" w:hAnsi="David" w:cs="David" w:hint="cs"/>
          <w:b/>
          <w:bCs/>
          <w:color w:val="222222"/>
          <w:sz w:val="24"/>
          <w:szCs w:val="24"/>
          <w:rtl/>
        </w:rPr>
        <w:t>אינה</w:t>
      </w:r>
      <w:r w:rsidR="00A66D90" w:rsidRPr="00A66D90">
        <w:rPr>
          <w:rFonts w:ascii="David" w:eastAsia="Times New Roman" w:hAnsi="David" w:cs="David" w:hint="cs"/>
          <w:color w:val="222222"/>
          <w:sz w:val="24"/>
          <w:szCs w:val="24"/>
          <w:rtl/>
        </w:rPr>
        <w:t xml:space="preserve"> מבססת את אותו מכנה משותף מהותי הדרוש לשם ביסוס טענה זו, כאשר קיים לכאורה</w:t>
      </w:r>
      <w:r w:rsidRPr="00A66D90">
        <w:rPr>
          <w:rFonts w:ascii="David" w:eastAsia="Times New Roman" w:hAnsi="David" w:cs="David" w:hint="cs"/>
          <w:color w:val="222222"/>
          <w:sz w:val="24"/>
          <w:szCs w:val="24"/>
          <w:rtl/>
        </w:rPr>
        <w:t xml:space="preserve"> </w:t>
      </w:r>
      <w:r w:rsidRPr="00A66D90">
        <w:rPr>
          <w:rFonts w:ascii="David" w:eastAsia="Times New Roman" w:hAnsi="David" w:cs="David" w:hint="cs"/>
          <w:b/>
          <w:bCs/>
          <w:color w:val="222222"/>
          <w:sz w:val="24"/>
          <w:szCs w:val="24"/>
          <w:rtl/>
        </w:rPr>
        <w:t>הבדל מהותי</w:t>
      </w:r>
      <w:r w:rsidRPr="00A66D90">
        <w:rPr>
          <w:rFonts w:ascii="David" w:eastAsia="Times New Roman" w:hAnsi="David" w:cs="David" w:hint="cs"/>
          <w:color w:val="222222"/>
          <w:sz w:val="24"/>
          <w:szCs w:val="24"/>
          <w:rtl/>
        </w:rPr>
        <w:t xml:space="preserve"> בין התשתית העובדתית הניצבת בבסיס המעשה של </w:t>
      </w:r>
      <w:r w:rsidR="0006232B" w:rsidRPr="00A66D90">
        <w:rPr>
          <w:rFonts w:ascii="David" w:eastAsia="Times New Roman" w:hAnsi="David" w:cs="David" w:hint="cs"/>
          <w:color w:val="222222"/>
          <w:sz w:val="24"/>
          <w:szCs w:val="24"/>
          <w:rtl/>
        </w:rPr>
        <w:t xml:space="preserve">סמ"ר </w:t>
      </w:r>
      <w:proofErr w:type="spellStart"/>
      <w:r w:rsidRPr="00A66D90">
        <w:rPr>
          <w:rFonts w:ascii="David" w:eastAsia="Times New Roman" w:hAnsi="David" w:cs="David" w:hint="cs"/>
          <w:color w:val="222222"/>
          <w:sz w:val="24"/>
          <w:szCs w:val="24"/>
          <w:rtl/>
        </w:rPr>
        <w:t>רושני</w:t>
      </w:r>
      <w:proofErr w:type="spellEnd"/>
      <w:r w:rsidRPr="00A66D90">
        <w:rPr>
          <w:rFonts w:ascii="David" w:eastAsia="Times New Roman" w:hAnsi="David" w:cs="David" w:hint="cs"/>
          <w:color w:val="222222"/>
          <w:sz w:val="24"/>
          <w:szCs w:val="24"/>
          <w:rtl/>
        </w:rPr>
        <w:t xml:space="preserve"> לבין המעשים שבהם מואשם המבקש. השוני נעוץ </w:t>
      </w:r>
      <w:r w:rsidRPr="00A66D90">
        <w:rPr>
          <w:rFonts w:ascii="David" w:eastAsia="Times New Roman" w:hAnsi="David" w:cs="David" w:hint="cs"/>
          <w:b/>
          <w:bCs/>
          <w:color w:val="222222"/>
          <w:sz w:val="24"/>
          <w:szCs w:val="24"/>
          <w:rtl/>
        </w:rPr>
        <w:t>בתדירות</w:t>
      </w:r>
      <w:r w:rsidRPr="00A66D90">
        <w:rPr>
          <w:rFonts w:ascii="David" w:eastAsia="Times New Roman" w:hAnsi="David" w:cs="David" w:hint="cs"/>
          <w:color w:val="222222"/>
          <w:sz w:val="24"/>
          <w:szCs w:val="24"/>
          <w:rtl/>
        </w:rPr>
        <w:t xml:space="preserve"> המעשים, </w:t>
      </w:r>
      <w:r w:rsidRPr="00A66D90">
        <w:rPr>
          <w:rFonts w:ascii="David" w:eastAsia="Times New Roman" w:hAnsi="David" w:cs="David" w:hint="cs"/>
          <w:b/>
          <w:bCs/>
          <w:color w:val="222222"/>
          <w:sz w:val="24"/>
          <w:szCs w:val="24"/>
          <w:rtl/>
        </w:rPr>
        <w:t>במהותם ובאופיים</w:t>
      </w:r>
      <w:r w:rsidR="00A66D90" w:rsidRPr="00A66D90">
        <w:rPr>
          <w:rFonts w:ascii="David" w:eastAsia="Times New Roman" w:hAnsi="David" w:cs="David" w:hint="cs"/>
          <w:color w:val="222222"/>
          <w:sz w:val="24"/>
          <w:szCs w:val="24"/>
          <w:rtl/>
        </w:rPr>
        <w:t xml:space="preserve"> והם העיקר, לא נסיבות רקע למעשים שעניינם התקופה, היחידה או המקום שבו הם לכאורה בוצעו</w:t>
      </w:r>
      <w:r w:rsidR="004E2253">
        <w:rPr>
          <w:rFonts w:ascii="David" w:eastAsia="Times New Roman" w:hAnsi="David" w:cs="David" w:hint="cs"/>
          <w:color w:val="222222"/>
          <w:sz w:val="24"/>
          <w:szCs w:val="24"/>
          <w:rtl/>
        </w:rPr>
        <w:t xml:space="preserve"> (גם </w:t>
      </w:r>
      <w:r w:rsidR="004E2253">
        <w:rPr>
          <w:rFonts w:ascii="David" w:eastAsia="Times New Roman" w:hAnsi="David" w:cs="David" w:hint="cs"/>
          <w:color w:val="222222"/>
          <w:sz w:val="24"/>
          <w:szCs w:val="24"/>
          <w:rtl/>
        </w:rPr>
        <w:lastRenderedPageBreak/>
        <w:t xml:space="preserve">מקריאת אמרת נפגע העבירה במצ"ח ניתן להתרשם שמדובר באירועים שנתפסו בעיניו אחרת,  מעשי המבקש וסמ"ר </w:t>
      </w:r>
      <w:proofErr w:type="spellStart"/>
      <w:r w:rsidR="004E2253">
        <w:rPr>
          <w:rFonts w:ascii="David" w:eastAsia="Times New Roman" w:hAnsi="David" w:cs="David" w:hint="cs"/>
          <w:color w:val="222222"/>
          <w:sz w:val="24"/>
          <w:szCs w:val="24"/>
          <w:rtl/>
        </w:rPr>
        <w:t>אברמוב</w:t>
      </w:r>
      <w:proofErr w:type="spellEnd"/>
      <w:r w:rsidR="004E2253">
        <w:rPr>
          <w:rFonts w:ascii="David" w:eastAsia="Times New Roman" w:hAnsi="David" w:cs="David" w:hint="cs"/>
          <w:color w:val="222222"/>
          <w:sz w:val="24"/>
          <w:szCs w:val="24"/>
          <w:rtl/>
        </w:rPr>
        <w:t xml:space="preserve"> </w:t>
      </w:r>
      <w:r w:rsidR="004E2253">
        <w:rPr>
          <w:rFonts w:ascii="David" w:eastAsia="Times New Roman" w:hAnsi="David" w:cs="David"/>
          <w:color w:val="222222"/>
          <w:sz w:val="24"/>
          <w:szCs w:val="24"/>
          <w:rtl/>
        </w:rPr>
        <w:t>–</w:t>
      </w:r>
      <w:r w:rsidR="004E2253">
        <w:rPr>
          <w:rFonts w:ascii="David" w:eastAsia="Times New Roman" w:hAnsi="David" w:cs="David" w:hint="cs"/>
          <w:color w:val="222222"/>
          <w:sz w:val="24"/>
          <w:szCs w:val="24"/>
          <w:rtl/>
        </w:rPr>
        <w:t xml:space="preserve">בעמ' 3-2, 6,7,9, לאמרה מיום 27.2.2019 לעומת תיאור האירוע עם סמ"ר </w:t>
      </w:r>
      <w:proofErr w:type="spellStart"/>
      <w:r w:rsidR="004E2253">
        <w:rPr>
          <w:rFonts w:ascii="David" w:eastAsia="Times New Roman" w:hAnsi="David" w:cs="David" w:hint="cs"/>
          <w:color w:val="222222"/>
          <w:sz w:val="24"/>
          <w:szCs w:val="24"/>
          <w:rtl/>
        </w:rPr>
        <w:t>רושני</w:t>
      </w:r>
      <w:proofErr w:type="spellEnd"/>
      <w:r w:rsidR="004E2253">
        <w:rPr>
          <w:rFonts w:ascii="David" w:eastAsia="Times New Roman" w:hAnsi="David" w:cs="David" w:hint="cs"/>
          <w:color w:val="222222"/>
          <w:sz w:val="24"/>
          <w:szCs w:val="24"/>
          <w:rtl/>
        </w:rPr>
        <w:t xml:space="preserve"> בעמ' 4 ש' 80-77)</w:t>
      </w:r>
      <w:r w:rsidRPr="00A66D90">
        <w:rPr>
          <w:rFonts w:ascii="David" w:eastAsia="Times New Roman" w:hAnsi="David" w:cs="David" w:hint="cs"/>
          <w:color w:val="222222"/>
          <w:sz w:val="24"/>
          <w:szCs w:val="24"/>
          <w:rtl/>
        </w:rPr>
        <w:t xml:space="preserve">. לא זהו המקום להעמיק </w:t>
      </w:r>
      <w:r w:rsidR="00FC5CF5">
        <w:rPr>
          <w:rFonts w:ascii="David" w:eastAsia="Times New Roman" w:hAnsi="David" w:cs="David" w:hint="cs"/>
          <w:color w:val="222222"/>
          <w:sz w:val="24"/>
          <w:szCs w:val="24"/>
          <w:rtl/>
        </w:rPr>
        <w:t>בצדקת הטיעון בדבר אכיפה בררנית</w:t>
      </w:r>
      <w:r w:rsidRPr="00A66D90">
        <w:rPr>
          <w:rFonts w:ascii="David" w:eastAsia="Times New Roman" w:hAnsi="David" w:cs="David" w:hint="cs"/>
          <w:color w:val="222222"/>
          <w:sz w:val="24"/>
          <w:szCs w:val="24"/>
          <w:rtl/>
        </w:rPr>
        <w:t xml:space="preserve">, אך, </w:t>
      </w:r>
      <w:r w:rsidR="0006232B" w:rsidRPr="00A66D90">
        <w:rPr>
          <w:rFonts w:ascii="David" w:eastAsia="Times New Roman" w:hAnsi="David" w:cs="David" w:hint="cs"/>
          <w:color w:val="222222"/>
          <w:sz w:val="24"/>
          <w:szCs w:val="24"/>
          <w:rtl/>
        </w:rPr>
        <w:t>ניתן</w:t>
      </w:r>
      <w:r w:rsidRPr="00A66D90">
        <w:rPr>
          <w:rFonts w:ascii="David" w:eastAsia="Times New Roman" w:hAnsi="David" w:cs="David" w:hint="cs"/>
          <w:color w:val="222222"/>
          <w:sz w:val="24"/>
          <w:szCs w:val="24"/>
          <w:rtl/>
        </w:rPr>
        <w:t xml:space="preserve"> לקבוע</w:t>
      </w:r>
      <w:r w:rsidR="00B47BA3">
        <w:rPr>
          <w:rFonts w:ascii="David" w:eastAsia="Times New Roman" w:hAnsi="David" w:cs="David" w:hint="cs"/>
          <w:color w:val="222222"/>
          <w:sz w:val="24"/>
          <w:szCs w:val="24"/>
          <w:rtl/>
        </w:rPr>
        <w:t>,</w:t>
      </w:r>
      <w:r w:rsidRPr="00A66D90">
        <w:rPr>
          <w:rFonts w:ascii="David" w:eastAsia="Times New Roman" w:hAnsi="David" w:cs="David" w:hint="cs"/>
          <w:color w:val="222222"/>
          <w:sz w:val="24"/>
          <w:szCs w:val="24"/>
          <w:rtl/>
        </w:rPr>
        <w:t xml:space="preserve"> כבר עתה</w:t>
      </w:r>
      <w:r w:rsidR="00B47BA3">
        <w:rPr>
          <w:rFonts w:ascii="David" w:eastAsia="Times New Roman" w:hAnsi="David" w:cs="David" w:hint="cs"/>
          <w:color w:val="222222"/>
          <w:sz w:val="24"/>
          <w:szCs w:val="24"/>
          <w:rtl/>
        </w:rPr>
        <w:t>,</w:t>
      </w:r>
      <w:r w:rsidRPr="00A66D90">
        <w:rPr>
          <w:rFonts w:ascii="David" w:eastAsia="Times New Roman" w:hAnsi="David" w:cs="David" w:hint="cs"/>
          <w:color w:val="222222"/>
          <w:sz w:val="24"/>
          <w:szCs w:val="24"/>
          <w:rtl/>
        </w:rPr>
        <w:t xml:space="preserve"> </w:t>
      </w:r>
      <w:r w:rsidR="00FC5CF5" w:rsidRPr="00A66D90">
        <w:rPr>
          <w:rFonts w:ascii="David" w:eastAsia="Times New Roman" w:hAnsi="David" w:cs="David" w:hint="cs"/>
          <w:color w:val="222222"/>
          <w:sz w:val="24"/>
          <w:szCs w:val="24"/>
          <w:rtl/>
        </w:rPr>
        <w:t>כי</w:t>
      </w:r>
      <w:r w:rsidR="00FC5CF5" w:rsidRPr="00A66D90">
        <w:rPr>
          <w:rFonts w:ascii="David" w:eastAsia="Times New Roman" w:hAnsi="David" w:cs="David" w:hint="cs"/>
          <w:b/>
          <w:bCs/>
          <w:color w:val="222222"/>
          <w:sz w:val="24"/>
          <w:szCs w:val="24"/>
          <w:rtl/>
        </w:rPr>
        <w:t xml:space="preserve"> </w:t>
      </w:r>
      <w:r w:rsidRPr="00A66D90">
        <w:rPr>
          <w:rFonts w:ascii="David" w:eastAsia="Times New Roman" w:hAnsi="David" w:cs="David" w:hint="cs"/>
          <w:b/>
          <w:bCs/>
          <w:color w:val="222222"/>
          <w:sz w:val="24"/>
          <w:szCs w:val="24"/>
          <w:rtl/>
        </w:rPr>
        <w:t>לא</w:t>
      </w:r>
      <w:r w:rsidRPr="00A66D90">
        <w:rPr>
          <w:rFonts w:ascii="David" w:eastAsia="Times New Roman" w:hAnsi="David" w:cs="David" w:hint="cs"/>
          <w:color w:val="222222"/>
          <w:sz w:val="24"/>
          <w:szCs w:val="24"/>
          <w:rtl/>
        </w:rPr>
        <w:t xml:space="preserve"> עלה בידי</w:t>
      </w:r>
      <w:r>
        <w:rPr>
          <w:rFonts w:ascii="David" w:eastAsia="Times New Roman" w:hAnsi="David" w:cs="David" w:hint="cs"/>
          <w:color w:val="222222"/>
          <w:sz w:val="24"/>
          <w:szCs w:val="24"/>
          <w:rtl/>
        </w:rPr>
        <w:t xml:space="preserve"> הסנגור להצביע על אותה </w:t>
      </w:r>
      <w:r w:rsidR="0006232B">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תשתית </w:t>
      </w:r>
      <w:r w:rsidR="0006232B">
        <w:rPr>
          <w:rFonts w:ascii="David" w:eastAsia="Times New Roman" w:hAnsi="David" w:cs="David" w:hint="cs"/>
          <w:color w:val="222222"/>
          <w:sz w:val="24"/>
          <w:szCs w:val="24"/>
          <w:rtl/>
        </w:rPr>
        <w:t xml:space="preserve">לכאורית </w:t>
      </w:r>
      <w:r>
        <w:rPr>
          <w:rFonts w:ascii="David" w:eastAsia="Times New Roman" w:hAnsi="David" w:cs="David" w:hint="cs"/>
          <w:color w:val="222222"/>
          <w:sz w:val="24"/>
          <w:szCs w:val="24"/>
          <w:rtl/>
        </w:rPr>
        <w:t>ראשונית</w:t>
      </w:r>
      <w:r w:rsidR="0006232B">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0006232B">
        <w:rPr>
          <w:rFonts w:ascii="David" w:eastAsia="Times New Roman" w:hAnsi="David" w:cs="David" w:hint="cs"/>
          <w:color w:val="222222"/>
          <w:sz w:val="24"/>
          <w:szCs w:val="24"/>
          <w:rtl/>
        </w:rPr>
        <w:t>התומכת ב</w:t>
      </w:r>
      <w:r>
        <w:rPr>
          <w:rFonts w:ascii="David" w:eastAsia="Times New Roman" w:hAnsi="David" w:cs="David" w:hint="cs"/>
          <w:color w:val="222222"/>
          <w:sz w:val="24"/>
          <w:szCs w:val="24"/>
          <w:rtl/>
        </w:rPr>
        <w:t xml:space="preserve">העלאת הטענה בדבר אכיפה בררנית. </w:t>
      </w:r>
    </w:p>
    <w:p w14:paraId="3D100D2F" w14:textId="77777777" w:rsidR="00826A44" w:rsidRDefault="00B85666" w:rsidP="0006232B">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על אף האמור, נאותה התביעה </w:t>
      </w:r>
      <w:r w:rsidR="0065643D">
        <w:rPr>
          <w:rFonts w:ascii="David" w:eastAsia="Times New Roman" w:hAnsi="David" w:cs="David" w:hint="cs"/>
          <w:color w:val="222222"/>
          <w:sz w:val="24"/>
          <w:szCs w:val="24"/>
          <w:rtl/>
        </w:rPr>
        <w:t xml:space="preserve">באורח ראוי ובהגינות </w:t>
      </w:r>
      <w:r w:rsidR="00456777">
        <w:rPr>
          <w:rFonts w:ascii="David" w:eastAsia="Times New Roman" w:hAnsi="David" w:cs="David" w:hint="cs"/>
          <w:color w:val="222222"/>
          <w:sz w:val="24"/>
          <w:szCs w:val="24"/>
          <w:rtl/>
        </w:rPr>
        <w:t xml:space="preserve">להביא לידיעת ההגנה את </w:t>
      </w:r>
      <w:r w:rsidR="0006232B">
        <w:rPr>
          <w:rFonts w:ascii="David" w:eastAsia="Times New Roman" w:hAnsi="David" w:cs="David" w:hint="cs"/>
          <w:b/>
          <w:bCs/>
          <w:color w:val="222222"/>
          <w:sz w:val="24"/>
          <w:szCs w:val="24"/>
          <w:rtl/>
        </w:rPr>
        <w:t xml:space="preserve">תיאור המעשים </w:t>
      </w:r>
      <w:r w:rsidR="00456777">
        <w:rPr>
          <w:rFonts w:ascii="David" w:eastAsia="Times New Roman" w:hAnsi="David" w:cs="David" w:hint="cs"/>
          <w:color w:val="222222"/>
          <w:sz w:val="24"/>
          <w:szCs w:val="24"/>
          <w:rtl/>
        </w:rPr>
        <w:t xml:space="preserve">אשר עמדו בבסיס ההחלטה על העמדתו של סמ"ר רושני לדין משמעתי, ולפנים משורת הדין, הוסיפה כי תעדכן </w:t>
      </w:r>
      <w:r w:rsidR="00456777" w:rsidRPr="00456777">
        <w:rPr>
          <w:rFonts w:ascii="David" w:eastAsia="Times New Roman" w:hAnsi="David" w:cs="David" w:hint="cs"/>
          <w:b/>
          <w:bCs/>
          <w:color w:val="222222"/>
          <w:sz w:val="24"/>
          <w:szCs w:val="24"/>
          <w:rtl/>
        </w:rPr>
        <w:t>בתוצאות</w:t>
      </w:r>
      <w:r w:rsidR="00456777">
        <w:rPr>
          <w:rFonts w:ascii="David" w:eastAsia="Times New Roman" w:hAnsi="David" w:cs="David" w:hint="cs"/>
          <w:color w:val="222222"/>
          <w:sz w:val="24"/>
          <w:szCs w:val="24"/>
          <w:rtl/>
        </w:rPr>
        <w:t xml:space="preserve"> ההליך המשמעתי ש</w:t>
      </w:r>
      <w:r w:rsidR="0006232B">
        <w:rPr>
          <w:rFonts w:ascii="David" w:eastAsia="Times New Roman" w:hAnsi="David" w:cs="David" w:hint="cs"/>
          <w:color w:val="222222"/>
          <w:sz w:val="24"/>
          <w:szCs w:val="24"/>
          <w:rtl/>
        </w:rPr>
        <w:t>י</w:t>
      </w:r>
      <w:r w:rsidR="00456777">
        <w:rPr>
          <w:rFonts w:ascii="David" w:eastAsia="Times New Roman" w:hAnsi="David" w:cs="David" w:hint="cs"/>
          <w:color w:val="222222"/>
          <w:sz w:val="24"/>
          <w:szCs w:val="24"/>
          <w:rtl/>
        </w:rPr>
        <w:t xml:space="preserve">נוהל בעניינו של סמ"ר רושני. </w:t>
      </w:r>
    </w:p>
    <w:p w14:paraId="2BD68F9A" w14:textId="77777777" w:rsidR="00826A44" w:rsidRDefault="00826A44" w:rsidP="00826A44">
      <w:pPr>
        <w:pStyle w:val="ListParagraph"/>
        <w:spacing w:after="0" w:line="360" w:lineRule="auto"/>
        <w:ind w:left="643"/>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אתמול נמסר עדכון התביעה הצבאית, כי הועברה לסנגור פרפרזה מן ההליך המשמעתי שנוהל ביחס לסמ"ר </w:t>
      </w:r>
      <w:proofErr w:type="spellStart"/>
      <w:r>
        <w:rPr>
          <w:rFonts w:ascii="David" w:eastAsia="Times New Roman" w:hAnsi="David" w:cs="David" w:hint="cs"/>
          <w:color w:val="222222"/>
          <w:sz w:val="24"/>
          <w:szCs w:val="24"/>
          <w:rtl/>
        </w:rPr>
        <w:t>רושני</w:t>
      </w:r>
      <w:proofErr w:type="spellEnd"/>
      <w:r w:rsidR="00B47BA3">
        <w:rPr>
          <w:rFonts w:ascii="David" w:eastAsia="Times New Roman" w:hAnsi="David" w:cs="David" w:hint="cs"/>
          <w:color w:val="222222"/>
          <w:sz w:val="24"/>
          <w:szCs w:val="24"/>
          <w:rtl/>
        </w:rPr>
        <w:t xml:space="preserve"> ביום 26.1.2020</w:t>
      </w:r>
      <w:r>
        <w:rPr>
          <w:rFonts w:ascii="David" w:eastAsia="Times New Roman" w:hAnsi="David" w:cs="David" w:hint="cs"/>
          <w:color w:val="222222"/>
          <w:sz w:val="24"/>
          <w:szCs w:val="24"/>
          <w:rtl/>
        </w:rPr>
        <w:t xml:space="preserve">. נמסר </w:t>
      </w:r>
      <w:r w:rsidR="00B47BA3">
        <w:rPr>
          <w:rFonts w:ascii="David" w:eastAsia="Times New Roman" w:hAnsi="David" w:cs="David" w:hint="cs"/>
          <w:color w:val="222222"/>
          <w:sz w:val="24"/>
          <w:szCs w:val="24"/>
          <w:rtl/>
        </w:rPr>
        <w:t xml:space="preserve">להגנה </w:t>
      </w:r>
      <w:r>
        <w:rPr>
          <w:rFonts w:ascii="David" w:eastAsia="Times New Roman" w:hAnsi="David" w:cs="David" w:hint="cs"/>
          <w:color w:val="222222"/>
          <w:sz w:val="24"/>
          <w:szCs w:val="24"/>
          <w:rtl/>
        </w:rPr>
        <w:t xml:space="preserve">כי סמ"ר </w:t>
      </w:r>
      <w:proofErr w:type="spellStart"/>
      <w:r>
        <w:rPr>
          <w:rFonts w:ascii="David" w:eastAsia="Times New Roman" w:hAnsi="David" w:cs="David" w:hint="cs"/>
          <w:color w:val="222222"/>
          <w:sz w:val="24"/>
          <w:szCs w:val="24"/>
          <w:rtl/>
        </w:rPr>
        <w:t>רושני</w:t>
      </w:r>
      <w:proofErr w:type="spellEnd"/>
      <w:r>
        <w:rPr>
          <w:rFonts w:ascii="David" w:eastAsia="Times New Roman" w:hAnsi="David" w:cs="David" w:hint="cs"/>
          <w:color w:val="222222"/>
          <w:sz w:val="24"/>
          <w:szCs w:val="24"/>
          <w:rtl/>
        </w:rPr>
        <w:t xml:space="preserve"> הורשע "בגין המעשה בשק"ם" והוטל עליו עונש מחבוש על תנאי, וכי גם במעשה "הניסיון לגרום לנפגע העבירה לחזור בו מתלונתו" הוא נמצא אשם, בהליך המשמעתי, והוטל עליו עונש של נזיפה.   </w:t>
      </w:r>
    </w:p>
    <w:p w14:paraId="614FE461" w14:textId="77777777" w:rsidR="0006232B" w:rsidRDefault="00456777" w:rsidP="00B47BA3">
      <w:pPr>
        <w:pStyle w:val="ListParagraph"/>
        <w:spacing w:after="0" w:line="360" w:lineRule="auto"/>
        <w:ind w:left="643"/>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בנסיבות </w:t>
      </w:r>
      <w:r w:rsidR="00826A44">
        <w:rPr>
          <w:rFonts w:ascii="David" w:eastAsia="Times New Roman" w:hAnsi="David" w:cs="David" w:hint="cs"/>
          <w:color w:val="222222"/>
          <w:sz w:val="24"/>
          <w:szCs w:val="24"/>
          <w:rtl/>
        </w:rPr>
        <w:t>האמורות</w:t>
      </w:r>
      <w:r>
        <w:rPr>
          <w:rFonts w:ascii="David" w:eastAsia="Times New Roman" w:hAnsi="David" w:cs="David" w:hint="cs"/>
          <w:color w:val="222222"/>
          <w:sz w:val="24"/>
          <w:szCs w:val="24"/>
          <w:rtl/>
        </w:rPr>
        <w:t xml:space="preserve">, </w:t>
      </w:r>
      <w:r w:rsidR="00826A44">
        <w:rPr>
          <w:rFonts w:ascii="David" w:eastAsia="Times New Roman" w:hAnsi="David" w:cs="David" w:hint="cs"/>
          <w:color w:val="222222"/>
          <w:sz w:val="24"/>
          <w:szCs w:val="24"/>
          <w:rtl/>
        </w:rPr>
        <w:t xml:space="preserve">הדין עם </w:t>
      </w:r>
      <w:r>
        <w:rPr>
          <w:rFonts w:ascii="David" w:eastAsia="Times New Roman" w:hAnsi="David" w:cs="David" w:hint="cs"/>
          <w:color w:val="222222"/>
          <w:sz w:val="24"/>
          <w:szCs w:val="24"/>
          <w:rtl/>
        </w:rPr>
        <w:t xml:space="preserve">התביעה הצבאית בעמדתה כי בכך התגבש </w:t>
      </w:r>
      <w:r w:rsidRPr="0006232B">
        <w:rPr>
          <w:rFonts w:ascii="David" w:eastAsia="Times New Roman" w:hAnsi="David" w:cs="David" w:hint="cs"/>
          <w:b/>
          <w:bCs/>
          <w:color w:val="222222"/>
          <w:sz w:val="24"/>
          <w:szCs w:val="24"/>
          <w:rtl/>
        </w:rPr>
        <w:t>מלוא</w:t>
      </w:r>
      <w:r>
        <w:rPr>
          <w:rFonts w:ascii="David" w:eastAsia="Times New Roman" w:hAnsi="David" w:cs="David" w:hint="cs"/>
          <w:color w:val="222222"/>
          <w:sz w:val="24"/>
          <w:szCs w:val="24"/>
          <w:rtl/>
        </w:rPr>
        <w:t xml:space="preserve"> המסד העובדתי </w:t>
      </w:r>
      <w:r w:rsidR="00B47BA3">
        <w:rPr>
          <w:rFonts w:ascii="David" w:eastAsia="Times New Roman" w:hAnsi="David" w:cs="David" w:hint="cs"/>
          <w:color w:val="222222"/>
          <w:sz w:val="24"/>
          <w:szCs w:val="24"/>
          <w:rtl/>
        </w:rPr>
        <w:t>הדרוש</w:t>
      </w:r>
      <w:r>
        <w:rPr>
          <w:rFonts w:ascii="David" w:eastAsia="Times New Roman" w:hAnsi="David" w:cs="David" w:hint="cs"/>
          <w:color w:val="222222"/>
          <w:sz w:val="24"/>
          <w:szCs w:val="24"/>
          <w:rtl/>
        </w:rPr>
        <w:t xml:space="preserve"> לסנגור</w:t>
      </w:r>
      <w:r w:rsidR="00FC5CF5">
        <w:rPr>
          <w:rFonts w:ascii="David" w:eastAsia="Times New Roman" w:hAnsi="David" w:cs="David" w:hint="cs"/>
          <w:color w:val="222222"/>
          <w:sz w:val="24"/>
          <w:szCs w:val="24"/>
          <w:rtl/>
        </w:rPr>
        <w:t xml:space="preserve"> לטענת אכיפה בררנית</w:t>
      </w:r>
      <w:r w:rsidR="0006232B">
        <w:rPr>
          <w:rFonts w:ascii="David" w:eastAsia="Times New Roman" w:hAnsi="David" w:cs="David" w:hint="cs"/>
          <w:color w:val="222222"/>
          <w:sz w:val="24"/>
          <w:szCs w:val="24"/>
          <w:rtl/>
        </w:rPr>
        <w:t xml:space="preserve">. </w:t>
      </w:r>
    </w:p>
    <w:p w14:paraId="50F94A7C" w14:textId="77777777" w:rsidR="0006232B" w:rsidRDefault="0006232B" w:rsidP="000B23DF">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בבסיס טענה שכזו</w:t>
      </w:r>
      <w:r w:rsidR="00456777">
        <w:rPr>
          <w:rFonts w:ascii="David" w:eastAsia="Times New Roman" w:hAnsi="David" w:cs="David" w:hint="cs"/>
          <w:color w:val="222222"/>
          <w:sz w:val="24"/>
          <w:szCs w:val="24"/>
          <w:rtl/>
        </w:rPr>
        <w:t xml:space="preserve"> ניצבת, כזכור, בחינת </w:t>
      </w:r>
      <w:r w:rsidR="00456777" w:rsidRPr="0006232B">
        <w:rPr>
          <w:rFonts w:ascii="David" w:eastAsia="Times New Roman" w:hAnsi="David" w:cs="David" w:hint="cs"/>
          <w:b/>
          <w:bCs/>
          <w:color w:val="222222"/>
          <w:sz w:val="24"/>
          <w:szCs w:val="24"/>
          <w:rtl/>
        </w:rPr>
        <w:t>סבירות</w:t>
      </w:r>
      <w:r w:rsidR="00456777">
        <w:rPr>
          <w:rFonts w:ascii="David" w:eastAsia="Times New Roman" w:hAnsi="David" w:cs="David" w:hint="cs"/>
          <w:color w:val="222222"/>
          <w:sz w:val="24"/>
          <w:szCs w:val="24"/>
          <w:rtl/>
        </w:rPr>
        <w:t xml:space="preserve"> החלטת הרשות על </w:t>
      </w:r>
      <w:r w:rsidR="00456777" w:rsidRPr="0006232B">
        <w:rPr>
          <w:rFonts w:ascii="David" w:eastAsia="Times New Roman" w:hAnsi="David" w:cs="David" w:hint="cs"/>
          <w:b/>
          <w:bCs/>
          <w:color w:val="222222"/>
          <w:sz w:val="24"/>
          <w:szCs w:val="24"/>
          <w:rtl/>
        </w:rPr>
        <w:t>עצם</w:t>
      </w:r>
      <w:r w:rsidR="00456777">
        <w:rPr>
          <w:rFonts w:ascii="David" w:eastAsia="Times New Roman" w:hAnsi="David" w:cs="David" w:hint="cs"/>
          <w:color w:val="222222"/>
          <w:sz w:val="24"/>
          <w:szCs w:val="24"/>
          <w:rtl/>
        </w:rPr>
        <w:t xml:space="preserve"> העמדה לדין של פלוני לעומת אלמוני. לפרוטוקול ההליך המשמעתי גופו, אין, אפוא, </w:t>
      </w:r>
      <w:r w:rsidR="004F03D1">
        <w:rPr>
          <w:rFonts w:ascii="David" w:eastAsia="Times New Roman" w:hAnsi="David" w:cs="David" w:hint="cs"/>
          <w:color w:val="222222"/>
          <w:sz w:val="24"/>
          <w:szCs w:val="24"/>
          <w:rtl/>
        </w:rPr>
        <w:t>רלוונטיות</w:t>
      </w:r>
      <w:r w:rsidR="00456777">
        <w:rPr>
          <w:rFonts w:ascii="David" w:eastAsia="Times New Roman" w:hAnsi="David" w:cs="David" w:hint="cs"/>
          <w:color w:val="222222"/>
          <w:sz w:val="24"/>
          <w:szCs w:val="24"/>
          <w:rtl/>
        </w:rPr>
        <w:t xml:space="preserve"> </w:t>
      </w:r>
      <w:r w:rsidR="004F03D1">
        <w:rPr>
          <w:rFonts w:ascii="David" w:eastAsia="Times New Roman" w:hAnsi="David" w:cs="David" w:hint="cs"/>
          <w:color w:val="222222"/>
          <w:sz w:val="24"/>
          <w:szCs w:val="24"/>
          <w:rtl/>
        </w:rPr>
        <w:t>ל</w:t>
      </w:r>
      <w:r w:rsidR="00456777">
        <w:rPr>
          <w:rFonts w:ascii="David" w:eastAsia="Times New Roman" w:hAnsi="David" w:cs="David" w:hint="cs"/>
          <w:color w:val="222222"/>
          <w:sz w:val="24"/>
          <w:szCs w:val="24"/>
          <w:rtl/>
        </w:rPr>
        <w:t xml:space="preserve">ביסוס טענה הנוגעת לנקיטת יחס שונה של הרשות. </w:t>
      </w:r>
      <w:r>
        <w:rPr>
          <w:rFonts w:ascii="David" w:eastAsia="Times New Roman" w:hAnsi="David" w:cs="David" w:hint="cs"/>
          <w:color w:val="222222"/>
          <w:sz w:val="24"/>
          <w:szCs w:val="24"/>
          <w:rtl/>
        </w:rPr>
        <w:t>תיאור המעש</w:t>
      </w:r>
      <w:r w:rsidR="000B23DF">
        <w:rPr>
          <w:rFonts w:ascii="David" w:eastAsia="Times New Roman" w:hAnsi="David" w:cs="David" w:hint="cs"/>
          <w:color w:val="222222"/>
          <w:sz w:val="24"/>
          <w:szCs w:val="24"/>
          <w:rtl/>
        </w:rPr>
        <w:t>ים</w:t>
      </w:r>
      <w:r>
        <w:rPr>
          <w:rFonts w:ascii="David" w:eastAsia="Times New Roman" w:hAnsi="David" w:cs="David" w:hint="cs"/>
          <w:color w:val="222222"/>
          <w:sz w:val="24"/>
          <w:szCs w:val="24"/>
          <w:rtl/>
        </w:rPr>
        <w:t xml:space="preserve"> שבגינ</w:t>
      </w:r>
      <w:r w:rsidR="000B23DF">
        <w:rPr>
          <w:rFonts w:ascii="David" w:eastAsia="Times New Roman" w:hAnsi="David" w:cs="David" w:hint="cs"/>
          <w:color w:val="222222"/>
          <w:sz w:val="24"/>
          <w:szCs w:val="24"/>
          <w:rtl/>
        </w:rPr>
        <w:t>ם</w:t>
      </w:r>
      <w:r>
        <w:rPr>
          <w:rFonts w:ascii="David" w:eastAsia="Times New Roman" w:hAnsi="David" w:cs="David" w:hint="cs"/>
          <w:color w:val="222222"/>
          <w:sz w:val="24"/>
          <w:szCs w:val="24"/>
          <w:rtl/>
        </w:rPr>
        <w:t xml:space="preserve"> הועמד לדין משמעתי, העובדה שנוהל בעניינו דין משמעתי ותוצאת ההליך המשמעתי, מגבשים במקובץ את </w:t>
      </w:r>
      <w:r w:rsidR="000B23DF">
        <w:rPr>
          <w:rFonts w:ascii="David" w:eastAsia="Times New Roman" w:hAnsi="David" w:cs="David" w:hint="cs"/>
          <w:color w:val="222222"/>
          <w:sz w:val="24"/>
          <w:szCs w:val="24"/>
          <w:rtl/>
        </w:rPr>
        <w:t xml:space="preserve">כלל </w:t>
      </w:r>
      <w:r>
        <w:rPr>
          <w:rFonts w:ascii="David" w:eastAsia="Times New Roman" w:hAnsi="David" w:cs="David" w:hint="cs"/>
          <w:color w:val="222222"/>
          <w:sz w:val="24"/>
          <w:szCs w:val="24"/>
          <w:rtl/>
        </w:rPr>
        <w:t xml:space="preserve">המידע הנחוץ לסנגור לביסוס טענת </w:t>
      </w:r>
      <w:r w:rsidR="00B47BA3">
        <w:rPr>
          <w:rFonts w:ascii="David" w:eastAsia="Times New Roman" w:hAnsi="David" w:cs="David" w:hint="cs"/>
          <w:color w:val="222222"/>
          <w:sz w:val="24"/>
          <w:szCs w:val="24"/>
          <w:rtl/>
        </w:rPr>
        <w:t>ה</w:t>
      </w:r>
      <w:r>
        <w:rPr>
          <w:rFonts w:ascii="David" w:eastAsia="Times New Roman" w:hAnsi="David" w:cs="David" w:hint="cs"/>
          <w:color w:val="222222"/>
          <w:sz w:val="24"/>
          <w:szCs w:val="24"/>
          <w:rtl/>
        </w:rPr>
        <w:t xml:space="preserve">אכיפה </w:t>
      </w:r>
      <w:r w:rsidR="00B47BA3">
        <w:rPr>
          <w:rFonts w:ascii="David" w:eastAsia="Times New Roman" w:hAnsi="David" w:cs="David" w:hint="cs"/>
          <w:color w:val="222222"/>
          <w:sz w:val="24"/>
          <w:szCs w:val="24"/>
          <w:rtl/>
        </w:rPr>
        <w:t>ה</w:t>
      </w:r>
      <w:r>
        <w:rPr>
          <w:rFonts w:ascii="David" w:eastAsia="Times New Roman" w:hAnsi="David" w:cs="David" w:hint="cs"/>
          <w:color w:val="222222"/>
          <w:sz w:val="24"/>
          <w:szCs w:val="24"/>
          <w:rtl/>
        </w:rPr>
        <w:t xml:space="preserve">בררנית. </w:t>
      </w:r>
    </w:p>
    <w:p w14:paraId="06AB4A72" w14:textId="77777777" w:rsidR="000B23DF" w:rsidRDefault="000B23DF" w:rsidP="00B05D3B">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הקביעה כי כבר עתה נתונה בידי ההגנה ה"תמונה המלאה" לצורך ביסוס טענת האכיפה הבררנית, כוחה יפה </w:t>
      </w:r>
      <w:r w:rsidR="00826A44">
        <w:rPr>
          <w:rFonts w:ascii="David" w:eastAsia="Times New Roman" w:hAnsi="David" w:cs="David" w:hint="cs"/>
          <w:color w:val="222222"/>
          <w:sz w:val="24"/>
          <w:szCs w:val="24"/>
          <w:rtl/>
        </w:rPr>
        <w:t>אף</w:t>
      </w:r>
      <w:r w:rsidR="0006232B">
        <w:rPr>
          <w:rFonts w:ascii="David" w:eastAsia="Times New Roman" w:hAnsi="David" w:cs="David" w:hint="cs"/>
          <w:color w:val="222222"/>
          <w:sz w:val="24"/>
          <w:szCs w:val="24"/>
          <w:rtl/>
        </w:rPr>
        <w:t xml:space="preserve"> </w:t>
      </w:r>
      <w:r w:rsidR="00304FDC">
        <w:rPr>
          <w:rFonts w:ascii="David" w:eastAsia="Times New Roman" w:hAnsi="David" w:cs="David" w:hint="cs"/>
          <w:color w:val="222222"/>
          <w:sz w:val="24"/>
          <w:szCs w:val="24"/>
          <w:rtl/>
        </w:rPr>
        <w:t>ביחס להנמקת הסנגור כי המידע נחוץ לו לשם</w:t>
      </w:r>
      <w:r w:rsidR="0006232B">
        <w:rPr>
          <w:rFonts w:ascii="David" w:eastAsia="Times New Roman" w:hAnsi="David" w:cs="David" w:hint="cs"/>
          <w:color w:val="222222"/>
          <w:sz w:val="24"/>
          <w:szCs w:val="24"/>
          <w:rtl/>
        </w:rPr>
        <w:t xml:space="preserve"> הגשת השגה </w:t>
      </w:r>
      <w:proofErr w:type="spellStart"/>
      <w:r>
        <w:rPr>
          <w:rFonts w:ascii="David" w:eastAsia="Times New Roman" w:hAnsi="David" w:cs="David" w:hint="cs"/>
          <w:color w:val="222222"/>
          <w:sz w:val="24"/>
          <w:szCs w:val="24"/>
          <w:rtl/>
        </w:rPr>
        <w:t>לתצ"ר</w:t>
      </w:r>
      <w:proofErr w:type="spellEnd"/>
      <w:r>
        <w:rPr>
          <w:rFonts w:ascii="David" w:eastAsia="Times New Roman" w:hAnsi="David" w:cs="David" w:hint="cs"/>
          <w:color w:val="222222"/>
          <w:sz w:val="24"/>
          <w:szCs w:val="24"/>
          <w:rtl/>
        </w:rPr>
        <w:t xml:space="preserve"> </w:t>
      </w:r>
      <w:r w:rsidR="0006232B">
        <w:rPr>
          <w:rFonts w:ascii="David" w:eastAsia="Times New Roman" w:hAnsi="David" w:cs="David" w:hint="cs"/>
          <w:color w:val="222222"/>
          <w:sz w:val="24"/>
          <w:szCs w:val="24"/>
          <w:rtl/>
        </w:rPr>
        <w:t xml:space="preserve">על החלטת הרשות </w:t>
      </w:r>
      <w:r>
        <w:rPr>
          <w:rFonts w:ascii="David" w:eastAsia="Times New Roman" w:hAnsi="David" w:cs="David" w:hint="cs"/>
          <w:color w:val="222222"/>
          <w:sz w:val="24"/>
          <w:szCs w:val="24"/>
          <w:rtl/>
        </w:rPr>
        <w:t>שלא לבטל את כתב האישום</w:t>
      </w:r>
      <w:r w:rsidR="00041AA3">
        <w:rPr>
          <w:rFonts w:ascii="David" w:eastAsia="Times New Roman" w:hAnsi="David" w:cs="David" w:hint="cs"/>
          <w:color w:val="222222"/>
          <w:sz w:val="24"/>
          <w:szCs w:val="24"/>
          <w:rtl/>
        </w:rPr>
        <w:t xml:space="preserve"> בשל אכיפה בררנית</w:t>
      </w:r>
      <w:r>
        <w:rPr>
          <w:rFonts w:ascii="David" w:eastAsia="Times New Roman" w:hAnsi="David" w:cs="David" w:hint="cs"/>
          <w:color w:val="222222"/>
          <w:sz w:val="24"/>
          <w:szCs w:val="24"/>
          <w:rtl/>
        </w:rPr>
        <w:t>. טעמים אחרים לעיון בפרוטוקול ההליך המשמעתי לגופו</w:t>
      </w:r>
      <w:r w:rsidR="0006232B">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 xml:space="preserve">לצורך קידומו של הליך זה במישור </w:t>
      </w:r>
      <w:r w:rsidRPr="000B23DF">
        <w:rPr>
          <w:rFonts w:ascii="David" w:eastAsia="Times New Roman" w:hAnsi="David" w:cs="David" w:hint="cs"/>
          <w:b/>
          <w:bCs/>
          <w:color w:val="222222"/>
          <w:sz w:val="24"/>
          <w:szCs w:val="24"/>
          <w:rtl/>
        </w:rPr>
        <w:t>המנהלי</w:t>
      </w:r>
      <w:r>
        <w:rPr>
          <w:rFonts w:ascii="David" w:eastAsia="Times New Roman" w:hAnsi="David" w:cs="David" w:hint="cs"/>
          <w:color w:val="222222"/>
          <w:sz w:val="24"/>
          <w:szCs w:val="24"/>
          <w:rtl/>
        </w:rPr>
        <w:t xml:space="preserve">, הוכרו כטעמים שאינם מצדיקים כשלעצמם </w:t>
      </w:r>
      <w:r w:rsidR="00304FDC">
        <w:rPr>
          <w:rFonts w:ascii="David" w:eastAsia="Times New Roman" w:hAnsi="David" w:cs="David" w:hint="cs"/>
          <w:color w:val="222222"/>
          <w:sz w:val="24"/>
          <w:szCs w:val="24"/>
          <w:rtl/>
        </w:rPr>
        <w:t xml:space="preserve">את הרחבת המונח </w:t>
      </w:r>
      <w:r>
        <w:rPr>
          <w:rFonts w:ascii="David" w:eastAsia="Times New Roman" w:hAnsi="David" w:cs="David" w:hint="cs"/>
          <w:color w:val="222222"/>
          <w:sz w:val="24"/>
          <w:szCs w:val="24"/>
          <w:rtl/>
        </w:rPr>
        <w:t xml:space="preserve">"חומר חקירה" במסגרת בקשה המוגשת בהליך </w:t>
      </w:r>
      <w:r w:rsidRPr="000B23DF">
        <w:rPr>
          <w:rFonts w:ascii="David" w:eastAsia="Times New Roman" w:hAnsi="David" w:cs="David" w:hint="cs"/>
          <w:b/>
          <w:bCs/>
          <w:color w:val="222222"/>
          <w:sz w:val="24"/>
          <w:szCs w:val="24"/>
          <w:rtl/>
        </w:rPr>
        <w:t>הפלילי</w:t>
      </w:r>
      <w:r>
        <w:rPr>
          <w:rFonts w:ascii="David" w:eastAsia="Times New Roman" w:hAnsi="David" w:cs="David" w:hint="cs"/>
          <w:color w:val="222222"/>
          <w:sz w:val="24"/>
          <w:szCs w:val="24"/>
          <w:rtl/>
        </w:rPr>
        <w:t xml:space="preserve"> </w:t>
      </w:r>
      <w:r w:rsidR="00304FDC">
        <w:rPr>
          <w:rFonts w:ascii="David" w:eastAsia="Times New Roman" w:hAnsi="David" w:cs="David" w:hint="cs"/>
          <w:color w:val="222222"/>
          <w:sz w:val="24"/>
          <w:szCs w:val="24"/>
          <w:rtl/>
        </w:rPr>
        <w:t>שע</w:t>
      </w:r>
      <w:r w:rsidR="00B05D3B">
        <w:rPr>
          <w:rFonts w:ascii="David" w:eastAsia="Times New Roman" w:hAnsi="David" w:cs="David" w:hint="cs"/>
          <w:color w:val="222222"/>
          <w:sz w:val="24"/>
          <w:szCs w:val="24"/>
          <w:rtl/>
        </w:rPr>
        <w:t>נ</w:t>
      </w:r>
      <w:r w:rsidR="00304FDC">
        <w:rPr>
          <w:rFonts w:ascii="David" w:eastAsia="Times New Roman" w:hAnsi="David" w:cs="David" w:hint="cs"/>
          <w:color w:val="222222"/>
          <w:sz w:val="24"/>
          <w:szCs w:val="24"/>
          <w:rtl/>
        </w:rPr>
        <w:t>יינ</w:t>
      </w:r>
      <w:r w:rsidR="00B05D3B">
        <w:rPr>
          <w:rFonts w:ascii="David" w:eastAsia="Times New Roman" w:hAnsi="David" w:cs="David" w:hint="cs"/>
          <w:color w:val="222222"/>
          <w:sz w:val="24"/>
          <w:szCs w:val="24"/>
          <w:rtl/>
        </w:rPr>
        <w:t>ה</w:t>
      </w:r>
      <w:r w:rsidR="00304FDC">
        <w:rPr>
          <w:rFonts w:ascii="David" w:eastAsia="Times New Roman" w:hAnsi="David" w:cs="David" w:hint="cs"/>
          <w:color w:val="222222"/>
          <w:sz w:val="24"/>
          <w:szCs w:val="24"/>
          <w:rtl/>
        </w:rPr>
        <w:t xml:space="preserve"> ב</w:t>
      </w:r>
      <w:r w:rsidR="00B05D3B">
        <w:rPr>
          <w:rFonts w:ascii="David" w:eastAsia="Times New Roman" w:hAnsi="David" w:cs="David" w:hint="cs"/>
          <w:color w:val="222222"/>
          <w:sz w:val="24"/>
          <w:szCs w:val="24"/>
          <w:rtl/>
        </w:rPr>
        <w:t xml:space="preserve">קבלת </w:t>
      </w:r>
      <w:r w:rsidR="00304FDC">
        <w:rPr>
          <w:rFonts w:ascii="David" w:eastAsia="Times New Roman" w:hAnsi="David" w:cs="David" w:hint="cs"/>
          <w:color w:val="222222"/>
          <w:sz w:val="24"/>
          <w:szCs w:val="24"/>
          <w:rtl/>
        </w:rPr>
        <w:t xml:space="preserve">חומר הרלוונטי להגנת המבקש במשפטו </w:t>
      </w:r>
      <w:r w:rsidRPr="000B23DF">
        <w:rPr>
          <w:rFonts w:ascii="David" w:eastAsia="Times New Roman" w:hAnsi="David" w:cs="David" w:hint="cs"/>
          <w:color w:val="222222"/>
          <w:sz w:val="24"/>
          <w:szCs w:val="24"/>
          <w:rtl/>
        </w:rPr>
        <w:t>(</w:t>
      </w:r>
      <w:r w:rsidRPr="00F047B6">
        <w:rPr>
          <w:rFonts w:cs="David" w:hint="cs"/>
          <w:sz w:val="24"/>
          <w:szCs w:val="24"/>
          <w:rtl/>
        </w:rPr>
        <w:t>בג</w:t>
      </w:r>
      <w:r w:rsidRPr="00F047B6">
        <w:rPr>
          <w:rFonts w:cs="David"/>
          <w:sz w:val="24"/>
          <w:szCs w:val="24"/>
          <w:rtl/>
        </w:rPr>
        <w:t>"</w:t>
      </w:r>
      <w:r w:rsidRPr="00F047B6">
        <w:rPr>
          <w:rFonts w:cs="David" w:hint="cs"/>
          <w:sz w:val="24"/>
          <w:szCs w:val="24"/>
          <w:rtl/>
        </w:rPr>
        <w:t>ץ</w:t>
      </w:r>
      <w:r w:rsidRPr="00F047B6">
        <w:rPr>
          <w:rFonts w:cs="David"/>
          <w:sz w:val="24"/>
          <w:szCs w:val="24"/>
          <w:rtl/>
        </w:rPr>
        <w:t xml:space="preserve"> 620/02 </w:t>
      </w:r>
      <w:r w:rsidRPr="00F047B6">
        <w:rPr>
          <w:rFonts w:cs="David" w:hint="cs"/>
          <w:b/>
          <w:bCs/>
          <w:sz w:val="24"/>
          <w:szCs w:val="24"/>
          <w:rtl/>
        </w:rPr>
        <w:t>התובע</w:t>
      </w:r>
      <w:r w:rsidRPr="00F047B6">
        <w:rPr>
          <w:rFonts w:cs="David"/>
          <w:b/>
          <w:bCs/>
          <w:sz w:val="24"/>
          <w:szCs w:val="24"/>
          <w:rtl/>
        </w:rPr>
        <w:t xml:space="preserve"> </w:t>
      </w:r>
      <w:r w:rsidRPr="00F047B6">
        <w:rPr>
          <w:rFonts w:cs="David" w:hint="cs"/>
          <w:b/>
          <w:bCs/>
          <w:sz w:val="24"/>
          <w:szCs w:val="24"/>
          <w:rtl/>
        </w:rPr>
        <w:t>הצבאי</w:t>
      </w:r>
      <w:r w:rsidRPr="00F047B6">
        <w:rPr>
          <w:rFonts w:cs="David"/>
          <w:b/>
          <w:bCs/>
          <w:sz w:val="24"/>
          <w:szCs w:val="24"/>
          <w:rtl/>
        </w:rPr>
        <w:t xml:space="preserve"> </w:t>
      </w:r>
      <w:r w:rsidRPr="00F047B6">
        <w:rPr>
          <w:rFonts w:cs="David" w:hint="cs"/>
          <w:b/>
          <w:bCs/>
          <w:sz w:val="24"/>
          <w:szCs w:val="24"/>
          <w:rtl/>
        </w:rPr>
        <w:t>הראשי</w:t>
      </w:r>
      <w:r w:rsidRPr="00F047B6">
        <w:rPr>
          <w:rFonts w:cs="David"/>
          <w:b/>
          <w:bCs/>
          <w:sz w:val="24"/>
          <w:szCs w:val="24"/>
          <w:rtl/>
        </w:rPr>
        <w:t xml:space="preserve"> </w:t>
      </w:r>
      <w:r w:rsidRPr="00F047B6">
        <w:rPr>
          <w:rFonts w:cs="David" w:hint="cs"/>
          <w:b/>
          <w:bCs/>
          <w:sz w:val="24"/>
          <w:szCs w:val="24"/>
          <w:rtl/>
        </w:rPr>
        <w:t>נ</w:t>
      </w:r>
      <w:r w:rsidRPr="00F047B6">
        <w:rPr>
          <w:rFonts w:cs="David"/>
          <w:b/>
          <w:bCs/>
          <w:sz w:val="24"/>
          <w:szCs w:val="24"/>
          <w:rtl/>
        </w:rPr>
        <w:t xml:space="preserve">' </w:t>
      </w:r>
      <w:r w:rsidRPr="00F047B6">
        <w:rPr>
          <w:rFonts w:cs="David" w:hint="cs"/>
          <w:b/>
          <w:bCs/>
          <w:sz w:val="24"/>
          <w:szCs w:val="24"/>
          <w:rtl/>
        </w:rPr>
        <w:t>בית</w:t>
      </w:r>
      <w:r w:rsidRPr="00F047B6">
        <w:rPr>
          <w:rFonts w:cs="David"/>
          <w:b/>
          <w:bCs/>
          <w:sz w:val="24"/>
          <w:szCs w:val="24"/>
          <w:rtl/>
        </w:rPr>
        <w:t xml:space="preserve"> </w:t>
      </w:r>
      <w:r w:rsidRPr="00F047B6">
        <w:rPr>
          <w:rFonts w:cs="David" w:hint="cs"/>
          <w:b/>
          <w:bCs/>
          <w:sz w:val="24"/>
          <w:szCs w:val="24"/>
          <w:rtl/>
        </w:rPr>
        <w:t>הדין</w:t>
      </w:r>
      <w:r w:rsidRPr="00F047B6">
        <w:rPr>
          <w:rFonts w:cs="David"/>
          <w:b/>
          <w:bCs/>
          <w:sz w:val="24"/>
          <w:szCs w:val="24"/>
          <w:rtl/>
        </w:rPr>
        <w:t xml:space="preserve"> </w:t>
      </w:r>
      <w:r w:rsidRPr="00F047B6">
        <w:rPr>
          <w:rFonts w:cs="David" w:hint="cs"/>
          <w:b/>
          <w:bCs/>
          <w:sz w:val="24"/>
          <w:szCs w:val="24"/>
          <w:rtl/>
        </w:rPr>
        <w:t>הצבאי</w:t>
      </w:r>
      <w:r w:rsidRPr="00F047B6">
        <w:rPr>
          <w:rFonts w:cs="David"/>
          <w:b/>
          <w:bCs/>
          <w:sz w:val="24"/>
          <w:szCs w:val="24"/>
          <w:rtl/>
        </w:rPr>
        <w:t xml:space="preserve"> </w:t>
      </w:r>
      <w:r w:rsidRPr="00F047B6">
        <w:rPr>
          <w:rFonts w:cs="David" w:hint="cs"/>
          <w:b/>
          <w:bCs/>
          <w:sz w:val="24"/>
          <w:szCs w:val="24"/>
          <w:rtl/>
        </w:rPr>
        <w:t>לערעורים</w:t>
      </w:r>
      <w:r w:rsidRPr="00F047B6">
        <w:rPr>
          <w:rFonts w:cs="David"/>
          <w:sz w:val="24"/>
          <w:szCs w:val="24"/>
          <w:rtl/>
        </w:rPr>
        <w:t xml:space="preserve">, </w:t>
      </w:r>
      <w:r w:rsidRPr="00F047B6">
        <w:rPr>
          <w:rFonts w:cs="David" w:hint="cs"/>
          <w:sz w:val="24"/>
          <w:szCs w:val="24"/>
          <w:rtl/>
        </w:rPr>
        <w:t>פ</w:t>
      </w:r>
      <w:r w:rsidRPr="00F047B6">
        <w:rPr>
          <w:rFonts w:cs="David"/>
          <w:sz w:val="24"/>
          <w:szCs w:val="24"/>
          <w:rtl/>
        </w:rPr>
        <w:t>"</w:t>
      </w:r>
      <w:r w:rsidRPr="00F047B6">
        <w:rPr>
          <w:rFonts w:cs="David" w:hint="cs"/>
          <w:sz w:val="24"/>
          <w:szCs w:val="24"/>
          <w:rtl/>
        </w:rPr>
        <w:t>ד</w:t>
      </w:r>
      <w:r w:rsidRPr="00F047B6">
        <w:rPr>
          <w:rFonts w:cs="David"/>
          <w:sz w:val="24"/>
          <w:szCs w:val="24"/>
          <w:rtl/>
        </w:rPr>
        <w:t xml:space="preserve"> </w:t>
      </w:r>
      <w:r w:rsidRPr="00F047B6">
        <w:rPr>
          <w:rFonts w:cs="David" w:hint="cs"/>
          <w:sz w:val="24"/>
          <w:szCs w:val="24"/>
          <w:rtl/>
        </w:rPr>
        <w:t>נ</w:t>
      </w:r>
      <w:r w:rsidRPr="00F047B6">
        <w:rPr>
          <w:rFonts w:cs="David"/>
          <w:sz w:val="24"/>
          <w:szCs w:val="24"/>
          <w:rtl/>
        </w:rPr>
        <w:t>"</w:t>
      </w:r>
      <w:r w:rsidRPr="00F047B6">
        <w:rPr>
          <w:rFonts w:cs="David" w:hint="cs"/>
          <w:sz w:val="24"/>
          <w:szCs w:val="24"/>
          <w:rtl/>
        </w:rPr>
        <w:t>ז</w:t>
      </w:r>
      <w:r w:rsidRPr="00F047B6">
        <w:rPr>
          <w:rFonts w:cs="David"/>
          <w:sz w:val="24"/>
          <w:szCs w:val="24"/>
          <w:rtl/>
        </w:rPr>
        <w:t xml:space="preserve">(4) 625, </w:t>
      </w:r>
      <w:r w:rsidR="00304FDC">
        <w:rPr>
          <w:rFonts w:cs="David" w:hint="cs"/>
          <w:sz w:val="24"/>
          <w:szCs w:val="24"/>
          <w:rtl/>
        </w:rPr>
        <w:t>640</w:t>
      </w:r>
      <w:r w:rsidRPr="00F047B6">
        <w:rPr>
          <w:rFonts w:cs="David"/>
          <w:sz w:val="24"/>
          <w:szCs w:val="24"/>
          <w:rtl/>
        </w:rPr>
        <w:t xml:space="preserve"> (2003)</w:t>
      </w:r>
      <w:r w:rsidR="00304FDC">
        <w:rPr>
          <w:rFonts w:ascii="David" w:eastAsia="Times New Roman" w:hAnsi="David" w:cs="David" w:hint="cs"/>
          <w:color w:val="222222"/>
          <w:sz w:val="24"/>
          <w:szCs w:val="24"/>
          <w:rtl/>
        </w:rPr>
        <w:t>).</w:t>
      </w:r>
    </w:p>
    <w:p w14:paraId="7453B141" w14:textId="77777777" w:rsidR="009545DE" w:rsidRDefault="00304FDC" w:rsidP="00041AA3">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אף </w:t>
      </w:r>
      <w:r w:rsidR="00041AA3">
        <w:rPr>
          <w:rFonts w:ascii="David" w:eastAsia="Times New Roman" w:hAnsi="David" w:cs="David" w:hint="cs"/>
          <w:color w:val="222222"/>
          <w:sz w:val="24"/>
          <w:szCs w:val="24"/>
          <w:rtl/>
        </w:rPr>
        <w:t>בטעמו של</w:t>
      </w:r>
      <w:r w:rsidR="00456777">
        <w:rPr>
          <w:rFonts w:ascii="David" w:eastAsia="Times New Roman" w:hAnsi="David" w:cs="David" w:hint="cs"/>
          <w:color w:val="222222"/>
          <w:sz w:val="24"/>
          <w:szCs w:val="24"/>
          <w:rtl/>
        </w:rPr>
        <w:t xml:space="preserve"> הסנג</w:t>
      </w:r>
      <w:r w:rsidR="00041AA3">
        <w:rPr>
          <w:rFonts w:ascii="David" w:eastAsia="Times New Roman" w:hAnsi="David" w:cs="David" w:hint="cs"/>
          <w:color w:val="222222"/>
          <w:sz w:val="24"/>
          <w:szCs w:val="24"/>
          <w:rtl/>
        </w:rPr>
        <w:t xml:space="preserve">ור לקבלת פרוטוקול ההליך המשמעתי, כי </w:t>
      </w:r>
      <w:r w:rsidR="00456777">
        <w:rPr>
          <w:rFonts w:ascii="David" w:eastAsia="Times New Roman" w:hAnsi="David" w:cs="David" w:hint="cs"/>
          <w:color w:val="222222"/>
          <w:sz w:val="24"/>
          <w:szCs w:val="24"/>
          <w:rtl/>
        </w:rPr>
        <w:t xml:space="preserve">"ייתכן" ובטיעוניו של סמ"ר רושני בפני קצין השיפוט יהיה כדי להועיל להגנת המבקש, אין כל ממש. בפסיקה כבר נקבע כי המבחן המכריע לבחינת הבקשה הוא מבחן הרלוונטיות לאישום. </w:t>
      </w:r>
      <w:r w:rsidR="00FC748D" w:rsidRPr="00F047B6">
        <w:rPr>
          <w:rFonts w:cs="David" w:hint="cs"/>
          <w:sz w:val="24"/>
          <w:szCs w:val="24"/>
          <w:rtl/>
        </w:rPr>
        <w:t xml:space="preserve">רלוונטיות החומר נבחנת בראי </w:t>
      </w:r>
      <w:r w:rsidR="00FC748D" w:rsidRPr="00F047B6">
        <w:rPr>
          <w:rFonts w:cs="David" w:hint="cs"/>
          <w:b/>
          <w:bCs/>
          <w:sz w:val="24"/>
          <w:szCs w:val="24"/>
          <w:rtl/>
        </w:rPr>
        <w:t>זיקת</w:t>
      </w:r>
      <w:r w:rsidR="00FC748D" w:rsidRPr="00F047B6">
        <w:rPr>
          <w:rFonts w:cs="David" w:hint="cs"/>
          <w:sz w:val="24"/>
          <w:szCs w:val="24"/>
          <w:rtl/>
        </w:rPr>
        <w:t xml:space="preserve"> החומר המבוקש לאישום ולנאשם; ובראי השאלה האם יש אפשרות סבירה כי תהיה בחומר </w:t>
      </w:r>
      <w:r w:rsidR="00FC748D" w:rsidRPr="00F047B6">
        <w:rPr>
          <w:rFonts w:cs="David" w:hint="cs"/>
          <w:b/>
          <w:bCs/>
          <w:sz w:val="24"/>
          <w:szCs w:val="24"/>
          <w:rtl/>
        </w:rPr>
        <w:t>תועלת להגנת הנאשם</w:t>
      </w:r>
      <w:r w:rsidR="00FC748D" w:rsidRPr="00F047B6">
        <w:rPr>
          <w:rFonts w:cs="David" w:hint="cs"/>
          <w:sz w:val="24"/>
          <w:szCs w:val="24"/>
          <w:rtl/>
        </w:rPr>
        <w:t xml:space="preserve"> (</w:t>
      </w:r>
      <w:proofErr w:type="spellStart"/>
      <w:r w:rsidR="00FC748D" w:rsidRPr="00F047B6">
        <w:rPr>
          <w:rFonts w:cs="David" w:hint="cs"/>
          <w:sz w:val="24"/>
          <w:szCs w:val="24"/>
          <w:rtl/>
        </w:rPr>
        <w:t>בש</w:t>
      </w:r>
      <w:r w:rsidR="00FC748D" w:rsidRPr="00F047B6">
        <w:rPr>
          <w:rFonts w:cs="David"/>
          <w:sz w:val="24"/>
          <w:szCs w:val="24"/>
          <w:rtl/>
        </w:rPr>
        <w:t>"</w:t>
      </w:r>
      <w:r w:rsidR="00FC748D" w:rsidRPr="00F047B6">
        <w:rPr>
          <w:rFonts w:cs="David" w:hint="cs"/>
          <w:sz w:val="24"/>
          <w:szCs w:val="24"/>
          <w:rtl/>
        </w:rPr>
        <w:t>פ</w:t>
      </w:r>
      <w:proofErr w:type="spellEnd"/>
      <w:r w:rsidR="00FC748D" w:rsidRPr="00F047B6">
        <w:rPr>
          <w:rFonts w:cs="David"/>
          <w:sz w:val="24"/>
          <w:szCs w:val="24"/>
          <w:rtl/>
        </w:rPr>
        <w:t xml:space="preserve"> 6507/09 </w:t>
      </w:r>
      <w:r w:rsidR="00FC748D" w:rsidRPr="00F047B6">
        <w:rPr>
          <w:rFonts w:cs="David" w:hint="cs"/>
          <w:b/>
          <w:bCs/>
          <w:sz w:val="24"/>
          <w:szCs w:val="24"/>
          <w:rtl/>
        </w:rPr>
        <w:t>קצב</w:t>
      </w:r>
      <w:r w:rsidR="00FC748D" w:rsidRPr="00F047B6">
        <w:rPr>
          <w:rFonts w:cs="David"/>
          <w:b/>
          <w:bCs/>
          <w:sz w:val="24"/>
          <w:szCs w:val="24"/>
          <w:rtl/>
        </w:rPr>
        <w:t xml:space="preserve"> </w:t>
      </w:r>
      <w:r w:rsidR="00FC748D" w:rsidRPr="00F047B6">
        <w:rPr>
          <w:rFonts w:cs="David" w:hint="cs"/>
          <w:b/>
          <w:bCs/>
          <w:sz w:val="24"/>
          <w:szCs w:val="24"/>
          <w:rtl/>
        </w:rPr>
        <w:t>נ</w:t>
      </w:r>
      <w:r w:rsidR="00FC748D" w:rsidRPr="00F047B6">
        <w:rPr>
          <w:rFonts w:cs="David"/>
          <w:b/>
          <w:bCs/>
          <w:sz w:val="24"/>
          <w:szCs w:val="24"/>
          <w:rtl/>
        </w:rPr>
        <w:t xml:space="preserve">' </w:t>
      </w:r>
      <w:r w:rsidR="00FC748D" w:rsidRPr="00F047B6">
        <w:rPr>
          <w:rFonts w:cs="David" w:hint="cs"/>
          <w:b/>
          <w:bCs/>
          <w:sz w:val="24"/>
          <w:szCs w:val="24"/>
          <w:rtl/>
        </w:rPr>
        <w:t>מדינת</w:t>
      </w:r>
      <w:r w:rsidR="00FC748D" w:rsidRPr="00F047B6">
        <w:rPr>
          <w:rFonts w:cs="David"/>
          <w:b/>
          <w:bCs/>
          <w:sz w:val="24"/>
          <w:szCs w:val="24"/>
          <w:rtl/>
        </w:rPr>
        <w:t xml:space="preserve"> </w:t>
      </w:r>
      <w:r w:rsidR="00FC748D" w:rsidRPr="00F047B6">
        <w:rPr>
          <w:rFonts w:cs="David" w:hint="cs"/>
          <w:b/>
          <w:bCs/>
          <w:sz w:val="24"/>
          <w:szCs w:val="24"/>
          <w:rtl/>
        </w:rPr>
        <w:t>ישראל</w:t>
      </w:r>
      <w:r w:rsidR="00FC748D" w:rsidRPr="00F047B6">
        <w:rPr>
          <w:rFonts w:cs="David"/>
          <w:sz w:val="24"/>
          <w:szCs w:val="24"/>
          <w:rtl/>
        </w:rPr>
        <w:t xml:space="preserve"> </w:t>
      </w:r>
      <w:r w:rsidR="00FC748D" w:rsidRPr="00F047B6">
        <w:rPr>
          <w:rFonts w:cs="David" w:hint="cs"/>
          <w:sz w:val="24"/>
          <w:szCs w:val="24"/>
          <w:rtl/>
        </w:rPr>
        <w:t>(13.9.2009))</w:t>
      </w:r>
      <w:r w:rsidR="00FC748D">
        <w:rPr>
          <w:rFonts w:cs="David" w:hint="cs"/>
          <w:sz w:val="24"/>
          <w:szCs w:val="24"/>
          <w:rtl/>
        </w:rPr>
        <w:t>. הובהר</w:t>
      </w:r>
      <w:r w:rsidR="004F69C0">
        <w:rPr>
          <w:rFonts w:cs="David" w:hint="cs"/>
          <w:sz w:val="24"/>
          <w:szCs w:val="24"/>
          <w:rtl/>
        </w:rPr>
        <w:t xml:space="preserve"> לא פעם</w:t>
      </w:r>
      <w:r w:rsidR="00FC748D">
        <w:rPr>
          <w:rFonts w:cs="David" w:hint="cs"/>
          <w:sz w:val="24"/>
          <w:szCs w:val="24"/>
          <w:rtl/>
        </w:rPr>
        <w:t xml:space="preserve"> כי בקשות הנסמכות על </w:t>
      </w:r>
      <w:r w:rsidR="00FC748D" w:rsidRPr="00F047B6">
        <w:rPr>
          <w:rFonts w:cs="David" w:hint="cs"/>
          <w:sz w:val="24"/>
          <w:szCs w:val="24"/>
          <w:rtl/>
        </w:rPr>
        <w:t>אפשרויות</w:t>
      </w:r>
      <w:r w:rsidR="00FC748D" w:rsidRPr="00F047B6">
        <w:rPr>
          <w:rFonts w:cs="David"/>
          <w:sz w:val="24"/>
          <w:szCs w:val="24"/>
          <w:rtl/>
        </w:rPr>
        <w:t xml:space="preserve"> </w:t>
      </w:r>
      <w:r w:rsidR="00FC748D" w:rsidRPr="00F047B6">
        <w:rPr>
          <w:rFonts w:cs="David" w:hint="cs"/>
          <w:sz w:val="24"/>
          <w:szCs w:val="24"/>
          <w:rtl/>
        </w:rPr>
        <w:t>ערטילאיות</w:t>
      </w:r>
      <w:r w:rsidR="00FC748D" w:rsidRPr="00F047B6">
        <w:rPr>
          <w:rFonts w:cs="David"/>
          <w:sz w:val="24"/>
          <w:szCs w:val="24"/>
          <w:rtl/>
        </w:rPr>
        <w:t xml:space="preserve"> </w:t>
      </w:r>
      <w:r w:rsidR="00FC748D" w:rsidRPr="00F047B6">
        <w:rPr>
          <w:rFonts w:cs="David" w:hint="cs"/>
          <w:sz w:val="24"/>
          <w:szCs w:val="24"/>
          <w:rtl/>
        </w:rPr>
        <w:t>שאינן</w:t>
      </w:r>
      <w:r w:rsidR="00FC748D" w:rsidRPr="00F047B6">
        <w:rPr>
          <w:rFonts w:cs="David"/>
          <w:sz w:val="24"/>
          <w:szCs w:val="24"/>
          <w:rtl/>
        </w:rPr>
        <w:t xml:space="preserve"> </w:t>
      </w:r>
      <w:r w:rsidR="00FC748D" w:rsidRPr="00F047B6">
        <w:rPr>
          <w:rFonts w:cs="David" w:hint="cs"/>
          <w:sz w:val="24"/>
          <w:szCs w:val="24"/>
          <w:rtl/>
        </w:rPr>
        <w:t>נראות</w:t>
      </w:r>
      <w:r w:rsidR="00FC748D" w:rsidRPr="00F047B6">
        <w:rPr>
          <w:rFonts w:cs="David"/>
          <w:sz w:val="24"/>
          <w:szCs w:val="24"/>
          <w:rtl/>
        </w:rPr>
        <w:t xml:space="preserve"> </w:t>
      </w:r>
      <w:r w:rsidR="00FC748D" w:rsidRPr="00F047B6">
        <w:rPr>
          <w:rFonts w:cs="David" w:hint="cs"/>
          <w:sz w:val="24"/>
          <w:szCs w:val="24"/>
          <w:rtl/>
        </w:rPr>
        <w:t>לעין</w:t>
      </w:r>
      <w:r w:rsidR="00FC748D" w:rsidRPr="00F047B6">
        <w:rPr>
          <w:rFonts w:cs="David"/>
          <w:sz w:val="24"/>
          <w:szCs w:val="24"/>
          <w:rtl/>
        </w:rPr>
        <w:t xml:space="preserve">, </w:t>
      </w:r>
      <w:r w:rsidR="00FC748D">
        <w:rPr>
          <w:rFonts w:cs="David" w:hint="cs"/>
          <w:sz w:val="24"/>
          <w:szCs w:val="24"/>
          <w:rtl/>
        </w:rPr>
        <w:t xml:space="preserve">לא תתקבלנה, ואף לא </w:t>
      </w:r>
      <w:r w:rsidR="00FC748D" w:rsidRPr="00F047B6">
        <w:rPr>
          <w:rFonts w:cs="David" w:hint="cs"/>
          <w:sz w:val="24"/>
          <w:szCs w:val="24"/>
          <w:rtl/>
        </w:rPr>
        <w:t>מסע</w:t>
      </w:r>
      <w:r w:rsidR="00FC748D">
        <w:rPr>
          <w:rFonts w:cs="David" w:hint="cs"/>
          <w:sz w:val="24"/>
          <w:szCs w:val="24"/>
          <w:rtl/>
        </w:rPr>
        <w:t>ות</w:t>
      </w:r>
      <w:r w:rsidR="00FC748D" w:rsidRPr="00F047B6">
        <w:rPr>
          <w:rFonts w:cs="David"/>
          <w:sz w:val="24"/>
          <w:szCs w:val="24"/>
          <w:rtl/>
        </w:rPr>
        <w:t xml:space="preserve"> </w:t>
      </w:r>
      <w:r w:rsidR="00FC748D" w:rsidRPr="00F047B6">
        <w:rPr>
          <w:rFonts w:cs="David" w:hint="cs"/>
          <w:sz w:val="24"/>
          <w:szCs w:val="24"/>
          <w:rtl/>
        </w:rPr>
        <w:t>דיג</w:t>
      </w:r>
      <w:r w:rsidR="00FC748D">
        <w:rPr>
          <w:rFonts w:cs="David" w:hint="cs"/>
          <w:sz w:val="24"/>
          <w:szCs w:val="24"/>
          <w:rtl/>
        </w:rPr>
        <w:t xml:space="preserve"> </w:t>
      </w:r>
      <w:r w:rsidR="009545DE">
        <w:rPr>
          <w:rFonts w:cs="David" w:hint="cs"/>
          <w:sz w:val="24"/>
          <w:szCs w:val="24"/>
          <w:rtl/>
        </w:rPr>
        <w:t>לגילוי ראיות</w:t>
      </w:r>
      <w:r w:rsidR="00FC748D" w:rsidRPr="00F047B6">
        <w:rPr>
          <w:rFonts w:cs="David"/>
          <w:sz w:val="24"/>
          <w:szCs w:val="24"/>
          <w:rtl/>
        </w:rPr>
        <w:t xml:space="preserve"> (</w:t>
      </w:r>
      <w:r w:rsidR="00FC748D" w:rsidRPr="00F047B6">
        <w:rPr>
          <w:rFonts w:cs="David" w:hint="cs"/>
          <w:sz w:val="24"/>
          <w:szCs w:val="24"/>
          <w:rtl/>
        </w:rPr>
        <w:t>בג</w:t>
      </w:r>
      <w:r w:rsidR="00FC748D" w:rsidRPr="00F047B6">
        <w:rPr>
          <w:rFonts w:cs="David"/>
          <w:sz w:val="24"/>
          <w:szCs w:val="24"/>
          <w:rtl/>
        </w:rPr>
        <w:t>"</w:t>
      </w:r>
      <w:r w:rsidR="00FC748D" w:rsidRPr="00F047B6">
        <w:rPr>
          <w:rFonts w:cs="David" w:hint="cs"/>
          <w:sz w:val="24"/>
          <w:szCs w:val="24"/>
          <w:rtl/>
        </w:rPr>
        <w:t>ץ</w:t>
      </w:r>
      <w:r w:rsidR="00FC748D" w:rsidRPr="00F047B6">
        <w:rPr>
          <w:rFonts w:cs="David"/>
          <w:sz w:val="24"/>
          <w:szCs w:val="24"/>
          <w:rtl/>
        </w:rPr>
        <w:t xml:space="preserve"> 620/02 </w:t>
      </w:r>
      <w:r w:rsidR="00FC748D" w:rsidRPr="00F047B6">
        <w:rPr>
          <w:rFonts w:cs="David" w:hint="cs"/>
          <w:b/>
          <w:bCs/>
          <w:sz w:val="24"/>
          <w:szCs w:val="24"/>
          <w:rtl/>
        </w:rPr>
        <w:t>התובע</w:t>
      </w:r>
      <w:r w:rsidR="00FC748D" w:rsidRPr="00F047B6">
        <w:rPr>
          <w:rFonts w:cs="David"/>
          <w:b/>
          <w:bCs/>
          <w:sz w:val="24"/>
          <w:szCs w:val="24"/>
          <w:rtl/>
        </w:rPr>
        <w:t xml:space="preserve"> </w:t>
      </w:r>
      <w:r w:rsidR="00FC748D" w:rsidRPr="00F047B6">
        <w:rPr>
          <w:rFonts w:cs="David" w:hint="cs"/>
          <w:b/>
          <w:bCs/>
          <w:sz w:val="24"/>
          <w:szCs w:val="24"/>
          <w:rtl/>
        </w:rPr>
        <w:t>הצבאי</w:t>
      </w:r>
      <w:r w:rsidR="00FC748D" w:rsidRPr="00F047B6">
        <w:rPr>
          <w:rFonts w:cs="David"/>
          <w:b/>
          <w:bCs/>
          <w:sz w:val="24"/>
          <w:szCs w:val="24"/>
          <w:rtl/>
        </w:rPr>
        <w:t xml:space="preserve"> </w:t>
      </w:r>
      <w:r w:rsidR="00FC748D" w:rsidRPr="00F047B6">
        <w:rPr>
          <w:rFonts w:cs="David" w:hint="cs"/>
          <w:b/>
          <w:bCs/>
          <w:sz w:val="24"/>
          <w:szCs w:val="24"/>
          <w:rtl/>
        </w:rPr>
        <w:t>הראשי</w:t>
      </w:r>
      <w:r w:rsidR="00FC748D" w:rsidRPr="00F047B6">
        <w:rPr>
          <w:rFonts w:cs="David"/>
          <w:b/>
          <w:bCs/>
          <w:sz w:val="24"/>
          <w:szCs w:val="24"/>
          <w:rtl/>
        </w:rPr>
        <w:t xml:space="preserve"> </w:t>
      </w:r>
      <w:r w:rsidR="00FC748D" w:rsidRPr="00F047B6">
        <w:rPr>
          <w:rFonts w:cs="David" w:hint="cs"/>
          <w:b/>
          <w:bCs/>
          <w:sz w:val="24"/>
          <w:szCs w:val="24"/>
          <w:rtl/>
        </w:rPr>
        <w:t>נ</w:t>
      </w:r>
      <w:r w:rsidR="00FC748D" w:rsidRPr="00F047B6">
        <w:rPr>
          <w:rFonts w:cs="David"/>
          <w:b/>
          <w:bCs/>
          <w:sz w:val="24"/>
          <w:szCs w:val="24"/>
          <w:rtl/>
        </w:rPr>
        <w:t xml:space="preserve">' </w:t>
      </w:r>
      <w:r w:rsidR="00FC748D" w:rsidRPr="00F047B6">
        <w:rPr>
          <w:rFonts w:cs="David" w:hint="cs"/>
          <w:b/>
          <w:bCs/>
          <w:sz w:val="24"/>
          <w:szCs w:val="24"/>
          <w:rtl/>
        </w:rPr>
        <w:t>בית</w:t>
      </w:r>
      <w:r w:rsidR="00FC748D" w:rsidRPr="00F047B6">
        <w:rPr>
          <w:rFonts w:cs="David"/>
          <w:b/>
          <w:bCs/>
          <w:sz w:val="24"/>
          <w:szCs w:val="24"/>
          <w:rtl/>
        </w:rPr>
        <w:t xml:space="preserve"> </w:t>
      </w:r>
      <w:r w:rsidR="00FC748D" w:rsidRPr="00F047B6">
        <w:rPr>
          <w:rFonts w:cs="David" w:hint="cs"/>
          <w:b/>
          <w:bCs/>
          <w:sz w:val="24"/>
          <w:szCs w:val="24"/>
          <w:rtl/>
        </w:rPr>
        <w:t>הדין</w:t>
      </w:r>
      <w:r w:rsidR="00FC748D" w:rsidRPr="00F047B6">
        <w:rPr>
          <w:rFonts w:cs="David"/>
          <w:b/>
          <w:bCs/>
          <w:sz w:val="24"/>
          <w:szCs w:val="24"/>
          <w:rtl/>
        </w:rPr>
        <w:t xml:space="preserve"> </w:t>
      </w:r>
      <w:r w:rsidR="00FC748D" w:rsidRPr="00F047B6">
        <w:rPr>
          <w:rFonts w:cs="David" w:hint="cs"/>
          <w:b/>
          <w:bCs/>
          <w:sz w:val="24"/>
          <w:szCs w:val="24"/>
          <w:rtl/>
        </w:rPr>
        <w:t>הצבאי</w:t>
      </w:r>
      <w:r w:rsidR="00FC748D" w:rsidRPr="00F047B6">
        <w:rPr>
          <w:rFonts w:cs="David"/>
          <w:b/>
          <w:bCs/>
          <w:sz w:val="24"/>
          <w:szCs w:val="24"/>
          <w:rtl/>
        </w:rPr>
        <w:t xml:space="preserve"> </w:t>
      </w:r>
      <w:r w:rsidR="00FC748D" w:rsidRPr="00F047B6">
        <w:rPr>
          <w:rFonts w:cs="David" w:hint="cs"/>
          <w:b/>
          <w:bCs/>
          <w:sz w:val="24"/>
          <w:szCs w:val="24"/>
          <w:rtl/>
        </w:rPr>
        <w:t>לערעורים</w:t>
      </w:r>
      <w:r w:rsidR="00FC748D" w:rsidRPr="00F047B6">
        <w:rPr>
          <w:rFonts w:cs="David"/>
          <w:sz w:val="24"/>
          <w:szCs w:val="24"/>
          <w:rtl/>
        </w:rPr>
        <w:t xml:space="preserve">, </w:t>
      </w:r>
      <w:r w:rsidR="00FC748D" w:rsidRPr="00F047B6">
        <w:rPr>
          <w:rFonts w:cs="David" w:hint="cs"/>
          <w:sz w:val="24"/>
          <w:szCs w:val="24"/>
          <w:rtl/>
        </w:rPr>
        <w:t>פ</w:t>
      </w:r>
      <w:r w:rsidR="00FC748D" w:rsidRPr="00F047B6">
        <w:rPr>
          <w:rFonts w:cs="David"/>
          <w:sz w:val="24"/>
          <w:szCs w:val="24"/>
          <w:rtl/>
        </w:rPr>
        <w:t>"</w:t>
      </w:r>
      <w:r w:rsidR="00FC748D" w:rsidRPr="00F047B6">
        <w:rPr>
          <w:rFonts w:cs="David" w:hint="cs"/>
          <w:sz w:val="24"/>
          <w:szCs w:val="24"/>
          <w:rtl/>
        </w:rPr>
        <w:t>ד</w:t>
      </w:r>
      <w:r w:rsidR="00FC748D" w:rsidRPr="00F047B6">
        <w:rPr>
          <w:rFonts w:cs="David"/>
          <w:sz w:val="24"/>
          <w:szCs w:val="24"/>
          <w:rtl/>
        </w:rPr>
        <w:t xml:space="preserve"> </w:t>
      </w:r>
      <w:r w:rsidR="00FC748D" w:rsidRPr="00F047B6">
        <w:rPr>
          <w:rFonts w:cs="David" w:hint="cs"/>
          <w:sz w:val="24"/>
          <w:szCs w:val="24"/>
          <w:rtl/>
        </w:rPr>
        <w:t>נ</w:t>
      </w:r>
      <w:r w:rsidR="00FC748D" w:rsidRPr="00F047B6">
        <w:rPr>
          <w:rFonts w:cs="David"/>
          <w:sz w:val="24"/>
          <w:szCs w:val="24"/>
          <w:rtl/>
        </w:rPr>
        <w:t>"</w:t>
      </w:r>
      <w:r w:rsidR="00FC748D" w:rsidRPr="00F047B6">
        <w:rPr>
          <w:rFonts w:cs="David" w:hint="cs"/>
          <w:sz w:val="24"/>
          <w:szCs w:val="24"/>
          <w:rtl/>
        </w:rPr>
        <w:t>ז</w:t>
      </w:r>
      <w:r w:rsidR="00FC748D" w:rsidRPr="00F047B6">
        <w:rPr>
          <w:rFonts w:cs="David"/>
          <w:sz w:val="24"/>
          <w:szCs w:val="24"/>
          <w:rtl/>
        </w:rPr>
        <w:t>(4) 625, 635 (2003))</w:t>
      </w:r>
      <w:r w:rsidR="00FC748D">
        <w:rPr>
          <w:rFonts w:cs="David" w:hint="cs"/>
          <w:sz w:val="24"/>
          <w:szCs w:val="24"/>
          <w:rtl/>
        </w:rPr>
        <w:t xml:space="preserve">. </w:t>
      </w:r>
      <w:r w:rsidR="00FC748D">
        <w:rPr>
          <w:rFonts w:ascii="David" w:eastAsia="Times New Roman" w:hAnsi="David" w:cs="David" w:hint="cs"/>
          <w:color w:val="222222"/>
          <w:sz w:val="24"/>
          <w:szCs w:val="24"/>
          <w:rtl/>
        </w:rPr>
        <w:t>השערת הסנגור או תקוותו</w:t>
      </w:r>
      <w:r w:rsidR="00456777">
        <w:rPr>
          <w:rFonts w:ascii="David" w:eastAsia="Times New Roman" w:hAnsi="David" w:cs="David" w:hint="cs"/>
          <w:color w:val="222222"/>
          <w:sz w:val="24"/>
          <w:szCs w:val="24"/>
          <w:rtl/>
        </w:rPr>
        <w:t xml:space="preserve"> שמא בחומר יהיה אמצעי עזר להגנת המבקש, </w:t>
      </w:r>
      <w:r w:rsidR="00456777" w:rsidRPr="00A66D90">
        <w:rPr>
          <w:rFonts w:ascii="David" w:eastAsia="Times New Roman" w:hAnsi="David" w:cs="David" w:hint="cs"/>
          <w:b/>
          <w:bCs/>
          <w:color w:val="222222"/>
          <w:sz w:val="24"/>
          <w:szCs w:val="24"/>
          <w:rtl/>
        </w:rPr>
        <w:t>אינה</w:t>
      </w:r>
      <w:r w:rsidR="00456777">
        <w:rPr>
          <w:rFonts w:ascii="David" w:eastAsia="Times New Roman" w:hAnsi="David" w:cs="David" w:hint="cs"/>
          <w:color w:val="222222"/>
          <w:sz w:val="24"/>
          <w:szCs w:val="24"/>
          <w:rtl/>
        </w:rPr>
        <w:t xml:space="preserve"> מהווה טעם המצדיק העברת החומר להגנה.</w:t>
      </w:r>
    </w:p>
    <w:p w14:paraId="49C41382" w14:textId="77777777" w:rsidR="00304FDC" w:rsidRDefault="00041AA3" w:rsidP="00041AA3">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לכך יש להוסיף את</w:t>
      </w:r>
      <w:r w:rsidR="00A66D90">
        <w:rPr>
          <w:rFonts w:ascii="David" w:eastAsia="Times New Roman" w:hAnsi="David" w:cs="David" w:hint="cs"/>
          <w:color w:val="222222"/>
          <w:sz w:val="24"/>
          <w:szCs w:val="24"/>
          <w:rtl/>
        </w:rPr>
        <w:t xml:space="preserve"> העובדה </w:t>
      </w:r>
      <w:r w:rsidR="00B05D3B">
        <w:rPr>
          <w:rFonts w:ascii="David" w:eastAsia="Times New Roman" w:hAnsi="David" w:cs="David" w:hint="cs"/>
          <w:color w:val="222222"/>
          <w:sz w:val="24"/>
          <w:szCs w:val="24"/>
          <w:rtl/>
        </w:rPr>
        <w:t xml:space="preserve">כי </w:t>
      </w:r>
      <w:r w:rsidR="00A66D90">
        <w:rPr>
          <w:rFonts w:ascii="David" w:eastAsia="Times New Roman" w:hAnsi="David" w:cs="David" w:hint="cs"/>
          <w:color w:val="222222"/>
          <w:sz w:val="24"/>
          <w:szCs w:val="24"/>
          <w:rtl/>
        </w:rPr>
        <w:t xml:space="preserve">פרוטוקול </w:t>
      </w:r>
      <w:r w:rsidR="00B05D3B">
        <w:rPr>
          <w:rFonts w:ascii="David" w:eastAsia="Times New Roman" w:hAnsi="David" w:cs="David" w:hint="cs"/>
          <w:color w:val="222222"/>
          <w:sz w:val="24"/>
          <w:szCs w:val="24"/>
          <w:rtl/>
        </w:rPr>
        <w:t>ה</w:t>
      </w:r>
      <w:r w:rsidR="00A66D90">
        <w:rPr>
          <w:rFonts w:ascii="David" w:eastAsia="Times New Roman" w:hAnsi="David" w:cs="David" w:hint="cs"/>
          <w:color w:val="222222"/>
          <w:sz w:val="24"/>
          <w:szCs w:val="24"/>
          <w:rtl/>
        </w:rPr>
        <w:t>הלי</w:t>
      </w:r>
      <w:r w:rsidR="00B05D3B">
        <w:rPr>
          <w:rFonts w:ascii="David" w:eastAsia="Times New Roman" w:hAnsi="David" w:cs="David" w:hint="cs"/>
          <w:color w:val="222222"/>
          <w:sz w:val="24"/>
          <w:szCs w:val="24"/>
          <w:rtl/>
        </w:rPr>
        <w:t>ך</w:t>
      </w:r>
      <w:r w:rsidR="00A66D90">
        <w:rPr>
          <w:rFonts w:ascii="David" w:eastAsia="Times New Roman" w:hAnsi="David" w:cs="David" w:hint="cs"/>
          <w:color w:val="222222"/>
          <w:sz w:val="24"/>
          <w:szCs w:val="24"/>
          <w:rtl/>
        </w:rPr>
        <w:t xml:space="preserve"> </w:t>
      </w:r>
      <w:r w:rsidR="00B05D3B">
        <w:rPr>
          <w:rFonts w:ascii="David" w:eastAsia="Times New Roman" w:hAnsi="David" w:cs="David" w:hint="cs"/>
          <w:color w:val="222222"/>
          <w:sz w:val="24"/>
          <w:szCs w:val="24"/>
          <w:rtl/>
        </w:rPr>
        <w:t>ה</w:t>
      </w:r>
      <w:r w:rsidR="00A66D90">
        <w:rPr>
          <w:rFonts w:ascii="David" w:eastAsia="Times New Roman" w:hAnsi="David" w:cs="David" w:hint="cs"/>
          <w:color w:val="222222"/>
          <w:sz w:val="24"/>
          <w:szCs w:val="24"/>
          <w:rtl/>
        </w:rPr>
        <w:t>משמעת</w:t>
      </w:r>
      <w:r w:rsidR="00B05D3B">
        <w:rPr>
          <w:rFonts w:ascii="David" w:eastAsia="Times New Roman" w:hAnsi="David" w:cs="David" w:hint="cs"/>
          <w:color w:val="222222"/>
          <w:sz w:val="24"/>
          <w:szCs w:val="24"/>
          <w:rtl/>
        </w:rPr>
        <w:t>י</w:t>
      </w:r>
      <w:r w:rsidR="00A66D90">
        <w:rPr>
          <w:rFonts w:ascii="David" w:eastAsia="Times New Roman" w:hAnsi="David" w:cs="David" w:hint="cs"/>
          <w:color w:val="222222"/>
          <w:sz w:val="24"/>
          <w:szCs w:val="24"/>
          <w:rtl/>
        </w:rPr>
        <w:t xml:space="preserve">, </w:t>
      </w:r>
      <w:r w:rsidR="00B05D3B" w:rsidRPr="00E83743">
        <w:rPr>
          <w:rFonts w:ascii="David" w:eastAsia="Times New Roman" w:hAnsi="David" w:cs="David" w:hint="cs"/>
          <w:b/>
          <w:bCs/>
          <w:color w:val="222222"/>
          <w:sz w:val="24"/>
          <w:szCs w:val="24"/>
          <w:rtl/>
        </w:rPr>
        <w:t>אינו</w:t>
      </w:r>
      <w:r w:rsidR="00A66D90">
        <w:rPr>
          <w:rFonts w:ascii="David" w:eastAsia="Times New Roman" w:hAnsi="David" w:cs="David" w:hint="cs"/>
          <w:color w:val="222222"/>
          <w:sz w:val="24"/>
          <w:szCs w:val="24"/>
          <w:rtl/>
        </w:rPr>
        <w:t xml:space="preserve"> </w:t>
      </w:r>
      <w:r w:rsidR="00A66D90" w:rsidRPr="00E83743">
        <w:rPr>
          <w:rFonts w:ascii="David" w:eastAsia="Times New Roman" w:hAnsi="David" w:cs="David" w:hint="cs"/>
          <w:b/>
          <w:bCs/>
          <w:color w:val="222222"/>
          <w:sz w:val="24"/>
          <w:szCs w:val="24"/>
          <w:rtl/>
        </w:rPr>
        <w:t>פומבי</w:t>
      </w:r>
      <w:r w:rsidR="00B05D3B">
        <w:rPr>
          <w:rFonts w:ascii="David" w:eastAsia="Times New Roman" w:hAnsi="David" w:cs="David" w:hint="cs"/>
          <w:color w:val="222222"/>
          <w:sz w:val="24"/>
          <w:szCs w:val="24"/>
          <w:rtl/>
        </w:rPr>
        <w:t xml:space="preserve">. </w:t>
      </w:r>
      <w:proofErr w:type="spellStart"/>
      <w:r w:rsidR="00E83743">
        <w:rPr>
          <w:rFonts w:ascii="David" w:eastAsia="Times New Roman" w:hAnsi="David" w:cs="David" w:hint="cs"/>
          <w:color w:val="222222"/>
          <w:sz w:val="24"/>
          <w:szCs w:val="24"/>
          <w:rtl/>
        </w:rPr>
        <w:t>פ"מ</w:t>
      </w:r>
      <w:proofErr w:type="spellEnd"/>
      <w:r w:rsidR="00E83743">
        <w:rPr>
          <w:rFonts w:ascii="David" w:eastAsia="Times New Roman" w:hAnsi="David" w:cs="David" w:hint="cs"/>
          <w:color w:val="222222"/>
          <w:sz w:val="24"/>
          <w:szCs w:val="24"/>
          <w:rtl/>
        </w:rPr>
        <w:t xml:space="preserve"> 33.0302 </w:t>
      </w:r>
      <w:r w:rsidR="004F69C0">
        <w:rPr>
          <w:rFonts w:ascii="David" w:eastAsia="Times New Roman" w:hAnsi="David" w:cs="David" w:hint="cs"/>
          <w:color w:val="222222"/>
          <w:sz w:val="24"/>
          <w:szCs w:val="24"/>
          <w:rtl/>
        </w:rPr>
        <w:t xml:space="preserve">שעניינה "הדין המשמעתי", </w:t>
      </w:r>
      <w:r w:rsidR="00E83743">
        <w:rPr>
          <w:rFonts w:ascii="David" w:eastAsia="Times New Roman" w:hAnsi="David" w:cs="David" w:hint="cs"/>
          <w:color w:val="222222"/>
          <w:sz w:val="24"/>
          <w:szCs w:val="24"/>
          <w:rtl/>
        </w:rPr>
        <w:t xml:space="preserve">קובעת כי הליך משמעתי </w:t>
      </w:r>
      <w:r w:rsidR="00EB7BB0">
        <w:rPr>
          <w:rFonts w:ascii="David" w:eastAsia="Times New Roman" w:hAnsi="David" w:cs="David" w:hint="cs"/>
          <w:color w:val="222222"/>
          <w:sz w:val="24"/>
          <w:szCs w:val="24"/>
          <w:rtl/>
        </w:rPr>
        <w:t>ינוהל במקום "שיאפשר שמירה על פרטיות הנידון והעדים במהלך הדיון" (סעיף 62)</w:t>
      </w:r>
      <w:r>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עוד נקבע בפקודה הכלל בדבר אי פומביות </w:t>
      </w:r>
      <w:r w:rsidR="00EB7BB0">
        <w:rPr>
          <w:rFonts w:ascii="David" w:eastAsia="Times New Roman" w:hAnsi="David" w:cs="David" w:hint="cs"/>
          <w:color w:val="222222"/>
          <w:sz w:val="24"/>
          <w:szCs w:val="24"/>
          <w:rtl/>
        </w:rPr>
        <w:lastRenderedPageBreak/>
        <w:t>הדיון והגורמים שיהיו נוכחים בו (סעיף 70)</w:t>
      </w:r>
      <w:r w:rsidR="00E83743">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הפקודה מפרטת גם לאן יועבר טופס 630 המתעד את ההליך המשמעתי בתום הדיון (סעיפים 207-203). בחיי המעשה </w:t>
      </w:r>
      <w:r>
        <w:rPr>
          <w:rFonts w:ascii="David" w:eastAsia="Times New Roman" w:hAnsi="David" w:cs="David" w:hint="cs"/>
          <w:color w:val="222222"/>
          <w:sz w:val="24"/>
          <w:szCs w:val="24"/>
          <w:rtl/>
        </w:rPr>
        <w:t>כידוע חושפים,</w:t>
      </w:r>
      <w:r w:rsidR="00EB7BB0">
        <w:rPr>
          <w:rFonts w:ascii="David" w:eastAsia="Times New Roman" w:hAnsi="David" w:cs="David" w:hint="cs"/>
          <w:color w:val="222222"/>
          <w:sz w:val="24"/>
          <w:szCs w:val="24"/>
          <w:rtl/>
        </w:rPr>
        <w:t xml:space="preserve"> לא אחת</w:t>
      </w:r>
      <w:r w:rsidR="00EE5665">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נידונים בהליכים משמעתיים </w:t>
      </w:r>
      <w:r w:rsidR="00EE5665">
        <w:rPr>
          <w:rFonts w:ascii="David" w:eastAsia="Times New Roman" w:hAnsi="David" w:cs="David" w:hint="cs"/>
          <w:color w:val="222222"/>
          <w:sz w:val="24"/>
          <w:szCs w:val="24"/>
          <w:rtl/>
        </w:rPr>
        <w:t>פרטים אישיים</w:t>
      </w:r>
      <w:r w:rsidR="00EB7BB0">
        <w:rPr>
          <w:rFonts w:ascii="David" w:eastAsia="Times New Roman" w:hAnsi="David" w:cs="David" w:hint="cs"/>
          <w:color w:val="222222"/>
          <w:sz w:val="24"/>
          <w:szCs w:val="24"/>
          <w:rtl/>
        </w:rPr>
        <w:t xml:space="preserve"> הנוגעים לנסיבות חייהם</w:t>
      </w:r>
      <w:r w:rsidR="00EE5665">
        <w:rPr>
          <w:rFonts w:ascii="David" w:eastAsia="Times New Roman" w:hAnsi="David" w:cs="David" w:hint="cs"/>
          <w:color w:val="222222"/>
          <w:sz w:val="24"/>
          <w:szCs w:val="24"/>
          <w:rtl/>
        </w:rPr>
        <w:t>, לבני משפחתם</w:t>
      </w:r>
      <w:r w:rsidR="00EB7BB0">
        <w:rPr>
          <w:rFonts w:ascii="David" w:eastAsia="Times New Roman" w:hAnsi="David" w:cs="David" w:hint="cs"/>
          <w:color w:val="222222"/>
          <w:sz w:val="24"/>
          <w:szCs w:val="24"/>
          <w:rtl/>
        </w:rPr>
        <w:t xml:space="preserve"> ול</w:t>
      </w:r>
      <w:r w:rsidR="00EE5665">
        <w:rPr>
          <w:rFonts w:ascii="David" w:eastAsia="Times New Roman" w:hAnsi="David" w:cs="David" w:hint="cs"/>
          <w:color w:val="222222"/>
          <w:sz w:val="24"/>
          <w:szCs w:val="24"/>
          <w:rtl/>
        </w:rPr>
        <w:t xml:space="preserve">נושאים שמטעמי </w:t>
      </w:r>
      <w:r w:rsidR="00EB7BB0">
        <w:rPr>
          <w:rFonts w:ascii="David" w:eastAsia="Times New Roman" w:hAnsi="David" w:cs="David" w:hint="cs"/>
          <w:color w:val="222222"/>
          <w:sz w:val="24"/>
          <w:szCs w:val="24"/>
          <w:rtl/>
        </w:rPr>
        <w:t>צנעת הפרט</w:t>
      </w:r>
      <w:r>
        <w:rPr>
          <w:rFonts w:ascii="David" w:eastAsia="Times New Roman" w:hAnsi="David" w:cs="David" w:hint="cs"/>
          <w:color w:val="222222"/>
          <w:sz w:val="24"/>
          <w:szCs w:val="24"/>
          <w:rtl/>
        </w:rPr>
        <w:t xml:space="preserve"> לא היו רוצים שיינתן </w:t>
      </w:r>
      <w:r w:rsidR="00EE5665">
        <w:rPr>
          <w:rFonts w:ascii="David" w:eastAsia="Times New Roman" w:hAnsi="David" w:cs="David" w:hint="cs"/>
          <w:color w:val="222222"/>
          <w:sz w:val="24"/>
          <w:szCs w:val="24"/>
          <w:rtl/>
        </w:rPr>
        <w:t xml:space="preserve">להם ביטוי פומבי. </w:t>
      </w:r>
      <w:r>
        <w:rPr>
          <w:rFonts w:ascii="David" w:eastAsia="Times New Roman" w:hAnsi="David" w:cs="David" w:hint="cs"/>
          <w:color w:val="222222"/>
          <w:sz w:val="24"/>
          <w:szCs w:val="24"/>
          <w:rtl/>
        </w:rPr>
        <w:t>לפיכך</w:t>
      </w:r>
      <w:r w:rsidR="00EE5665">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ב</w:t>
      </w:r>
      <w:r>
        <w:rPr>
          <w:rFonts w:ascii="David" w:eastAsia="Times New Roman" w:hAnsi="David" w:cs="David" w:hint="cs"/>
          <w:color w:val="222222"/>
          <w:sz w:val="24"/>
          <w:szCs w:val="24"/>
          <w:rtl/>
        </w:rPr>
        <w:t xml:space="preserve">עת </w:t>
      </w:r>
      <w:r w:rsidR="00EB7BB0">
        <w:rPr>
          <w:rFonts w:ascii="David" w:eastAsia="Times New Roman" w:hAnsi="David" w:cs="David" w:hint="cs"/>
          <w:color w:val="222222"/>
          <w:sz w:val="24"/>
          <w:szCs w:val="24"/>
          <w:rtl/>
        </w:rPr>
        <w:t>בחינת בקשה לעיון בפרוטוקול ה</w:t>
      </w:r>
      <w:r w:rsidR="00EE5665">
        <w:rPr>
          <w:rFonts w:ascii="David" w:eastAsia="Times New Roman" w:hAnsi="David" w:cs="David" w:hint="cs"/>
          <w:color w:val="222222"/>
          <w:sz w:val="24"/>
          <w:szCs w:val="24"/>
          <w:rtl/>
        </w:rPr>
        <w:t>ליך משמעתי</w:t>
      </w:r>
      <w:r>
        <w:rPr>
          <w:rFonts w:ascii="David" w:eastAsia="Times New Roman" w:hAnsi="David" w:cs="David" w:hint="cs"/>
          <w:color w:val="222222"/>
          <w:sz w:val="24"/>
          <w:szCs w:val="24"/>
          <w:rtl/>
        </w:rPr>
        <w:t>,</w:t>
      </w:r>
      <w:r w:rsidR="00EE5665">
        <w:rPr>
          <w:rFonts w:ascii="David" w:eastAsia="Times New Roman" w:hAnsi="David" w:cs="David" w:hint="cs"/>
          <w:color w:val="222222"/>
          <w:sz w:val="24"/>
          <w:szCs w:val="24"/>
          <w:rtl/>
        </w:rPr>
        <w:t xml:space="preserve"> יש ל</w:t>
      </w:r>
      <w:r w:rsidR="00EB7BB0">
        <w:rPr>
          <w:rFonts w:ascii="David" w:eastAsia="Times New Roman" w:hAnsi="David" w:cs="David" w:hint="cs"/>
          <w:color w:val="222222"/>
          <w:sz w:val="24"/>
          <w:szCs w:val="24"/>
          <w:rtl/>
        </w:rPr>
        <w:t>תת את הדעת</w:t>
      </w:r>
      <w:r w:rsidR="00EE5665">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ל</w:t>
      </w:r>
      <w:r w:rsidR="00EE5665">
        <w:rPr>
          <w:rFonts w:ascii="David" w:eastAsia="Times New Roman" w:hAnsi="David" w:cs="David" w:hint="cs"/>
          <w:color w:val="222222"/>
          <w:sz w:val="24"/>
          <w:szCs w:val="24"/>
          <w:rtl/>
        </w:rPr>
        <w:t>צד בחינת התרומה שיש לתוכן הפרוטוקול להגנת הנאשם, גם ל</w:t>
      </w:r>
      <w:r w:rsidR="00EB7BB0">
        <w:rPr>
          <w:rFonts w:ascii="David" w:eastAsia="Times New Roman" w:hAnsi="David" w:cs="David" w:hint="cs"/>
          <w:color w:val="222222"/>
          <w:sz w:val="24"/>
          <w:szCs w:val="24"/>
          <w:rtl/>
        </w:rPr>
        <w:t>פגיעה שעשויה להיות לעיון</w:t>
      </w:r>
      <w:r w:rsidR="00EE5665">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כאמור</w:t>
      </w:r>
      <w:r w:rsidR="00EE5665">
        <w:rPr>
          <w:rFonts w:ascii="David" w:eastAsia="Times New Roman" w:hAnsi="David" w:cs="David" w:hint="cs"/>
          <w:color w:val="222222"/>
          <w:sz w:val="24"/>
          <w:szCs w:val="24"/>
          <w:rtl/>
        </w:rPr>
        <w:t>,</w:t>
      </w:r>
      <w:r w:rsidR="00EB7BB0">
        <w:rPr>
          <w:rFonts w:ascii="David" w:eastAsia="Times New Roman" w:hAnsi="David" w:cs="David" w:hint="cs"/>
          <w:color w:val="222222"/>
          <w:sz w:val="24"/>
          <w:szCs w:val="24"/>
          <w:rtl/>
        </w:rPr>
        <w:t xml:space="preserve"> </w:t>
      </w:r>
      <w:r w:rsidR="00EB7BB0" w:rsidRPr="00FC5CF5">
        <w:rPr>
          <w:rFonts w:ascii="David" w:eastAsia="Times New Roman" w:hAnsi="David" w:cs="David" w:hint="cs"/>
          <w:b/>
          <w:bCs/>
          <w:color w:val="222222"/>
          <w:sz w:val="24"/>
          <w:szCs w:val="24"/>
          <w:rtl/>
        </w:rPr>
        <w:t>בפרטיותו</w:t>
      </w:r>
      <w:r w:rsidR="00EB7BB0">
        <w:rPr>
          <w:rFonts w:ascii="David" w:eastAsia="Times New Roman" w:hAnsi="David" w:cs="David" w:hint="cs"/>
          <w:color w:val="222222"/>
          <w:sz w:val="24"/>
          <w:szCs w:val="24"/>
          <w:rtl/>
        </w:rPr>
        <w:t xml:space="preserve"> של </w:t>
      </w:r>
      <w:r w:rsidR="00EB7BB0" w:rsidRPr="00FC5CF5">
        <w:rPr>
          <w:rFonts w:ascii="David" w:eastAsia="Times New Roman" w:hAnsi="David" w:cs="David" w:hint="cs"/>
          <w:b/>
          <w:bCs/>
          <w:color w:val="222222"/>
          <w:sz w:val="24"/>
          <w:szCs w:val="24"/>
          <w:rtl/>
        </w:rPr>
        <w:t>הנידון</w:t>
      </w:r>
      <w:r w:rsidR="00EB7BB0">
        <w:rPr>
          <w:rFonts w:ascii="David" w:eastAsia="Times New Roman" w:hAnsi="David" w:cs="David" w:hint="cs"/>
          <w:color w:val="222222"/>
          <w:sz w:val="24"/>
          <w:szCs w:val="24"/>
          <w:rtl/>
        </w:rPr>
        <w:t xml:space="preserve"> ושל </w:t>
      </w:r>
      <w:r w:rsidR="00EB7BB0" w:rsidRPr="00FC5CF5">
        <w:rPr>
          <w:rFonts w:ascii="David" w:eastAsia="Times New Roman" w:hAnsi="David" w:cs="David" w:hint="cs"/>
          <w:b/>
          <w:bCs/>
          <w:color w:val="222222"/>
          <w:sz w:val="24"/>
          <w:szCs w:val="24"/>
          <w:rtl/>
        </w:rPr>
        <w:t>צדדים שלישיים</w:t>
      </w:r>
      <w:r w:rsidR="00EB7BB0">
        <w:rPr>
          <w:rFonts w:ascii="David" w:eastAsia="Times New Roman" w:hAnsi="David" w:cs="David" w:hint="cs"/>
          <w:color w:val="222222"/>
          <w:sz w:val="24"/>
          <w:szCs w:val="24"/>
          <w:rtl/>
        </w:rPr>
        <w:t xml:space="preserve"> שעדותם נשמעת במסגרתו.</w:t>
      </w:r>
    </w:p>
    <w:p w14:paraId="022D36AD" w14:textId="77777777" w:rsidR="00041AA3" w:rsidRDefault="00041AA3" w:rsidP="00A420B6">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במהלך הדיון </w:t>
      </w:r>
      <w:r w:rsidRPr="00B002EA">
        <w:rPr>
          <w:rFonts w:ascii="David" w:eastAsia="Times New Roman" w:hAnsi="David" w:cs="David" w:hint="cs"/>
          <w:b/>
          <w:bCs/>
          <w:color w:val="222222"/>
          <w:sz w:val="24"/>
          <w:szCs w:val="24"/>
          <w:rtl/>
        </w:rPr>
        <w:t>בעל פה</w:t>
      </w:r>
      <w:r>
        <w:rPr>
          <w:rFonts w:ascii="David" w:eastAsia="Times New Roman" w:hAnsi="David" w:cs="David" w:hint="cs"/>
          <w:color w:val="222222"/>
          <w:sz w:val="24"/>
          <w:szCs w:val="24"/>
          <w:rtl/>
        </w:rPr>
        <w:t xml:space="preserve">, </w:t>
      </w:r>
      <w:r w:rsidR="00B002EA">
        <w:rPr>
          <w:rFonts w:ascii="David" w:eastAsia="Times New Roman" w:hAnsi="David" w:cs="David" w:hint="cs"/>
          <w:color w:val="222222"/>
          <w:sz w:val="24"/>
          <w:szCs w:val="24"/>
          <w:rtl/>
        </w:rPr>
        <w:t xml:space="preserve">במענה לשאלה </w:t>
      </w:r>
      <w:r>
        <w:rPr>
          <w:rFonts w:ascii="David" w:eastAsia="Times New Roman" w:hAnsi="David" w:cs="David" w:hint="cs"/>
          <w:color w:val="222222"/>
          <w:sz w:val="24"/>
          <w:szCs w:val="24"/>
          <w:rtl/>
        </w:rPr>
        <w:t>מה התועלת בעיו</w:t>
      </w:r>
      <w:r w:rsidR="00B002EA">
        <w:rPr>
          <w:rFonts w:ascii="David" w:eastAsia="Times New Roman" w:hAnsi="David" w:cs="David" w:hint="cs"/>
          <w:color w:val="222222"/>
          <w:sz w:val="24"/>
          <w:szCs w:val="24"/>
          <w:rtl/>
        </w:rPr>
        <w:t>ן</w:t>
      </w:r>
      <w:r>
        <w:rPr>
          <w:rFonts w:ascii="David" w:eastAsia="Times New Roman" w:hAnsi="David" w:cs="David" w:hint="cs"/>
          <w:color w:val="222222"/>
          <w:sz w:val="24"/>
          <w:szCs w:val="24"/>
          <w:rtl/>
        </w:rPr>
        <w:t xml:space="preserve"> </w:t>
      </w:r>
      <w:r w:rsidRPr="00B002EA">
        <w:rPr>
          <w:rFonts w:ascii="David" w:eastAsia="Times New Roman" w:hAnsi="David" w:cs="David" w:hint="cs"/>
          <w:b/>
          <w:bCs/>
          <w:color w:val="222222"/>
          <w:sz w:val="24"/>
          <w:szCs w:val="24"/>
          <w:rtl/>
        </w:rPr>
        <w:t>בפרוטוקול</w:t>
      </w:r>
      <w:r>
        <w:rPr>
          <w:rFonts w:ascii="David" w:eastAsia="Times New Roman" w:hAnsi="David" w:cs="David" w:hint="cs"/>
          <w:color w:val="222222"/>
          <w:sz w:val="24"/>
          <w:szCs w:val="24"/>
          <w:rtl/>
        </w:rPr>
        <w:t xml:space="preserve"> ההליך המשמעתי</w:t>
      </w:r>
      <w:r w:rsidR="00B002EA">
        <w:rPr>
          <w:rFonts w:ascii="David" w:eastAsia="Times New Roman" w:hAnsi="David" w:cs="David" w:hint="cs"/>
          <w:color w:val="222222"/>
          <w:sz w:val="24"/>
          <w:szCs w:val="24"/>
          <w:rtl/>
        </w:rPr>
        <w:t xml:space="preserve"> שנוהל בעניינו של סמ"ר </w:t>
      </w:r>
      <w:proofErr w:type="spellStart"/>
      <w:r w:rsidR="00B002EA">
        <w:rPr>
          <w:rFonts w:ascii="David" w:eastAsia="Times New Roman" w:hAnsi="David" w:cs="David" w:hint="cs"/>
          <w:color w:val="222222"/>
          <w:sz w:val="24"/>
          <w:szCs w:val="24"/>
          <w:rtl/>
        </w:rPr>
        <w:t>רושני</w:t>
      </w:r>
      <w:proofErr w:type="spellEnd"/>
      <w:r w:rsidR="00FC5CF5">
        <w:rPr>
          <w:rFonts w:ascii="David" w:eastAsia="Times New Roman" w:hAnsi="David" w:cs="David" w:hint="cs"/>
          <w:color w:val="222222"/>
          <w:sz w:val="24"/>
          <w:szCs w:val="24"/>
          <w:rtl/>
        </w:rPr>
        <w:t xml:space="preserve"> לגוף העניין</w:t>
      </w:r>
      <w:r>
        <w:rPr>
          <w:rFonts w:ascii="David" w:eastAsia="Times New Roman" w:hAnsi="David" w:cs="David" w:hint="cs"/>
          <w:color w:val="222222"/>
          <w:sz w:val="24"/>
          <w:szCs w:val="24"/>
          <w:rtl/>
        </w:rPr>
        <w:t xml:space="preserve">, </w:t>
      </w:r>
      <w:r w:rsidR="00B002EA">
        <w:rPr>
          <w:rFonts w:ascii="David" w:eastAsia="Times New Roman" w:hAnsi="David" w:cs="David" w:hint="cs"/>
          <w:color w:val="222222"/>
          <w:sz w:val="24"/>
          <w:szCs w:val="24"/>
          <w:rtl/>
        </w:rPr>
        <w:t>העלה</w:t>
      </w:r>
      <w:r>
        <w:rPr>
          <w:rFonts w:ascii="David" w:eastAsia="Times New Roman" w:hAnsi="David" w:cs="David" w:hint="cs"/>
          <w:color w:val="222222"/>
          <w:sz w:val="24"/>
          <w:szCs w:val="24"/>
          <w:rtl/>
        </w:rPr>
        <w:t xml:space="preserve"> </w:t>
      </w:r>
      <w:r w:rsidR="00B002EA">
        <w:rPr>
          <w:rFonts w:ascii="David" w:eastAsia="Times New Roman" w:hAnsi="David" w:cs="David" w:hint="cs"/>
          <w:color w:val="222222"/>
          <w:sz w:val="24"/>
          <w:szCs w:val="24"/>
          <w:rtl/>
        </w:rPr>
        <w:t xml:space="preserve">הסנגור מקבץ טיעונים נוסף על </w:t>
      </w:r>
      <w:r w:rsidR="00A420B6">
        <w:rPr>
          <w:rFonts w:ascii="David" w:eastAsia="Times New Roman" w:hAnsi="David" w:cs="David" w:hint="cs"/>
          <w:color w:val="222222"/>
          <w:sz w:val="24"/>
          <w:szCs w:val="24"/>
          <w:rtl/>
        </w:rPr>
        <w:t>אלה שפורטו ב</w:t>
      </w:r>
      <w:r w:rsidR="00B002EA">
        <w:rPr>
          <w:rFonts w:ascii="David" w:eastAsia="Times New Roman" w:hAnsi="David" w:cs="David" w:hint="cs"/>
          <w:color w:val="222222"/>
          <w:sz w:val="24"/>
          <w:szCs w:val="24"/>
          <w:rtl/>
        </w:rPr>
        <w:t xml:space="preserve">בקשה בכתב. נטען, כי ענין לו בתגובה של סמ"ר </w:t>
      </w:r>
      <w:proofErr w:type="spellStart"/>
      <w:r w:rsidR="00B002EA">
        <w:rPr>
          <w:rFonts w:ascii="David" w:eastAsia="Times New Roman" w:hAnsi="David" w:cs="David" w:hint="cs"/>
          <w:color w:val="222222"/>
          <w:sz w:val="24"/>
          <w:szCs w:val="24"/>
          <w:rtl/>
        </w:rPr>
        <w:t>רושני</w:t>
      </w:r>
      <w:proofErr w:type="spellEnd"/>
      <w:r w:rsidR="00B002EA">
        <w:rPr>
          <w:rFonts w:ascii="David" w:eastAsia="Times New Roman" w:hAnsi="David" w:cs="David" w:hint="cs"/>
          <w:color w:val="222222"/>
          <w:sz w:val="24"/>
          <w:szCs w:val="24"/>
          <w:rtl/>
        </w:rPr>
        <w:t xml:space="preserve"> ל</w:t>
      </w:r>
      <w:r w:rsidR="00A420B6">
        <w:rPr>
          <w:rFonts w:ascii="David" w:eastAsia="Times New Roman" w:hAnsi="David" w:cs="David" w:hint="cs"/>
          <w:color w:val="222222"/>
          <w:sz w:val="24"/>
          <w:szCs w:val="24"/>
          <w:rtl/>
        </w:rPr>
        <w:t>תלונה</w:t>
      </w:r>
      <w:r w:rsidR="00B002EA">
        <w:rPr>
          <w:rFonts w:ascii="David" w:eastAsia="Times New Roman" w:hAnsi="David" w:cs="David" w:hint="cs"/>
          <w:color w:val="222222"/>
          <w:sz w:val="24"/>
          <w:szCs w:val="24"/>
          <w:rtl/>
        </w:rPr>
        <w:t xml:space="preserve"> של נפגע העבירה, כפי שנשמעה בהליך המשמעתי; בהתנהגותו של נפגע העבירה כפי שהתרשם ממנה סמ"ר </w:t>
      </w:r>
      <w:proofErr w:type="spellStart"/>
      <w:r w:rsidR="00B002EA">
        <w:rPr>
          <w:rFonts w:ascii="David" w:eastAsia="Times New Roman" w:hAnsi="David" w:cs="David" w:hint="cs"/>
          <w:color w:val="222222"/>
          <w:sz w:val="24"/>
          <w:szCs w:val="24"/>
          <w:rtl/>
        </w:rPr>
        <w:t>רושני</w:t>
      </w:r>
      <w:proofErr w:type="spellEnd"/>
      <w:r w:rsidR="00B002EA">
        <w:rPr>
          <w:rFonts w:ascii="David" w:eastAsia="Times New Roman" w:hAnsi="David" w:cs="David" w:hint="cs"/>
          <w:color w:val="222222"/>
          <w:sz w:val="24"/>
          <w:szCs w:val="24"/>
          <w:rtl/>
        </w:rPr>
        <w:t xml:space="preserve"> ועליה העיד בהליך המשמעתי; בהקשר זה ביקש הסנגור לדעת האם במהלך ההליך המשמעתי טען סמ"ר </w:t>
      </w:r>
      <w:proofErr w:type="spellStart"/>
      <w:r w:rsidR="00B002EA">
        <w:rPr>
          <w:rFonts w:ascii="David" w:eastAsia="Times New Roman" w:hAnsi="David" w:cs="David" w:hint="cs"/>
          <w:color w:val="222222"/>
          <w:sz w:val="24"/>
          <w:szCs w:val="24"/>
          <w:rtl/>
        </w:rPr>
        <w:t>רושני</w:t>
      </w:r>
      <w:proofErr w:type="spellEnd"/>
      <w:r w:rsidR="00B002EA">
        <w:rPr>
          <w:rFonts w:ascii="David" w:eastAsia="Times New Roman" w:hAnsi="David" w:cs="David" w:hint="cs"/>
          <w:color w:val="222222"/>
          <w:sz w:val="24"/>
          <w:szCs w:val="24"/>
          <w:rtl/>
        </w:rPr>
        <w:t xml:space="preserve"> כי גם נפגע העבירה עשה כלפיו מעשים בעלי אופי מ</w:t>
      </w:r>
      <w:r w:rsidR="00A420B6">
        <w:rPr>
          <w:rFonts w:ascii="David" w:eastAsia="Times New Roman" w:hAnsi="David" w:cs="David" w:hint="cs"/>
          <w:color w:val="222222"/>
          <w:sz w:val="24"/>
          <w:szCs w:val="24"/>
          <w:rtl/>
        </w:rPr>
        <w:t xml:space="preserve">יני או </w:t>
      </w:r>
      <w:r w:rsidR="00B002EA">
        <w:rPr>
          <w:rFonts w:ascii="David" w:eastAsia="Times New Roman" w:hAnsi="David" w:cs="David" w:hint="cs"/>
          <w:color w:val="222222"/>
          <w:sz w:val="24"/>
          <w:szCs w:val="24"/>
          <w:rtl/>
        </w:rPr>
        <w:t>הטריד מינית אותו או חיילים אחרים ביחידה. נטען כי "אם כל החיילים אומרים שהמתלונן מתלונן על דברים שהוא בעצמו עושה אותם וכולם אומרים שזה באווירה של צחוק, יש לזה משמעות" (עמ' 3 ש' 7-6).</w:t>
      </w:r>
    </w:p>
    <w:p w14:paraId="1B973329" w14:textId="77777777" w:rsidR="004C6847" w:rsidRPr="004C6847" w:rsidRDefault="00B002EA" w:rsidP="004C6847">
      <w:pPr>
        <w:pStyle w:val="ListParagraph"/>
        <w:numPr>
          <w:ilvl w:val="0"/>
          <w:numId w:val="3"/>
        </w:numPr>
        <w:spacing w:after="0" w:line="360" w:lineRule="auto"/>
        <w:jc w:val="both"/>
        <w:rPr>
          <w:rFonts w:ascii="David" w:eastAsia="Times New Roman" w:hAnsi="David" w:cs="David"/>
          <w:color w:val="222222"/>
          <w:sz w:val="24"/>
          <w:szCs w:val="24"/>
        </w:rPr>
      </w:pPr>
      <w:r w:rsidRPr="00A420B6">
        <w:rPr>
          <w:rFonts w:ascii="David" w:eastAsia="Times New Roman" w:hAnsi="David" w:cs="David" w:hint="cs"/>
          <w:color w:val="222222"/>
          <w:sz w:val="24"/>
          <w:szCs w:val="24"/>
          <w:rtl/>
        </w:rPr>
        <w:t>בחנתי את הטיעונים האמורים בראי התועלת שעשויה להיות להם להגנת המבקש</w:t>
      </w:r>
      <w:r w:rsidR="00A420B6" w:rsidRPr="00A420B6">
        <w:rPr>
          <w:rFonts w:ascii="David" w:eastAsia="Times New Roman" w:hAnsi="David" w:cs="David" w:hint="cs"/>
          <w:color w:val="222222"/>
          <w:sz w:val="24"/>
          <w:szCs w:val="24"/>
          <w:rtl/>
        </w:rPr>
        <w:t xml:space="preserve">. מצאתי כי היבטים הנוגעים </w:t>
      </w:r>
      <w:r w:rsidR="00A420B6" w:rsidRPr="00A420B6">
        <w:rPr>
          <w:rFonts w:ascii="David" w:eastAsia="Times New Roman" w:hAnsi="David" w:cs="David" w:hint="cs"/>
          <w:b/>
          <w:bCs/>
          <w:color w:val="222222"/>
          <w:sz w:val="24"/>
          <w:szCs w:val="24"/>
          <w:rtl/>
        </w:rPr>
        <w:t>למהימנות נפגע העבירה</w:t>
      </w:r>
      <w:r w:rsidR="00F10B9F">
        <w:rPr>
          <w:rFonts w:ascii="David" w:eastAsia="Times New Roman" w:hAnsi="David" w:cs="David" w:hint="cs"/>
          <w:b/>
          <w:bCs/>
          <w:color w:val="222222"/>
          <w:sz w:val="24"/>
          <w:szCs w:val="24"/>
          <w:rtl/>
        </w:rPr>
        <w:t xml:space="preserve"> או התלונה שהגיש</w:t>
      </w:r>
      <w:r w:rsidR="00A420B6" w:rsidRPr="00A420B6">
        <w:rPr>
          <w:rFonts w:ascii="David" w:eastAsia="Times New Roman" w:hAnsi="David" w:cs="David" w:hint="cs"/>
          <w:color w:val="222222"/>
          <w:sz w:val="24"/>
          <w:szCs w:val="24"/>
          <w:rtl/>
        </w:rPr>
        <w:t xml:space="preserve">, </w:t>
      </w:r>
      <w:r w:rsidR="00F10B9F">
        <w:rPr>
          <w:rFonts w:ascii="David" w:eastAsia="Times New Roman" w:hAnsi="David" w:cs="David" w:hint="cs"/>
          <w:color w:val="222222"/>
          <w:sz w:val="24"/>
          <w:szCs w:val="24"/>
          <w:rtl/>
        </w:rPr>
        <w:t xml:space="preserve">אם </w:t>
      </w:r>
      <w:r w:rsidR="00A420B6" w:rsidRPr="00A420B6">
        <w:rPr>
          <w:rFonts w:ascii="David" w:eastAsia="Times New Roman" w:hAnsi="David" w:cs="David" w:hint="cs"/>
          <w:color w:val="222222"/>
          <w:sz w:val="24"/>
          <w:szCs w:val="24"/>
          <w:rtl/>
        </w:rPr>
        <w:t xml:space="preserve">ימצאו ביטוי בפרוטוקול ההליך המשמעתי, מצדיקים את העובדה כי </w:t>
      </w:r>
      <w:r w:rsidR="00A420B6" w:rsidRPr="00A420B6">
        <w:rPr>
          <w:rFonts w:ascii="David" w:eastAsia="Times New Roman" w:hAnsi="David" w:cs="David" w:hint="cs"/>
          <w:b/>
          <w:bCs/>
          <w:color w:val="222222"/>
          <w:sz w:val="24"/>
          <w:szCs w:val="24"/>
          <w:rtl/>
        </w:rPr>
        <w:t>אעיין</w:t>
      </w:r>
      <w:r w:rsidR="00A420B6" w:rsidRPr="00A420B6">
        <w:rPr>
          <w:rFonts w:ascii="David" w:eastAsia="Times New Roman" w:hAnsi="David" w:cs="David" w:hint="cs"/>
          <w:color w:val="222222"/>
          <w:sz w:val="24"/>
          <w:szCs w:val="24"/>
          <w:rtl/>
        </w:rPr>
        <w:t xml:space="preserve"> בפרוטוקול ההליך המשמעתי</w:t>
      </w:r>
      <w:r w:rsidR="00A420B6">
        <w:rPr>
          <w:rFonts w:ascii="David" w:eastAsia="Times New Roman" w:hAnsi="David" w:cs="David" w:hint="cs"/>
          <w:color w:val="222222"/>
          <w:sz w:val="24"/>
          <w:szCs w:val="24"/>
          <w:rtl/>
        </w:rPr>
        <w:t xml:space="preserve"> טרם מתן החלטה</w:t>
      </w:r>
      <w:r w:rsidR="00A420B6" w:rsidRPr="00A420B6">
        <w:rPr>
          <w:rFonts w:ascii="David" w:eastAsia="Times New Roman" w:hAnsi="David" w:cs="David" w:hint="cs"/>
          <w:color w:val="222222"/>
          <w:sz w:val="24"/>
          <w:szCs w:val="24"/>
          <w:rtl/>
        </w:rPr>
        <w:t xml:space="preserve">. </w:t>
      </w:r>
      <w:r w:rsidR="004C6847">
        <w:rPr>
          <w:rFonts w:ascii="David" w:eastAsia="Times New Roman" w:hAnsi="David" w:cs="David" w:hint="cs"/>
          <w:color w:val="222222"/>
          <w:sz w:val="24"/>
          <w:szCs w:val="24"/>
          <w:rtl/>
        </w:rPr>
        <w:t>בפסיקה נקבע "</w:t>
      </w:r>
      <w:r w:rsidR="004C6847" w:rsidRPr="004C6847">
        <w:rPr>
          <w:rFonts w:ascii="David" w:eastAsia="Times New Roman" w:hAnsi="David" w:cs="David" w:hint="eastAsia"/>
          <w:color w:val="222222"/>
          <w:sz w:val="24"/>
          <w:szCs w:val="24"/>
          <w:rtl/>
        </w:rPr>
        <w:t>כי</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חומר</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הנוגע</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למהימנותו</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של</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עד</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מרכזי</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עשוי</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להיות</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רלבנטי</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להגנת</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הנאשם</w:t>
      </w:r>
      <w:r w:rsidR="00FC5CF5">
        <w:rPr>
          <w:rFonts w:ascii="David" w:eastAsia="Times New Roman" w:hAnsi="David" w:cs="David" w:hint="cs"/>
          <w:color w:val="222222"/>
          <w:sz w:val="24"/>
          <w:szCs w:val="24"/>
          <w:rtl/>
        </w:rPr>
        <w:t>"</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ויחד</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עם</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זאת</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החיפוש</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אחר</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חומר</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כזה</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אינו</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יכול</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להיות</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מסע</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דיג</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מתוך</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תקווה</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שאינה</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מעוגנת</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בעובדות</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כי</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בסוף</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המסע</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אכן</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יימצא</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חומר</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כזה</w:t>
      </w:r>
      <w:r w:rsidR="004C6847" w:rsidRPr="004C6847">
        <w:rPr>
          <w:rFonts w:ascii="David" w:eastAsia="Times New Roman" w:hAnsi="David" w:cs="David"/>
          <w:color w:val="222222"/>
          <w:sz w:val="24"/>
          <w:szCs w:val="24"/>
          <w:rtl/>
        </w:rPr>
        <w:t>"</w:t>
      </w:r>
      <w:r w:rsidR="004C6847">
        <w:rPr>
          <w:rFonts w:ascii="David" w:eastAsia="Times New Roman" w:hAnsi="David" w:cs="David" w:hint="cs"/>
          <w:color w:val="222222"/>
          <w:sz w:val="24"/>
          <w:szCs w:val="24"/>
          <w:rtl/>
        </w:rPr>
        <w:t xml:space="preserve"> (</w:t>
      </w:r>
      <w:proofErr w:type="spellStart"/>
      <w:r w:rsidR="004C6847" w:rsidRPr="004C6847">
        <w:rPr>
          <w:rFonts w:ascii="David" w:eastAsia="Times New Roman" w:hAnsi="David" w:cs="David" w:hint="eastAsia"/>
          <w:color w:val="222222"/>
          <w:sz w:val="24"/>
          <w:szCs w:val="24"/>
          <w:rtl/>
        </w:rPr>
        <w:t>בש</w:t>
      </w:r>
      <w:r w:rsidR="004C6847" w:rsidRPr="004C6847">
        <w:rPr>
          <w:rFonts w:ascii="David" w:eastAsia="Times New Roman" w:hAnsi="David" w:cs="David"/>
          <w:color w:val="222222"/>
          <w:sz w:val="24"/>
          <w:szCs w:val="24"/>
          <w:rtl/>
        </w:rPr>
        <w:t>"</w:t>
      </w:r>
      <w:r w:rsidR="004C6847" w:rsidRPr="004C6847">
        <w:rPr>
          <w:rFonts w:ascii="David" w:eastAsia="Times New Roman" w:hAnsi="David" w:cs="David" w:hint="eastAsia"/>
          <w:color w:val="222222"/>
          <w:sz w:val="24"/>
          <w:szCs w:val="24"/>
          <w:rtl/>
        </w:rPr>
        <w:t>פ</w:t>
      </w:r>
      <w:proofErr w:type="spellEnd"/>
      <w:r w:rsidR="004C6847" w:rsidRPr="004C6847">
        <w:rPr>
          <w:rFonts w:ascii="David" w:eastAsia="Times New Roman" w:hAnsi="David" w:cs="David"/>
          <w:color w:val="222222"/>
          <w:sz w:val="24"/>
          <w:szCs w:val="24"/>
          <w:rtl/>
        </w:rPr>
        <w:t xml:space="preserve"> 3603/19 </w:t>
      </w:r>
      <w:r w:rsidR="004C6847" w:rsidRPr="004C6847">
        <w:rPr>
          <w:rFonts w:ascii="David" w:eastAsia="Times New Roman" w:hAnsi="David" w:cs="David" w:hint="eastAsia"/>
          <w:b/>
          <w:bCs/>
          <w:color w:val="222222"/>
          <w:sz w:val="24"/>
          <w:szCs w:val="24"/>
          <w:rtl/>
        </w:rPr>
        <w:t>קידר</w:t>
      </w:r>
      <w:r w:rsidR="004C6847" w:rsidRPr="004C6847">
        <w:rPr>
          <w:rFonts w:ascii="David" w:eastAsia="Times New Roman" w:hAnsi="David" w:cs="David"/>
          <w:b/>
          <w:bCs/>
          <w:color w:val="222222"/>
          <w:sz w:val="24"/>
          <w:szCs w:val="24"/>
          <w:rtl/>
        </w:rPr>
        <w:t xml:space="preserve"> </w:t>
      </w:r>
      <w:r w:rsidR="004C6847" w:rsidRPr="004C6847">
        <w:rPr>
          <w:rFonts w:ascii="David" w:eastAsia="Times New Roman" w:hAnsi="David" w:cs="David" w:hint="eastAsia"/>
          <w:b/>
          <w:bCs/>
          <w:color w:val="222222"/>
          <w:sz w:val="24"/>
          <w:szCs w:val="24"/>
          <w:rtl/>
        </w:rPr>
        <w:t>נ</w:t>
      </w:r>
      <w:r w:rsidR="004C6847" w:rsidRPr="004C6847">
        <w:rPr>
          <w:rFonts w:ascii="David" w:eastAsia="Times New Roman" w:hAnsi="David" w:cs="David"/>
          <w:b/>
          <w:bCs/>
          <w:color w:val="222222"/>
          <w:sz w:val="24"/>
          <w:szCs w:val="24"/>
          <w:rtl/>
        </w:rPr>
        <w:t xml:space="preserve">' </w:t>
      </w:r>
      <w:r w:rsidR="004C6847" w:rsidRPr="004C6847">
        <w:rPr>
          <w:rFonts w:ascii="David" w:eastAsia="Times New Roman" w:hAnsi="David" w:cs="David" w:hint="eastAsia"/>
          <w:b/>
          <w:bCs/>
          <w:color w:val="222222"/>
          <w:sz w:val="24"/>
          <w:szCs w:val="24"/>
          <w:rtl/>
        </w:rPr>
        <w:t>מדינת</w:t>
      </w:r>
      <w:r w:rsidR="004C6847" w:rsidRPr="004C6847">
        <w:rPr>
          <w:rFonts w:ascii="David" w:eastAsia="Times New Roman" w:hAnsi="David" w:cs="David"/>
          <w:b/>
          <w:bCs/>
          <w:color w:val="222222"/>
          <w:sz w:val="24"/>
          <w:szCs w:val="24"/>
          <w:rtl/>
        </w:rPr>
        <w:t xml:space="preserve"> </w:t>
      </w:r>
      <w:r w:rsidR="004C6847" w:rsidRPr="004C6847">
        <w:rPr>
          <w:rFonts w:ascii="David" w:eastAsia="Times New Roman" w:hAnsi="David" w:cs="David" w:hint="eastAsia"/>
          <w:b/>
          <w:bCs/>
          <w:color w:val="222222"/>
          <w:sz w:val="24"/>
          <w:szCs w:val="24"/>
          <w:rtl/>
        </w:rPr>
        <w:t>ישראל</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טרם</w:t>
      </w:r>
      <w:r w:rsidR="004C6847" w:rsidRPr="004C6847">
        <w:rPr>
          <w:rFonts w:ascii="David" w:eastAsia="Times New Roman" w:hAnsi="David" w:cs="David"/>
          <w:color w:val="222222"/>
          <w:sz w:val="24"/>
          <w:szCs w:val="24"/>
          <w:rtl/>
        </w:rPr>
        <w:t xml:space="preserve"> </w:t>
      </w:r>
      <w:r w:rsidR="004C6847" w:rsidRPr="004C6847">
        <w:rPr>
          <w:rFonts w:ascii="David" w:eastAsia="Times New Roman" w:hAnsi="David" w:cs="David" w:hint="eastAsia"/>
          <w:color w:val="222222"/>
          <w:sz w:val="24"/>
          <w:szCs w:val="24"/>
          <w:rtl/>
        </w:rPr>
        <w:t>פורסם</w:t>
      </w:r>
      <w:r w:rsidR="004C6847" w:rsidRPr="004C6847">
        <w:rPr>
          <w:rFonts w:ascii="David" w:eastAsia="Times New Roman" w:hAnsi="David" w:cs="David"/>
          <w:color w:val="222222"/>
          <w:sz w:val="24"/>
          <w:szCs w:val="24"/>
          <w:rtl/>
        </w:rPr>
        <w:t>, 10.7.2019)</w:t>
      </w:r>
      <w:r w:rsidR="004C6847">
        <w:rPr>
          <w:rFonts w:ascii="David" w:eastAsia="Times New Roman" w:hAnsi="David" w:cs="David" w:hint="cs"/>
          <w:color w:val="222222"/>
          <w:sz w:val="24"/>
          <w:szCs w:val="24"/>
          <w:rtl/>
        </w:rPr>
        <w:t>)</w:t>
      </w:r>
    </w:p>
    <w:p w14:paraId="12927B19" w14:textId="77777777" w:rsidR="00CE315E" w:rsidRDefault="00A420B6" w:rsidP="00FC5CF5">
      <w:pPr>
        <w:pStyle w:val="ListParagraph"/>
        <w:numPr>
          <w:ilvl w:val="0"/>
          <w:numId w:val="3"/>
        </w:numPr>
        <w:spacing w:after="0" w:line="360" w:lineRule="auto"/>
        <w:jc w:val="both"/>
        <w:rPr>
          <w:rFonts w:ascii="David" w:eastAsia="Times New Roman" w:hAnsi="David" w:cs="David"/>
          <w:color w:val="222222"/>
          <w:sz w:val="24"/>
          <w:szCs w:val="24"/>
        </w:rPr>
      </w:pPr>
      <w:r w:rsidRPr="00A420B6">
        <w:rPr>
          <w:rFonts w:ascii="David" w:eastAsia="Times New Roman" w:hAnsi="David" w:cs="David" w:hint="cs"/>
          <w:color w:val="222222"/>
          <w:sz w:val="24"/>
          <w:szCs w:val="24"/>
          <w:rtl/>
        </w:rPr>
        <w:t xml:space="preserve">ביום 28.1.2020 העבירה התביעה לעיוני את הפרוטוקול. לאחר עיון </w:t>
      </w:r>
      <w:r w:rsidR="00F10B9F">
        <w:rPr>
          <w:rFonts w:ascii="David" w:eastAsia="Times New Roman" w:hAnsi="David" w:cs="David" w:hint="cs"/>
          <w:color w:val="222222"/>
          <w:sz w:val="24"/>
          <w:szCs w:val="24"/>
          <w:rtl/>
        </w:rPr>
        <w:t>בו</w:t>
      </w:r>
      <w:r w:rsidRPr="00A420B6">
        <w:rPr>
          <w:rFonts w:ascii="David" w:eastAsia="Times New Roman" w:hAnsi="David" w:cs="David" w:hint="cs"/>
          <w:color w:val="222222"/>
          <w:sz w:val="24"/>
          <w:szCs w:val="24"/>
          <w:rtl/>
        </w:rPr>
        <w:t xml:space="preserve"> </w:t>
      </w:r>
      <w:r w:rsidR="00FC5CF5">
        <w:rPr>
          <w:rFonts w:ascii="David" w:eastAsia="Times New Roman" w:hAnsi="David" w:cs="David" w:hint="cs"/>
          <w:color w:val="222222"/>
          <w:sz w:val="24"/>
          <w:szCs w:val="24"/>
          <w:rtl/>
        </w:rPr>
        <w:t xml:space="preserve">והשוואתו עם </w:t>
      </w:r>
      <w:r w:rsidRPr="00A420B6">
        <w:rPr>
          <w:rFonts w:ascii="David" w:eastAsia="Times New Roman" w:hAnsi="David" w:cs="David" w:hint="cs"/>
          <w:color w:val="222222"/>
          <w:sz w:val="24"/>
          <w:szCs w:val="24"/>
          <w:rtl/>
        </w:rPr>
        <w:t xml:space="preserve">חומר החקירה שנאסף בתיק זה, </w:t>
      </w:r>
      <w:r w:rsidR="00B002EA" w:rsidRPr="00A420B6">
        <w:rPr>
          <w:rFonts w:ascii="David" w:eastAsia="Times New Roman" w:hAnsi="David" w:cs="David" w:hint="cs"/>
          <w:color w:val="222222"/>
          <w:sz w:val="24"/>
          <w:szCs w:val="24"/>
          <w:rtl/>
        </w:rPr>
        <w:t xml:space="preserve">מצאתי כי </w:t>
      </w:r>
      <w:r w:rsidR="00CE315E">
        <w:rPr>
          <w:rFonts w:ascii="David" w:eastAsia="Times New Roman" w:hAnsi="David" w:cs="David" w:hint="cs"/>
          <w:color w:val="222222"/>
          <w:sz w:val="24"/>
          <w:szCs w:val="24"/>
          <w:rtl/>
        </w:rPr>
        <w:t xml:space="preserve">יש להעביר לעיון ההגנה מתוך טופס התלונה </w:t>
      </w:r>
      <w:r w:rsidR="004C6847">
        <w:rPr>
          <w:rFonts w:ascii="David" w:eastAsia="Times New Roman" w:hAnsi="David" w:cs="David" w:hint="cs"/>
          <w:color w:val="222222"/>
          <w:sz w:val="24"/>
          <w:szCs w:val="24"/>
          <w:rtl/>
        </w:rPr>
        <w:t xml:space="preserve">(אל"ם דרור שפיגל מיום 26.1.2020) </w:t>
      </w:r>
      <w:r w:rsidR="00CE315E">
        <w:rPr>
          <w:rFonts w:ascii="David" w:eastAsia="Times New Roman" w:hAnsi="David" w:cs="David" w:hint="cs"/>
          <w:color w:val="222222"/>
          <w:sz w:val="24"/>
          <w:szCs w:val="24"/>
          <w:rtl/>
        </w:rPr>
        <w:t xml:space="preserve">את </w:t>
      </w:r>
      <w:r w:rsidR="00CE315E" w:rsidRPr="00CE315E">
        <w:rPr>
          <w:rFonts w:ascii="David" w:eastAsia="Times New Roman" w:hAnsi="David" w:cs="David" w:hint="cs"/>
          <w:color w:val="222222"/>
          <w:sz w:val="24"/>
          <w:szCs w:val="24"/>
          <w:u w:val="single"/>
          <w:rtl/>
        </w:rPr>
        <w:t>שתי השורות האחרונות מתגובת הנידון שבפרק ה' לטופס התלונה, מהמילה "לא" עד המילה "שהוצג"</w:t>
      </w:r>
      <w:r w:rsidR="00CE315E">
        <w:rPr>
          <w:rFonts w:ascii="David" w:eastAsia="Times New Roman" w:hAnsi="David" w:cs="David" w:hint="cs"/>
          <w:color w:val="222222"/>
          <w:sz w:val="24"/>
          <w:szCs w:val="24"/>
          <w:rtl/>
        </w:rPr>
        <w:t xml:space="preserve">. פרט לכך, </w:t>
      </w:r>
      <w:r w:rsidR="00B002EA" w:rsidRPr="00A420B6">
        <w:rPr>
          <w:rFonts w:ascii="David" w:eastAsia="Times New Roman" w:hAnsi="David" w:cs="David" w:hint="cs"/>
          <w:color w:val="222222"/>
          <w:sz w:val="24"/>
          <w:szCs w:val="24"/>
          <w:rtl/>
        </w:rPr>
        <w:t xml:space="preserve">אין </w:t>
      </w:r>
      <w:r w:rsidRPr="00A420B6">
        <w:rPr>
          <w:rFonts w:ascii="David" w:eastAsia="Times New Roman" w:hAnsi="David" w:cs="David" w:hint="cs"/>
          <w:color w:val="222222"/>
          <w:sz w:val="24"/>
          <w:szCs w:val="24"/>
          <w:rtl/>
        </w:rPr>
        <w:t xml:space="preserve">בפרוטוקול ההליך המשמעתי פרטי מידע </w:t>
      </w:r>
      <w:r w:rsidR="00B41ACF" w:rsidRPr="00A420B6">
        <w:rPr>
          <w:rFonts w:ascii="David" w:eastAsia="Times New Roman" w:hAnsi="David" w:cs="David" w:hint="cs"/>
          <w:color w:val="222222"/>
          <w:sz w:val="24"/>
          <w:szCs w:val="24"/>
          <w:rtl/>
        </w:rPr>
        <w:t xml:space="preserve">חדשים </w:t>
      </w:r>
      <w:r w:rsidR="004C6847">
        <w:rPr>
          <w:rFonts w:ascii="David" w:eastAsia="Times New Roman" w:hAnsi="David" w:cs="David" w:hint="cs"/>
          <w:color w:val="222222"/>
          <w:sz w:val="24"/>
          <w:szCs w:val="24"/>
          <w:rtl/>
        </w:rPr>
        <w:t xml:space="preserve">שנשמעו מפי סמ"ר </w:t>
      </w:r>
      <w:proofErr w:type="spellStart"/>
      <w:r w:rsidR="004C6847">
        <w:rPr>
          <w:rFonts w:ascii="David" w:eastAsia="Times New Roman" w:hAnsi="David" w:cs="David" w:hint="cs"/>
          <w:color w:val="222222"/>
          <w:sz w:val="24"/>
          <w:szCs w:val="24"/>
          <w:rtl/>
        </w:rPr>
        <w:t>רושני</w:t>
      </w:r>
      <w:proofErr w:type="spellEnd"/>
      <w:r w:rsidR="004C6847">
        <w:rPr>
          <w:rFonts w:ascii="David" w:eastAsia="Times New Roman" w:hAnsi="David" w:cs="David" w:hint="cs"/>
          <w:color w:val="222222"/>
          <w:sz w:val="24"/>
          <w:szCs w:val="24"/>
          <w:rtl/>
        </w:rPr>
        <w:t xml:space="preserve">, </w:t>
      </w:r>
      <w:r w:rsidR="00B41ACF">
        <w:rPr>
          <w:rFonts w:ascii="David" w:eastAsia="Times New Roman" w:hAnsi="David" w:cs="David" w:hint="cs"/>
          <w:color w:val="222222"/>
          <w:sz w:val="24"/>
          <w:szCs w:val="24"/>
          <w:rtl/>
        </w:rPr>
        <w:t xml:space="preserve">שעשויים להיות רלוונטיים, </w:t>
      </w:r>
      <w:r w:rsidR="00B41ACF" w:rsidRPr="00A420B6">
        <w:rPr>
          <w:rFonts w:ascii="David" w:eastAsia="Times New Roman" w:hAnsi="David" w:cs="David" w:hint="cs"/>
          <w:color w:val="222222"/>
          <w:sz w:val="24"/>
          <w:szCs w:val="24"/>
          <w:rtl/>
        </w:rPr>
        <w:t xml:space="preserve">מעבר </w:t>
      </w:r>
      <w:r w:rsidR="00B41ACF">
        <w:rPr>
          <w:rFonts w:ascii="David" w:eastAsia="Times New Roman" w:hAnsi="David" w:cs="David" w:hint="cs"/>
          <w:color w:val="222222"/>
          <w:sz w:val="24"/>
          <w:szCs w:val="24"/>
          <w:rtl/>
        </w:rPr>
        <w:t>לפרטי מידע</w:t>
      </w:r>
      <w:r w:rsidR="00B41ACF" w:rsidRPr="00A420B6">
        <w:rPr>
          <w:rFonts w:ascii="David" w:eastAsia="Times New Roman" w:hAnsi="David" w:cs="David" w:hint="cs"/>
          <w:color w:val="222222"/>
          <w:sz w:val="24"/>
          <w:szCs w:val="24"/>
          <w:rtl/>
        </w:rPr>
        <w:t xml:space="preserve"> ש</w:t>
      </w:r>
      <w:r w:rsidR="00B41ACF">
        <w:rPr>
          <w:rFonts w:ascii="David" w:eastAsia="Times New Roman" w:hAnsi="David" w:cs="David" w:hint="cs"/>
          <w:color w:val="222222"/>
          <w:sz w:val="24"/>
          <w:szCs w:val="24"/>
          <w:rtl/>
        </w:rPr>
        <w:t xml:space="preserve">כבר </w:t>
      </w:r>
      <w:r w:rsidR="00B41ACF" w:rsidRPr="00A420B6">
        <w:rPr>
          <w:rFonts w:ascii="David" w:eastAsia="Times New Roman" w:hAnsi="David" w:cs="David" w:hint="cs"/>
          <w:color w:val="222222"/>
          <w:sz w:val="24"/>
          <w:szCs w:val="24"/>
          <w:rtl/>
        </w:rPr>
        <w:t>מצויים בחומר הראיות</w:t>
      </w:r>
      <w:r w:rsidR="00B41ACF">
        <w:rPr>
          <w:rFonts w:ascii="David" w:eastAsia="Times New Roman" w:hAnsi="David" w:cs="David" w:hint="cs"/>
          <w:color w:val="222222"/>
          <w:sz w:val="24"/>
          <w:szCs w:val="24"/>
          <w:rtl/>
        </w:rPr>
        <w:t xml:space="preserve"> והועברו לעיון ההגנה </w:t>
      </w:r>
      <w:r w:rsidR="004C6847">
        <w:rPr>
          <w:rFonts w:ascii="David" w:eastAsia="Times New Roman" w:hAnsi="David" w:cs="David" w:hint="cs"/>
          <w:color w:val="222222"/>
          <w:sz w:val="24"/>
          <w:szCs w:val="24"/>
          <w:rtl/>
        </w:rPr>
        <w:t xml:space="preserve">לאחר שנשמעו מפי סמ"ר </w:t>
      </w:r>
      <w:proofErr w:type="spellStart"/>
      <w:r w:rsidR="004C6847">
        <w:rPr>
          <w:rFonts w:ascii="David" w:eastAsia="Times New Roman" w:hAnsi="David" w:cs="David" w:hint="cs"/>
          <w:color w:val="222222"/>
          <w:sz w:val="24"/>
          <w:szCs w:val="24"/>
          <w:rtl/>
        </w:rPr>
        <w:t>רושני</w:t>
      </w:r>
      <w:proofErr w:type="spellEnd"/>
      <w:r w:rsidR="004C6847">
        <w:rPr>
          <w:rFonts w:ascii="David" w:eastAsia="Times New Roman" w:hAnsi="David" w:cs="David" w:hint="cs"/>
          <w:color w:val="222222"/>
          <w:sz w:val="24"/>
          <w:szCs w:val="24"/>
          <w:rtl/>
        </w:rPr>
        <w:t xml:space="preserve"> </w:t>
      </w:r>
      <w:r w:rsidR="00B41ACF">
        <w:rPr>
          <w:rFonts w:ascii="David" w:eastAsia="Times New Roman" w:hAnsi="David" w:cs="David" w:hint="cs"/>
          <w:color w:val="222222"/>
          <w:sz w:val="24"/>
          <w:szCs w:val="24"/>
          <w:rtl/>
        </w:rPr>
        <w:t xml:space="preserve">באמרתו </w:t>
      </w:r>
      <w:r w:rsidR="004E27E7">
        <w:rPr>
          <w:rFonts w:ascii="David" w:eastAsia="Times New Roman" w:hAnsi="David" w:cs="David" w:hint="cs"/>
          <w:color w:val="222222"/>
          <w:sz w:val="24"/>
          <w:szCs w:val="24"/>
          <w:rtl/>
        </w:rPr>
        <w:t>במצ"ח (למשל</w:t>
      </w:r>
      <w:r w:rsidR="00B41ACF">
        <w:rPr>
          <w:rFonts w:ascii="David" w:eastAsia="Times New Roman" w:hAnsi="David" w:cs="David" w:hint="cs"/>
          <w:color w:val="222222"/>
          <w:sz w:val="24"/>
          <w:szCs w:val="24"/>
          <w:rtl/>
        </w:rPr>
        <w:t>:</w:t>
      </w:r>
      <w:r w:rsidR="004E27E7">
        <w:rPr>
          <w:rFonts w:ascii="David" w:eastAsia="Times New Roman" w:hAnsi="David" w:cs="David" w:hint="cs"/>
          <w:color w:val="222222"/>
          <w:sz w:val="24"/>
          <w:szCs w:val="24"/>
          <w:rtl/>
        </w:rPr>
        <w:t xml:space="preserve"> עמ' 2 ש' 7; </w:t>
      </w:r>
      <w:r w:rsidR="00B41ACF">
        <w:rPr>
          <w:rFonts w:ascii="David" w:eastAsia="Times New Roman" w:hAnsi="David" w:cs="David" w:hint="cs"/>
          <w:color w:val="222222"/>
          <w:sz w:val="24"/>
          <w:szCs w:val="24"/>
          <w:rtl/>
        </w:rPr>
        <w:t xml:space="preserve">עמ' 3 ש' 13-7; </w:t>
      </w:r>
      <w:r w:rsidR="004E27E7">
        <w:rPr>
          <w:rFonts w:ascii="David" w:eastAsia="Times New Roman" w:hAnsi="David" w:cs="David" w:hint="cs"/>
          <w:color w:val="222222"/>
          <w:sz w:val="24"/>
          <w:szCs w:val="24"/>
          <w:rtl/>
        </w:rPr>
        <w:t xml:space="preserve">עמ' </w:t>
      </w:r>
      <w:r w:rsidR="00B41ACF">
        <w:rPr>
          <w:rFonts w:ascii="David" w:eastAsia="Times New Roman" w:hAnsi="David" w:cs="David" w:hint="cs"/>
          <w:color w:val="222222"/>
          <w:sz w:val="24"/>
          <w:szCs w:val="24"/>
          <w:rtl/>
        </w:rPr>
        <w:t xml:space="preserve">4 ש' 7; </w:t>
      </w:r>
      <w:r w:rsidR="00CE315E">
        <w:rPr>
          <w:rFonts w:ascii="David" w:eastAsia="Times New Roman" w:hAnsi="David" w:cs="David" w:hint="cs"/>
          <w:color w:val="222222"/>
          <w:sz w:val="24"/>
          <w:szCs w:val="24"/>
          <w:rtl/>
        </w:rPr>
        <w:t xml:space="preserve">עמ' 5 ש' 22, </w:t>
      </w:r>
      <w:r w:rsidR="00B41ACF">
        <w:rPr>
          <w:rFonts w:ascii="David" w:eastAsia="Times New Roman" w:hAnsi="David" w:cs="David" w:hint="cs"/>
          <w:color w:val="222222"/>
          <w:sz w:val="24"/>
          <w:szCs w:val="24"/>
          <w:rtl/>
        </w:rPr>
        <w:t xml:space="preserve">לאמרת </w:t>
      </w:r>
      <w:proofErr w:type="spellStart"/>
      <w:r w:rsidR="00B41ACF">
        <w:rPr>
          <w:rFonts w:ascii="David" w:eastAsia="Times New Roman" w:hAnsi="David" w:cs="David" w:hint="cs"/>
          <w:color w:val="222222"/>
          <w:sz w:val="24"/>
          <w:szCs w:val="24"/>
          <w:rtl/>
        </w:rPr>
        <w:t>רושני</w:t>
      </w:r>
      <w:proofErr w:type="spellEnd"/>
      <w:r w:rsidR="00B41ACF">
        <w:rPr>
          <w:rFonts w:ascii="David" w:eastAsia="Times New Roman" w:hAnsi="David" w:cs="David" w:hint="cs"/>
          <w:color w:val="222222"/>
          <w:sz w:val="24"/>
          <w:szCs w:val="24"/>
          <w:rtl/>
        </w:rPr>
        <w:t xml:space="preserve"> במצ"ח מיום 6.3.2019). </w:t>
      </w:r>
    </w:p>
    <w:p w14:paraId="18893857" w14:textId="77777777" w:rsidR="00F10B9F" w:rsidRDefault="00B41ACF" w:rsidP="004C6847">
      <w:pPr>
        <w:pStyle w:val="ListParagraph"/>
        <w:numPr>
          <w:ilvl w:val="0"/>
          <w:numId w:val="3"/>
        </w:numPr>
        <w:spacing w:after="0" w:line="36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חלק </w:t>
      </w:r>
      <w:r w:rsidR="00CE315E">
        <w:rPr>
          <w:rFonts w:ascii="David" w:eastAsia="Times New Roman" w:hAnsi="David" w:cs="David" w:hint="cs"/>
          <w:color w:val="222222"/>
          <w:sz w:val="24"/>
          <w:szCs w:val="24"/>
          <w:rtl/>
        </w:rPr>
        <w:t>אחר</w:t>
      </w:r>
      <w:r>
        <w:rPr>
          <w:rFonts w:ascii="David" w:eastAsia="Times New Roman" w:hAnsi="David" w:cs="David" w:hint="cs"/>
          <w:color w:val="222222"/>
          <w:sz w:val="24"/>
          <w:szCs w:val="24"/>
          <w:rtl/>
        </w:rPr>
        <w:t xml:space="preserve"> </w:t>
      </w:r>
      <w:r w:rsidR="00A420B6" w:rsidRPr="00A420B6">
        <w:rPr>
          <w:rFonts w:ascii="David" w:eastAsia="Times New Roman" w:hAnsi="David" w:cs="David" w:hint="cs"/>
          <w:color w:val="222222"/>
          <w:sz w:val="24"/>
          <w:szCs w:val="24"/>
          <w:rtl/>
        </w:rPr>
        <w:t xml:space="preserve">מהטיעונים שהעלה הסנגור כטעמים המצדיקים את העיון בפרוטוקול, </w:t>
      </w:r>
      <w:r w:rsidR="00A420B6" w:rsidRPr="00F10B9F">
        <w:rPr>
          <w:rFonts w:ascii="David" w:eastAsia="Times New Roman" w:hAnsi="David" w:cs="David" w:hint="cs"/>
          <w:b/>
          <w:bCs/>
          <w:color w:val="222222"/>
          <w:sz w:val="24"/>
          <w:szCs w:val="24"/>
          <w:rtl/>
        </w:rPr>
        <w:t>אינם</w:t>
      </w:r>
      <w:r w:rsidR="00A420B6" w:rsidRPr="00A420B6">
        <w:rPr>
          <w:rFonts w:ascii="David" w:eastAsia="Times New Roman" w:hAnsi="David" w:cs="David" w:hint="cs"/>
          <w:color w:val="222222"/>
          <w:sz w:val="24"/>
          <w:szCs w:val="24"/>
          <w:rtl/>
        </w:rPr>
        <w:t xml:space="preserve"> מוצאים </w:t>
      </w:r>
      <w:r w:rsidR="004C6847" w:rsidRPr="00F10B9F">
        <w:rPr>
          <w:rFonts w:ascii="David" w:eastAsia="Times New Roman" w:hAnsi="David" w:cs="David" w:hint="cs"/>
          <w:b/>
          <w:bCs/>
          <w:color w:val="222222"/>
          <w:sz w:val="24"/>
          <w:szCs w:val="24"/>
          <w:rtl/>
        </w:rPr>
        <w:t>כל ביטוי</w:t>
      </w:r>
      <w:r w:rsidR="004C6847" w:rsidRPr="00A420B6">
        <w:rPr>
          <w:rFonts w:ascii="David" w:eastAsia="Times New Roman" w:hAnsi="David" w:cs="David" w:hint="cs"/>
          <w:color w:val="222222"/>
          <w:sz w:val="24"/>
          <w:szCs w:val="24"/>
          <w:rtl/>
        </w:rPr>
        <w:t xml:space="preserve"> </w:t>
      </w:r>
      <w:r w:rsidR="00A420B6" w:rsidRPr="00A420B6">
        <w:rPr>
          <w:rFonts w:ascii="David" w:eastAsia="Times New Roman" w:hAnsi="David" w:cs="David" w:hint="cs"/>
          <w:color w:val="222222"/>
          <w:sz w:val="24"/>
          <w:szCs w:val="24"/>
          <w:rtl/>
        </w:rPr>
        <w:t xml:space="preserve">בפרוטוקול ההליך המשמעתי, והם בהחלט מתאימים כשאלות, </w:t>
      </w:r>
      <w:r w:rsidR="00B002EA" w:rsidRPr="00A420B6">
        <w:rPr>
          <w:rFonts w:ascii="David" w:eastAsia="Times New Roman" w:hAnsi="David" w:cs="David" w:hint="cs"/>
          <w:color w:val="222222"/>
          <w:sz w:val="24"/>
          <w:szCs w:val="24"/>
          <w:rtl/>
        </w:rPr>
        <w:t xml:space="preserve">שפתוחה הדרך בפני הסנגור להציגן לסמ"ר </w:t>
      </w:r>
      <w:proofErr w:type="spellStart"/>
      <w:r w:rsidR="00B002EA" w:rsidRPr="00A420B6">
        <w:rPr>
          <w:rFonts w:ascii="David" w:eastAsia="Times New Roman" w:hAnsi="David" w:cs="David" w:hint="cs"/>
          <w:color w:val="222222"/>
          <w:sz w:val="24"/>
          <w:szCs w:val="24"/>
          <w:rtl/>
        </w:rPr>
        <w:t>רושני</w:t>
      </w:r>
      <w:proofErr w:type="spellEnd"/>
      <w:r w:rsidR="00B002EA" w:rsidRPr="00A420B6">
        <w:rPr>
          <w:rFonts w:ascii="David" w:eastAsia="Times New Roman" w:hAnsi="David" w:cs="David" w:hint="cs"/>
          <w:color w:val="222222"/>
          <w:sz w:val="24"/>
          <w:szCs w:val="24"/>
          <w:rtl/>
        </w:rPr>
        <w:t xml:space="preserve">, </w:t>
      </w:r>
      <w:r w:rsidR="00A420B6" w:rsidRPr="00A420B6">
        <w:rPr>
          <w:rFonts w:ascii="David" w:eastAsia="Times New Roman" w:hAnsi="David" w:cs="David" w:hint="cs"/>
          <w:color w:val="222222"/>
          <w:sz w:val="24"/>
          <w:szCs w:val="24"/>
          <w:rtl/>
        </w:rPr>
        <w:t xml:space="preserve">במסגרת חקירתו בעת ניהול ההוכחות בהליך העיקרי, אם ימצא נכון לזמנו כעד הגנה במשפט (סמ"ר </w:t>
      </w:r>
      <w:proofErr w:type="spellStart"/>
      <w:r w:rsidR="00A420B6" w:rsidRPr="00A420B6">
        <w:rPr>
          <w:rFonts w:ascii="David" w:eastAsia="Times New Roman" w:hAnsi="David" w:cs="David" w:hint="cs"/>
          <w:color w:val="222222"/>
          <w:sz w:val="24"/>
          <w:szCs w:val="24"/>
          <w:rtl/>
        </w:rPr>
        <w:t>רושני</w:t>
      </w:r>
      <w:proofErr w:type="spellEnd"/>
      <w:r w:rsidR="00A420B6" w:rsidRPr="00A420B6">
        <w:rPr>
          <w:rFonts w:ascii="David" w:eastAsia="Times New Roman" w:hAnsi="David" w:cs="David" w:hint="cs"/>
          <w:color w:val="222222"/>
          <w:sz w:val="24"/>
          <w:szCs w:val="24"/>
          <w:rtl/>
        </w:rPr>
        <w:t xml:space="preserve"> אינו נמנה עם עדי התביעה). </w:t>
      </w:r>
    </w:p>
    <w:p w14:paraId="6343154E" w14:textId="77777777" w:rsidR="00F10B9F" w:rsidRPr="00F10B9F" w:rsidRDefault="00CE315E" w:rsidP="004E2253">
      <w:pPr>
        <w:pStyle w:val="ListParagraph"/>
        <w:numPr>
          <w:ilvl w:val="0"/>
          <w:numId w:val="3"/>
        </w:numPr>
        <w:spacing w:after="0" w:line="360" w:lineRule="auto"/>
        <w:jc w:val="both"/>
        <w:rPr>
          <w:rFonts w:ascii="David" w:eastAsia="Times New Roman" w:hAnsi="David" w:cs="David"/>
          <w:sz w:val="24"/>
          <w:szCs w:val="24"/>
        </w:rPr>
      </w:pPr>
      <w:r>
        <w:rPr>
          <w:rFonts w:ascii="David" w:eastAsia="Times New Roman" w:hAnsi="David" w:cs="David" w:hint="cs"/>
          <w:color w:val="222222"/>
          <w:sz w:val="24"/>
          <w:szCs w:val="24"/>
          <w:rtl/>
        </w:rPr>
        <w:t>מפרוטוקול ההליך המשמעתי עולה</w:t>
      </w:r>
      <w:r w:rsidR="004C6847">
        <w:rPr>
          <w:rFonts w:ascii="David" w:eastAsia="Times New Roman" w:hAnsi="David" w:cs="David" w:hint="cs"/>
          <w:color w:val="222222"/>
          <w:sz w:val="24"/>
          <w:szCs w:val="24"/>
          <w:rtl/>
        </w:rPr>
        <w:t>,</w:t>
      </w:r>
      <w:r w:rsidR="00F10B9F">
        <w:rPr>
          <w:rFonts w:ascii="David" w:eastAsia="Times New Roman" w:hAnsi="David" w:cs="David" w:hint="cs"/>
          <w:color w:val="222222"/>
          <w:sz w:val="24"/>
          <w:szCs w:val="24"/>
          <w:rtl/>
        </w:rPr>
        <w:t xml:space="preserve"> כי נש</w:t>
      </w:r>
      <w:r w:rsidR="00FC5CF5">
        <w:rPr>
          <w:rFonts w:ascii="David" w:eastAsia="Times New Roman" w:hAnsi="David" w:cs="David" w:hint="cs"/>
          <w:color w:val="222222"/>
          <w:sz w:val="24"/>
          <w:szCs w:val="24"/>
          <w:rtl/>
        </w:rPr>
        <w:t xml:space="preserve">מעה במסגרתו גם עדות נפגע העבירה. תיעוד לעדות </w:t>
      </w:r>
      <w:r w:rsidR="00F10B9F">
        <w:rPr>
          <w:rFonts w:ascii="David" w:eastAsia="Times New Roman" w:hAnsi="David" w:cs="David" w:hint="cs"/>
          <w:color w:val="222222"/>
          <w:sz w:val="24"/>
          <w:szCs w:val="24"/>
          <w:rtl/>
        </w:rPr>
        <w:t xml:space="preserve">זו </w:t>
      </w:r>
      <w:r w:rsidR="00F10B9F" w:rsidRPr="004C6847">
        <w:rPr>
          <w:rFonts w:ascii="David" w:eastAsia="Times New Roman" w:hAnsi="David" w:cs="David" w:hint="cs"/>
          <w:b/>
          <w:bCs/>
          <w:color w:val="222222"/>
          <w:sz w:val="24"/>
          <w:szCs w:val="24"/>
          <w:rtl/>
        </w:rPr>
        <w:t>לא</w:t>
      </w:r>
      <w:r w:rsidR="00F10B9F">
        <w:rPr>
          <w:rFonts w:ascii="David" w:eastAsia="Times New Roman" w:hAnsi="David" w:cs="David" w:hint="cs"/>
          <w:color w:val="222222"/>
          <w:sz w:val="24"/>
          <w:szCs w:val="24"/>
          <w:rtl/>
        </w:rPr>
        <w:t xml:space="preserve"> צור</w:t>
      </w:r>
      <w:r w:rsidR="00FC5CF5">
        <w:rPr>
          <w:rFonts w:ascii="David" w:eastAsia="Times New Roman" w:hAnsi="David" w:cs="David" w:hint="cs"/>
          <w:color w:val="222222"/>
          <w:sz w:val="24"/>
          <w:szCs w:val="24"/>
          <w:rtl/>
        </w:rPr>
        <w:t>ף</w:t>
      </w:r>
      <w:r w:rsidR="00F10B9F">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 xml:space="preserve">לחומר </w:t>
      </w:r>
      <w:r w:rsidR="00F10B9F">
        <w:rPr>
          <w:rFonts w:ascii="David" w:eastAsia="Times New Roman" w:hAnsi="David" w:cs="David" w:hint="cs"/>
          <w:color w:val="222222"/>
          <w:sz w:val="24"/>
          <w:szCs w:val="24"/>
          <w:rtl/>
        </w:rPr>
        <w:t>שנמסר לעיוני. במענה לשאלתי</w:t>
      </w:r>
      <w:r w:rsidR="00FC5CF5">
        <w:rPr>
          <w:rFonts w:ascii="David" w:eastAsia="Times New Roman" w:hAnsi="David" w:cs="David" w:hint="cs"/>
          <w:color w:val="222222"/>
          <w:sz w:val="24"/>
          <w:szCs w:val="24"/>
          <w:rtl/>
        </w:rPr>
        <w:t>,</w:t>
      </w:r>
      <w:r w:rsidR="00F10B9F">
        <w:rPr>
          <w:rFonts w:ascii="David" w:eastAsia="Times New Roman" w:hAnsi="David" w:cs="David" w:hint="cs"/>
          <w:color w:val="222222"/>
          <w:sz w:val="24"/>
          <w:szCs w:val="24"/>
          <w:rtl/>
        </w:rPr>
        <w:t xml:space="preserve"> </w:t>
      </w:r>
      <w:r w:rsidR="00FC5CF5">
        <w:rPr>
          <w:rFonts w:ascii="David" w:eastAsia="Times New Roman" w:hAnsi="David" w:cs="David" w:hint="cs"/>
          <w:color w:val="222222"/>
          <w:sz w:val="24"/>
          <w:szCs w:val="24"/>
          <w:rtl/>
        </w:rPr>
        <w:t xml:space="preserve">בהקשר זה, </w:t>
      </w:r>
      <w:r w:rsidR="00F10B9F">
        <w:rPr>
          <w:rFonts w:ascii="David" w:eastAsia="Times New Roman" w:hAnsi="David" w:cs="David" w:hint="cs"/>
          <w:color w:val="222222"/>
          <w:sz w:val="24"/>
          <w:szCs w:val="24"/>
          <w:rtl/>
        </w:rPr>
        <w:t>השיבה התביעה הצבאית</w:t>
      </w:r>
      <w:r w:rsidR="00FC5CF5">
        <w:rPr>
          <w:rFonts w:ascii="David" w:eastAsia="Times New Roman" w:hAnsi="David" w:cs="David" w:hint="cs"/>
          <w:color w:val="222222"/>
          <w:sz w:val="24"/>
          <w:szCs w:val="24"/>
          <w:rtl/>
        </w:rPr>
        <w:t>,</w:t>
      </w:r>
      <w:r w:rsidR="00F10B9F">
        <w:rPr>
          <w:rFonts w:ascii="David" w:eastAsia="Times New Roman" w:hAnsi="David" w:cs="David" w:hint="cs"/>
          <w:color w:val="222222"/>
          <w:sz w:val="24"/>
          <w:szCs w:val="24"/>
          <w:rtl/>
        </w:rPr>
        <w:t xml:space="preserve"> כי </w:t>
      </w:r>
      <w:r w:rsidR="00F10B9F" w:rsidRPr="00F10B9F">
        <w:rPr>
          <w:rFonts w:ascii="David" w:eastAsia="Times New Roman" w:hAnsi="David" w:cs="David" w:hint="cs"/>
          <w:sz w:val="24"/>
          <w:szCs w:val="24"/>
          <w:rtl/>
        </w:rPr>
        <w:t>"</w:t>
      </w:r>
      <w:r w:rsidR="00F10B9F" w:rsidRPr="00F10B9F">
        <w:rPr>
          <w:rFonts w:cs="David" w:hint="cs"/>
          <w:sz w:val="24"/>
          <w:szCs w:val="24"/>
          <w:rtl/>
        </w:rPr>
        <w:t>אין תיעוד כתוב לעדות נפגע העבירה מלבד זה המפורט על גבי טופס התלונה</w:t>
      </w:r>
      <w:r w:rsidR="00F10B9F">
        <w:rPr>
          <w:rFonts w:cs="David" w:hint="cs"/>
          <w:sz w:val="24"/>
          <w:szCs w:val="24"/>
          <w:rtl/>
        </w:rPr>
        <w:t xml:space="preserve">" </w:t>
      </w:r>
      <w:r w:rsidR="00F10B9F">
        <w:rPr>
          <w:rFonts w:cs="David" w:hint="cs"/>
          <w:sz w:val="24"/>
          <w:szCs w:val="24"/>
          <w:rtl/>
        </w:rPr>
        <w:lastRenderedPageBreak/>
        <w:t>(תגובה בכתב מיום 29.1.2020).</w:t>
      </w:r>
      <w:r w:rsidR="00B41ACF">
        <w:rPr>
          <w:rFonts w:ascii="David" w:eastAsia="Times New Roman" w:hAnsi="David" w:cs="David" w:hint="cs"/>
          <w:sz w:val="24"/>
          <w:szCs w:val="24"/>
          <w:rtl/>
        </w:rPr>
        <w:t xml:space="preserve"> </w:t>
      </w:r>
      <w:r>
        <w:rPr>
          <w:rFonts w:ascii="David" w:eastAsia="Times New Roman" w:hAnsi="David" w:cs="David" w:hint="cs"/>
          <w:sz w:val="24"/>
          <w:szCs w:val="24"/>
          <w:rtl/>
        </w:rPr>
        <w:t xml:space="preserve">לפיכך, תעביר התביעה הצבאית לעיון ההגנה גם את האמור </w:t>
      </w:r>
      <w:r w:rsidRPr="00CE315E">
        <w:rPr>
          <w:rFonts w:ascii="David" w:eastAsia="Times New Roman" w:hAnsi="David" w:cs="David" w:hint="cs"/>
          <w:sz w:val="24"/>
          <w:szCs w:val="24"/>
          <w:u w:val="single"/>
          <w:rtl/>
        </w:rPr>
        <w:t xml:space="preserve">בפרק ד' לטופס התלונה מהמילה "העד" עד </w:t>
      </w:r>
      <w:r w:rsidR="004C6847">
        <w:rPr>
          <w:rFonts w:ascii="David" w:eastAsia="Times New Roman" w:hAnsi="David" w:cs="David" w:hint="cs"/>
          <w:sz w:val="24"/>
          <w:szCs w:val="24"/>
          <w:u w:val="single"/>
          <w:rtl/>
        </w:rPr>
        <w:t xml:space="preserve">המילה </w:t>
      </w:r>
      <w:r w:rsidRPr="00CE315E">
        <w:rPr>
          <w:rFonts w:ascii="David" w:eastAsia="Times New Roman" w:hAnsi="David" w:cs="David" w:hint="cs"/>
          <w:sz w:val="24"/>
          <w:szCs w:val="24"/>
          <w:u w:val="single"/>
          <w:rtl/>
        </w:rPr>
        <w:t>"המעשה"</w:t>
      </w:r>
      <w:r w:rsidR="004C6847">
        <w:rPr>
          <w:rFonts w:ascii="David" w:eastAsia="Times New Roman" w:hAnsi="David" w:cs="David" w:hint="cs"/>
          <w:sz w:val="24"/>
          <w:szCs w:val="24"/>
          <w:rtl/>
        </w:rPr>
        <w:t xml:space="preserve">. כמו כן, להשלמת התמונה יועברו </w:t>
      </w:r>
      <w:proofErr w:type="spellStart"/>
      <w:r w:rsidR="004C6847" w:rsidRPr="004C6847">
        <w:rPr>
          <w:rFonts w:ascii="David" w:eastAsia="Times New Roman" w:hAnsi="David" w:cs="David" w:hint="cs"/>
          <w:sz w:val="24"/>
          <w:szCs w:val="24"/>
          <w:u w:val="single"/>
          <w:rtl/>
        </w:rPr>
        <w:t>ס"ק</w:t>
      </w:r>
      <w:proofErr w:type="spellEnd"/>
      <w:r w:rsidR="004C6847" w:rsidRPr="004C6847">
        <w:rPr>
          <w:rFonts w:ascii="David" w:eastAsia="Times New Roman" w:hAnsi="David" w:cs="David" w:hint="cs"/>
          <w:sz w:val="24"/>
          <w:szCs w:val="24"/>
          <w:u w:val="single"/>
          <w:rtl/>
        </w:rPr>
        <w:t xml:space="preserve"> (1) ו </w:t>
      </w:r>
      <w:r w:rsidR="004C6847" w:rsidRPr="004C6847">
        <w:rPr>
          <w:rFonts w:ascii="David" w:eastAsia="Times New Roman" w:hAnsi="David" w:cs="David"/>
          <w:sz w:val="24"/>
          <w:szCs w:val="24"/>
          <w:u w:val="single"/>
          <w:rtl/>
        </w:rPr>
        <w:t>–</w:t>
      </w:r>
      <w:r w:rsidR="004C6847" w:rsidRPr="004C6847">
        <w:rPr>
          <w:rFonts w:ascii="David" w:eastAsia="Times New Roman" w:hAnsi="David" w:cs="David" w:hint="cs"/>
          <w:sz w:val="24"/>
          <w:szCs w:val="24"/>
          <w:u w:val="single"/>
          <w:rtl/>
        </w:rPr>
        <w:t xml:space="preserve"> (2) לסעיף 5 </w:t>
      </w:r>
      <w:r w:rsidR="004C6847" w:rsidRPr="004C6847">
        <w:rPr>
          <w:rFonts w:ascii="David" w:eastAsia="Times New Roman" w:hAnsi="David" w:cs="David"/>
          <w:sz w:val="24"/>
          <w:szCs w:val="24"/>
          <w:u w:val="single"/>
          <w:rtl/>
        </w:rPr>
        <w:t>–</w:t>
      </w:r>
      <w:r w:rsidR="004C6847" w:rsidRPr="004C6847">
        <w:rPr>
          <w:rFonts w:ascii="David" w:eastAsia="Times New Roman" w:hAnsi="David" w:cs="David" w:hint="cs"/>
          <w:sz w:val="24"/>
          <w:szCs w:val="24"/>
          <w:u w:val="single"/>
          <w:rtl/>
        </w:rPr>
        <w:t xml:space="preserve"> הכרעה באשמה</w:t>
      </w:r>
      <w:r w:rsidR="004C6847">
        <w:rPr>
          <w:rFonts w:ascii="David" w:eastAsia="Times New Roman" w:hAnsi="David" w:cs="David" w:hint="cs"/>
          <w:sz w:val="24"/>
          <w:szCs w:val="24"/>
          <w:rtl/>
        </w:rPr>
        <w:t xml:space="preserve"> של טופס התלונה. פרטי מידע אלה במקובץ, הנוגעים </w:t>
      </w:r>
      <w:r w:rsidR="004E2253">
        <w:rPr>
          <w:rFonts w:ascii="David" w:eastAsia="Times New Roman" w:hAnsi="David" w:cs="David" w:hint="cs"/>
          <w:sz w:val="24"/>
          <w:szCs w:val="24"/>
          <w:rtl/>
        </w:rPr>
        <w:t xml:space="preserve">להיבטים שונים של </w:t>
      </w:r>
      <w:r w:rsidR="004C6847" w:rsidRPr="004C6847">
        <w:rPr>
          <w:rFonts w:ascii="David" w:eastAsia="Times New Roman" w:hAnsi="David" w:cs="David" w:hint="cs"/>
          <w:b/>
          <w:bCs/>
          <w:sz w:val="24"/>
          <w:szCs w:val="24"/>
          <w:rtl/>
        </w:rPr>
        <w:t>מהימנות נפגע העבירה</w:t>
      </w:r>
      <w:r w:rsidR="00FC5CF5">
        <w:rPr>
          <w:rFonts w:ascii="David" w:eastAsia="Times New Roman" w:hAnsi="David" w:cs="David" w:hint="cs"/>
          <w:b/>
          <w:bCs/>
          <w:sz w:val="24"/>
          <w:szCs w:val="24"/>
          <w:rtl/>
        </w:rPr>
        <w:t xml:space="preserve"> </w:t>
      </w:r>
      <w:r w:rsidR="00FC5CF5" w:rsidRPr="00FC5CF5">
        <w:rPr>
          <w:rFonts w:ascii="David" w:eastAsia="Times New Roman" w:hAnsi="David" w:cs="David" w:hint="cs"/>
          <w:sz w:val="24"/>
          <w:szCs w:val="24"/>
          <w:rtl/>
        </w:rPr>
        <w:t xml:space="preserve">בנוגע לתלונה </w:t>
      </w:r>
      <w:r w:rsidR="00FC5CF5">
        <w:rPr>
          <w:rFonts w:ascii="David" w:eastAsia="Times New Roman" w:hAnsi="David" w:cs="David" w:hint="cs"/>
          <w:sz w:val="24"/>
          <w:szCs w:val="24"/>
          <w:rtl/>
        </w:rPr>
        <w:t>שהגיש כנ</w:t>
      </w:r>
      <w:r w:rsidR="004E2253">
        <w:rPr>
          <w:rFonts w:ascii="David" w:eastAsia="Times New Roman" w:hAnsi="David" w:cs="David" w:hint="cs"/>
          <w:sz w:val="24"/>
          <w:szCs w:val="24"/>
          <w:rtl/>
        </w:rPr>
        <w:t>ג</w:t>
      </w:r>
      <w:r w:rsidR="00FC5CF5">
        <w:rPr>
          <w:rFonts w:ascii="David" w:eastAsia="Times New Roman" w:hAnsi="David" w:cs="David" w:hint="cs"/>
          <w:sz w:val="24"/>
          <w:szCs w:val="24"/>
          <w:rtl/>
        </w:rPr>
        <w:t xml:space="preserve">ד סמ"ר </w:t>
      </w:r>
      <w:proofErr w:type="spellStart"/>
      <w:r w:rsidR="00FC5CF5">
        <w:rPr>
          <w:rFonts w:ascii="David" w:eastAsia="Times New Roman" w:hAnsi="David" w:cs="David" w:hint="cs"/>
          <w:sz w:val="24"/>
          <w:szCs w:val="24"/>
          <w:rtl/>
        </w:rPr>
        <w:t>רושני</w:t>
      </w:r>
      <w:proofErr w:type="spellEnd"/>
      <w:r w:rsidR="004C6847" w:rsidRPr="00FC5CF5">
        <w:rPr>
          <w:rFonts w:ascii="David" w:eastAsia="Times New Roman" w:hAnsi="David" w:cs="David" w:hint="cs"/>
          <w:sz w:val="24"/>
          <w:szCs w:val="24"/>
          <w:rtl/>
        </w:rPr>
        <w:t xml:space="preserve">, </w:t>
      </w:r>
      <w:r w:rsidR="00FC5CF5">
        <w:rPr>
          <w:rFonts w:ascii="David" w:eastAsia="Times New Roman" w:hAnsi="David" w:cs="David" w:hint="cs"/>
          <w:sz w:val="24"/>
          <w:szCs w:val="24"/>
          <w:rtl/>
        </w:rPr>
        <w:t xml:space="preserve">עשויים להשליך על מהימנות נפגע העבירה, </w:t>
      </w:r>
      <w:r w:rsidR="004C6847" w:rsidRPr="00FC5CF5">
        <w:rPr>
          <w:rFonts w:ascii="David" w:eastAsia="Times New Roman" w:hAnsi="David" w:cs="David" w:hint="cs"/>
          <w:sz w:val="24"/>
          <w:szCs w:val="24"/>
          <w:rtl/>
        </w:rPr>
        <w:t>הניצב</w:t>
      </w:r>
      <w:r w:rsidR="00FC5CF5" w:rsidRPr="00FC5CF5">
        <w:rPr>
          <w:rFonts w:ascii="David" w:eastAsia="Times New Roman" w:hAnsi="David" w:cs="David" w:hint="cs"/>
          <w:sz w:val="24"/>
          <w:szCs w:val="24"/>
          <w:rtl/>
        </w:rPr>
        <w:t>ת</w:t>
      </w:r>
      <w:r w:rsidR="004C6847">
        <w:rPr>
          <w:rFonts w:ascii="David" w:eastAsia="Times New Roman" w:hAnsi="David" w:cs="David" w:hint="cs"/>
          <w:sz w:val="24"/>
          <w:szCs w:val="24"/>
          <w:rtl/>
        </w:rPr>
        <w:t xml:space="preserve"> בגרעין כתב האישום שהוגש כלפי המבקש,</w:t>
      </w:r>
      <w:r w:rsidR="00FC5CF5">
        <w:rPr>
          <w:rFonts w:ascii="David" w:eastAsia="Times New Roman" w:hAnsi="David" w:cs="David" w:hint="cs"/>
          <w:sz w:val="24"/>
          <w:szCs w:val="24"/>
          <w:rtl/>
        </w:rPr>
        <w:t xml:space="preserve"> ומשכך</w:t>
      </w:r>
      <w:r w:rsidR="004C6847">
        <w:rPr>
          <w:rFonts w:ascii="David" w:eastAsia="Times New Roman" w:hAnsi="David" w:cs="David" w:hint="cs"/>
          <w:sz w:val="24"/>
          <w:szCs w:val="24"/>
          <w:rtl/>
        </w:rPr>
        <w:t xml:space="preserve"> עשויים להיות רלוונטיים להגנתו. </w:t>
      </w:r>
    </w:p>
    <w:p w14:paraId="1F9537EA" w14:textId="77777777" w:rsidR="00456777" w:rsidRPr="00B85666" w:rsidRDefault="004C6847" w:rsidP="00456777">
      <w:pPr>
        <w:pStyle w:val="ListParagraph"/>
        <w:numPr>
          <w:ilvl w:val="0"/>
          <w:numId w:val="3"/>
        </w:numPr>
        <w:spacing w:after="0" w:line="36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סוף דבר הוא שבכפוף לאמור בסעיפים 19 ו- 21 </w:t>
      </w:r>
      <w:r w:rsidR="00456777">
        <w:rPr>
          <w:rFonts w:ascii="David" w:eastAsia="Times New Roman" w:hAnsi="David" w:cs="David" w:hint="cs"/>
          <w:color w:val="222222"/>
          <w:sz w:val="24"/>
          <w:szCs w:val="24"/>
          <w:rtl/>
        </w:rPr>
        <w:t>בקשת ההגנה נדחית.</w:t>
      </w:r>
    </w:p>
    <w:p w14:paraId="3A8ED909" w14:textId="77777777" w:rsidR="0037321B" w:rsidRDefault="0037321B" w:rsidP="0037321B">
      <w:pPr>
        <w:pStyle w:val="ListParagraph"/>
        <w:spacing w:after="0" w:line="360" w:lineRule="auto"/>
        <w:ind w:left="643"/>
        <w:jc w:val="both"/>
        <w:rPr>
          <w:rFonts w:ascii="David" w:eastAsia="Times New Roman" w:hAnsi="David" w:cs="David"/>
          <w:color w:val="222222"/>
          <w:sz w:val="24"/>
          <w:szCs w:val="24"/>
          <w:rtl/>
        </w:rPr>
      </w:pPr>
    </w:p>
    <w:p w14:paraId="1528FD9F" w14:textId="77777777" w:rsidR="00864C42" w:rsidRPr="0037321B" w:rsidRDefault="00864C42" w:rsidP="00FC5CF5">
      <w:pPr>
        <w:pStyle w:val="ListParagraph"/>
        <w:spacing w:after="0" w:line="360" w:lineRule="auto"/>
        <w:ind w:left="643"/>
        <w:jc w:val="both"/>
        <w:rPr>
          <w:rFonts w:ascii="David" w:eastAsia="Times New Roman" w:hAnsi="David" w:cs="David"/>
          <w:b/>
          <w:bCs/>
          <w:color w:val="222222"/>
          <w:sz w:val="24"/>
          <w:szCs w:val="24"/>
          <w:rtl/>
        </w:rPr>
      </w:pPr>
      <w:r w:rsidRPr="0037321B">
        <w:rPr>
          <w:rFonts w:ascii="David" w:eastAsia="Times New Roman" w:hAnsi="David" w:cs="David" w:hint="cs"/>
          <w:b/>
          <w:bCs/>
          <w:color w:val="222222"/>
          <w:sz w:val="24"/>
          <w:szCs w:val="24"/>
          <w:rtl/>
        </w:rPr>
        <w:t>ניתנה בלשכה היום</w:t>
      </w:r>
      <w:r w:rsidR="0037321B" w:rsidRPr="0037321B">
        <w:rPr>
          <w:rFonts w:ascii="David" w:eastAsia="Times New Roman" w:hAnsi="David" w:cs="David" w:hint="cs"/>
          <w:b/>
          <w:bCs/>
          <w:color w:val="222222"/>
          <w:sz w:val="24"/>
          <w:szCs w:val="24"/>
          <w:rtl/>
        </w:rPr>
        <w:t xml:space="preserve"> </w:t>
      </w:r>
      <w:r w:rsidR="00FC5CF5">
        <w:rPr>
          <w:rFonts w:ascii="David" w:eastAsia="Times New Roman" w:hAnsi="David" w:cs="David" w:hint="cs"/>
          <w:b/>
          <w:bCs/>
          <w:color w:val="222222"/>
          <w:sz w:val="24"/>
          <w:szCs w:val="24"/>
          <w:rtl/>
        </w:rPr>
        <w:t>29</w:t>
      </w:r>
      <w:r w:rsidR="004F03D1">
        <w:rPr>
          <w:rFonts w:ascii="David" w:eastAsia="Times New Roman" w:hAnsi="David" w:cs="David" w:hint="cs"/>
          <w:b/>
          <w:bCs/>
          <w:color w:val="222222"/>
          <w:sz w:val="24"/>
          <w:szCs w:val="24"/>
          <w:rtl/>
        </w:rPr>
        <w:t>.1.2020</w:t>
      </w:r>
      <w:r w:rsidRPr="0037321B">
        <w:rPr>
          <w:rFonts w:ascii="David" w:eastAsia="Times New Roman" w:hAnsi="David" w:cs="David" w:hint="cs"/>
          <w:b/>
          <w:bCs/>
          <w:color w:val="222222"/>
          <w:sz w:val="24"/>
          <w:szCs w:val="24"/>
          <w:rtl/>
        </w:rPr>
        <w:t xml:space="preserve"> ות</w:t>
      </w:r>
      <w:r w:rsidR="00165753" w:rsidRPr="0037321B">
        <w:rPr>
          <w:rFonts w:ascii="David" w:eastAsia="Times New Roman" w:hAnsi="David" w:cs="David" w:hint="cs"/>
          <w:b/>
          <w:bCs/>
          <w:color w:val="222222"/>
          <w:sz w:val="24"/>
          <w:szCs w:val="24"/>
          <w:rtl/>
        </w:rPr>
        <w:t>ו</w:t>
      </w:r>
      <w:r w:rsidRPr="0037321B">
        <w:rPr>
          <w:rFonts w:ascii="David" w:eastAsia="Times New Roman" w:hAnsi="David" w:cs="David" w:hint="cs"/>
          <w:b/>
          <w:bCs/>
          <w:color w:val="222222"/>
          <w:sz w:val="24"/>
          <w:szCs w:val="24"/>
          <w:rtl/>
        </w:rPr>
        <w:t>עבר לצדדים על ידי מזכירות בית הדין</w:t>
      </w:r>
      <w:r w:rsidR="0037321B" w:rsidRPr="0037321B">
        <w:rPr>
          <w:rFonts w:ascii="David" w:eastAsia="Times New Roman" w:hAnsi="David" w:cs="David" w:hint="cs"/>
          <w:b/>
          <w:bCs/>
          <w:color w:val="222222"/>
          <w:sz w:val="24"/>
          <w:szCs w:val="24"/>
          <w:rtl/>
        </w:rPr>
        <w:t>.</w:t>
      </w:r>
    </w:p>
    <w:p w14:paraId="60967DF3" w14:textId="77777777" w:rsidR="0037321B" w:rsidRDefault="0037321B" w:rsidP="00864C42">
      <w:pPr>
        <w:pStyle w:val="ListParagraph"/>
        <w:spacing w:after="0" w:line="360" w:lineRule="auto"/>
        <w:ind w:left="643"/>
        <w:jc w:val="both"/>
        <w:rPr>
          <w:rFonts w:ascii="David" w:eastAsia="Times New Roman" w:hAnsi="David" w:cs="David"/>
          <w:color w:val="222222"/>
          <w:sz w:val="24"/>
          <w:szCs w:val="24"/>
          <w:rtl/>
        </w:rPr>
      </w:pPr>
    </w:p>
    <w:p w14:paraId="086AAE2B" w14:textId="77777777" w:rsidR="0037321B" w:rsidRDefault="0037321B" w:rsidP="00864C42">
      <w:pPr>
        <w:pStyle w:val="ListParagraph"/>
        <w:spacing w:after="0" w:line="360" w:lineRule="auto"/>
        <w:ind w:left="643"/>
        <w:jc w:val="both"/>
        <w:rPr>
          <w:rFonts w:ascii="David" w:eastAsia="Times New Roman" w:hAnsi="David" w:cs="David"/>
          <w:b/>
          <w:bCs/>
          <w:color w:val="222222"/>
          <w:sz w:val="24"/>
          <w:szCs w:val="24"/>
          <w:rtl/>
        </w:rPr>
      </w:pPr>
      <w:r w:rsidRPr="0037321B">
        <w:rPr>
          <w:rFonts w:ascii="David" w:eastAsia="Times New Roman" w:hAnsi="David" w:cs="David" w:hint="cs"/>
          <w:b/>
          <w:bCs/>
          <w:color w:val="222222"/>
          <w:sz w:val="24"/>
          <w:szCs w:val="24"/>
          <w:rtl/>
        </w:rPr>
        <w:t>זכות ערר כחוק</w:t>
      </w:r>
      <w:r>
        <w:rPr>
          <w:rFonts w:ascii="David" w:eastAsia="Times New Roman" w:hAnsi="David" w:cs="David" w:hint="cs"/>
          <w:b/>
          <w:bCs/>
          <w:color w:val="222222"/>
          <w:sz w:val="24"/>
          <w:szCs w:val="24"/>
          <w:rtl/>
        </w:rPr>
        <w:t>.</w:t>
      </w:r>
    </w:p>
    <w:p w14:paraId="7FA867C2" w14:textId="77777777" w:rsidR="004E2253" w:rsidRPr="0037321B" w:rsidRDefault="004E2253" w:rsidP="00864C42">
      <w:pPr>
        <w:pStyle w:val="ListParagraph"/>
        <w:spacing w:after="0" w:line="360" w:lineRule="auto"/>
        <w:ind w:left="643"/>
        <w:jc w:val="both"/>
        <w:rPr>
          <w:rFonts w:ascii="David" w:eastAsia="Times New Roman" w:hAnsi="David" w:cs="David"/>
          <w:b/>
          <w:bCs/>
          <w:color w:val="222222"/>
          <w:sz w:val="24"/>
          <w:szCs w:val="24"/>
          <w:rtl/>
        </w:rPr>
      </w:pPr>
    </w:p>
    <w:p w14:paraId="7AA169E5" w14:textId="77777777" w:rsidR="00864C42" w:rsidRDefault="00864C42" w:rsidP="00864C42">
      <w:pPr>
        <w:pStyle w:val="ListParagraph"/>
        <w:spacing w:after="0" w:line="360" w:lineRule="auto"/>
        <w:ind w:left="643"/>
        <w:jc w:val="both"/>
        <w:rPr>
          <w:rFonts w:ascii="David" w:eastAsia="Times New Roman" w:hAnsi="David" w:cs="David"/>
          <w:color w:val="222222"/>
          <w:sz w:val="24"/>
          <w:szCs w:val="24"/>
          <w:rtl/>
        </w:rPr>
      </w:pPr>
    </w:p>
    <w:p w14:paraId="1D68701A" w14:textId="77777777" w:rsidR="00864C42" w:rsidRDefault="00864C42" w:rsidP="00864C42">
      <w:pPr>
        <w:pStyle w:val="ListParagraph"/>
        <w:spacing w:after="0" w:line="360" w:lineRule="auto"/>
        <w:ind w:left="643"/>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______________</w:t>
      </w:r>
    </w:p>
    <w:p w14:paraId="4AA15D4D" w14:textId="77777777" w:rsidR="00864C42" w:rsidRDefault="002515C1" w:rsidP="00864C42">
      <w:pPr>
        <w:pStyle w:val="ListParagraph"/>
        <w:spacing w:after="0" w:line="360" w:lineRule="auto"/>
        <w:ind w:left="643"/>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מיכל שחר, סא"ל</w:t>
      </w:r>
    </w:p>
    <w:p w14:paraId="2B85343B" w14:textId="77777777" w:rsidR="002515C1" w:rsidRDefault="002515C1" w:rsidP="00864C42">
      <w:pPr>
        <w:pStyle w:val="ListParagraph"/>
        <w:spacing w:after="0" w:line="360" w:lineRule="auto"/>
        <w:ind w:left="643"/>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שופטת </w:t>
      </w:r>
    </w:p>
    <w:p w14:paraId="30318C6F" w14:textId="77777777" w:rsidR="00477D0E" w:rsidRDefault="00477D0E" w:rsidP="00864C42">
      <w:pPr>
        <w:pStyle w:val="ListParagraph"/>
        <w:spacing w:after="0" w:line="360" w:lineRule="auto"/>
        <w:ind w:left="643"/>
        <w:jc w:val="center"/>
        <w:rPr>
          <w:rFonts w:ascii="David" w:eastAsia="Times New Roman" w:hAnsi="David" w:cs="David"/>
          <w:color w:val="222222"/>
          <w:sz w:val="24"/>
          <w:szCs w:val="24"/>
          <w:rtl/>
        </w:rPr>
      </w:pPr>
    </w:p>
    <w:p w14:paraId="77E53F5C" w14:textId="77777777" w:rsidR="00477D0E" w:rsidRDefault="00477D0E" w:rsidP="00477D0E">
      <w:pPr>
        <w:pStyle w:val="ListParagraph"/>
        <w:spacing w:after="0" w:line="360" w:lineRule="auto"/>
        <w:ind w:left="643"/>
        <w:rPr>
          <w:rFonts w:ascii="David" w:eastAsia="Times New Roman" w:hAnsi="David" w:cs="David"/>
          <w:color w:val="222222"/>
          <w:sz w:val="24"/>
          <w:szCs w:val="24"/>
          <w:rtl/>
        </w:rPr>
      </w:pPr>
    </w:p>
    <w:p w14:paraId="30BC9FBD" w14:textId="77777777" w:rsidR="00477D0E" w:rsidRDefault="00477D0E" w:rsidP="00477D0E">
      <w:pPr>
        <w:pStyle w:val="ListParagraph"/>
        <w:spacing w:after="0" w:line="360" w:lineRule="auto"/>
        <w:ind w:left="643"/>
        <w:rPr>
          <w:rFonts w:ascii="David" w:eastAsia="Times New Roman" w:hAnsi="David" w:cs="David"/>
          <w:color w:val="222222"/>
          <w:sz w:val="24"/>
          <w:szCs w:val="24"/>
          <w:rtl/>
        </w:rPr>
      </w:pPr>
    </w:p>
    <w:p w14:paraId="4F48DE1D" w14:textId="77777777" w:rsidR="00477D0E" w:rsidRDefault="00477D0E" w:rsidP="00477D0E">
      <w:pPr>
        <w:pStyle w:val="ListParagraph"/>
        <w:spacing w:after="0" w:line="360" w:lineRule="auto"/>
        <w:ind w:left="643"/>
        <w:rPr>
          <w:rFonts w:ascii="David" w:eastAsia="Times New Roman" w:hAnsi="David" w:cs="David"/>
          <w:color w:val="222222"/>
          <w:sz w:val="24"/>
          <w:szCs w:val="24"/>
          <w:rtl/>
        </w:rPr>
      </w:pPr>
    </w:p>
    <w:p w14:paraId="397DF12D" w14:textId="77777777" w:rsidR="00477D0E" w:rsidRDefault="00477D0E" w:rsidP="00477D0E">
      <w:pPr>
        <w:pStyle w:val="ListParagraph"/>
        <w:spacing w:after="0" w:line="360" w:lineRule="auto"/>
        <w:ind w:left="643"/>
        <w:rPr>
          <w:rFonts w:ascii="David" w:eastAsia="Times New Roman" w:hAnsi="David" w:cs="David"/>
          <w:color w:val="222222"/>
          <w:sz w:val="24"/>
          <w:szCs w:val="24"/>
          <w:rtl/>
        </w:rPr>
      </w:pPr>
    </w:p>
    <w:p w14:paraId="2F9A21BE" w14:textId="77777777" w:rsidR="00477D0E" w:rsidRDefault="00477D0E" w:rsidP="00477D0E">
      <w:pPr>
        <w:pStyle w:val="ListParagraph"/>
        <w:spacing w:after="0" w:line="360" w:lineRule="auto"/>
        <w:ind w:left="643"/>
        <w:rPr>
          <w:rFonts w:ascii="David" w:eastAsia="Times New Roman" w:hAnsi="David" w:cs="David"/>
          <w:color w:val="222222"/>
          <w:sz w:val="24"/>
          <w:szCs w:val="24"/>
          <w:rtl/>
        </w:rPr>
      </w:pPr>
      <w:r>
        <w:rPr>
          <w:rFonts w:ascii="David" w:eastAsia="Times New Roman" w:hAnsi="David" w:cs="David" w:hint="cs"/>
          <w:color w:val="222222"/>
          <w:sz w:val="24"/>
          <w:szCs w:val="24"/>
          <w:rtl/>
        </w:rPr>
        <w:t>*נוסח זה כפוף לתיקוני הגהה ועריכה</w:t>
      </w:r>
    </w:p>
    <w:p w14:paraId="470D3A0F" w14:textId="77777777" w:rsidR="00B6449C" w:rsidRDefault="00B6449C" w:rsidP="00477D0E">
      <w:pPr>
        <w:pStyle w:val="ListParagraph"/>
        <w:spacing w:after="0" w:line="360" w:lineRule="auto"/>
        <w:ind w:left="643"/>
        <w:rPr>
          <w:rFonts w:ascii="David" w:eastAsia="Times New Roman" w:hAnsi="David" w:cs="David"/>
          <w:color w:val="222222"/>
          <w:sz w:val="24"/>
          <w:szCs w:val="24"/>
          <w:rtl/>
        </w:rPr>
      </w:pPr>
    </w:p>
    <w:p w14:paraId="61792897" w14:textId="77777777" w:rsidR="00B6449C" w:rsidRDefault="00B6449C" w:rsidP="00477D0E">
      <w:pPr>
        <w:pStyle w:val="ListParagraph"/>
        <w:spacing w:after="0" w:line="360" w:lineRule="auto"/>
        <w:ind w:left="643"/>
        <w:rPr>
          <w:rFonts w:ascii="David" w:eastAsia="Times New Roman" w:hAnsi="David" w:cs="David"/>
          <w:color w:val="222222"/>
          <w:sz w:val="24"/>
          <w:szCs w:val="24"/>
          <w:rtl/>
        </w:rPr>
      </w:pPr>
    </w:p>
    <w:p w14:paraId="00170C37" w14:textId="77777777" w:rsidR="00B6449C" w:rsidRDefault="00B6449C" w:rsidP="00477D0E">
      <w:pPr>
        <w:pStyle w:val="ListParagraph"/>
        <w:spacing w:after="0" w:line="360" w:lineRule="auto"/>
        <w:ind w:left="643"/>
        <w:rPr>
          <w:rFonts w:ascii="David" w:eastAsia="Times New Roman" w:hAnsi="David" w:cs="David"/>
          <w:color w:val="222222"/>
          <w:sz w:val="24"/>
          <w:szCs w:val="24"/>
          <w:rtl/>
        </w:rPr>
      </w:pPr>
    </w:p>
    <w:p w14:paraId="0F3C47EA" w14:textId="77777777" w:rsidR="00B6449C" w:rsidRDefault="00B6449C" w:rsidP="00477D0E">
      <w:pPr>
        <w:pStyle w:val="ListParagraph"/>
        <w:spacing w:after="0" w:line="360" w:lineRule="auto"/>
        <w:ind w:left="643"/>
        <w:rPr>
          <w:rFonts w:ascii="David" w:eastAsia="Times New Roman" w:hAnsi="David" w:cs="David"/>
          <w:color w:val="222222"/>
          <w:sz w:val="24"/>
          <w:szCs w:val="24"/>
          <w:rtl/>
        </w:rPr>
      </w:pPr>
    </w:p>
    <w:p w14:paraId="169F9CC0" w14:textId="77777777" w:rsidR="00B6449C" w:rsidRPr="00D9135B" w:rsidRDefault="00B6449C" w:rsidP="00477D0E">
      <w:pPr>
        <w:pStyle w:val="ListParagraph"/>
        <w:spacing w:after="0" w:line="360" w:lineRule="auto"/>
        <w:ind w:left="643"/>
        <w:rPr>
          <w:rFonts w:ascii="David" w:eastAsia="Times New Roman" w:hAnsi="David" w:cs="David"/>
          <w:color w:val="222222"/>
          <w:sz w:val="24"/>
          <w:szCs w:val="24"/>
          <w:rtl/>
        </w:rPr>
      </w:pPr>
    </w:p>
    <w:sectPr w:rsidR="00B6449C" w:rsidRPr="00D9135B" w:rsidSect="006307D4">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F597" w14:textId="77777777" w:rsidR="00D15A55" w:rsidRDefault="00D15A55" w:rsidP="00B55FEF">
      <w:pPr>
        <w:spacing w:after="0" w:line="240" w:lineRule="auto"/>
      </w:pPr>
      <w:r>
        <w:separator/>
      </w:r>
    </w:p>
  </w:endnote>
  <w:endnote w:type="continuationSeparator" w:id="0">
    <w:p w14:paraId="6DB6B2F8" w14:textId="77777777" w:rsidR="00D15A55" w:rsidRDefault="00D15A55" w:rsidP="00B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111E" w14:textId="77777777" w:rsidR="009B6825" w:rsidRDefault="009B6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9534434"/>
      <w:docPartObj>
        <w:docPartGallery w:val="Page Numbers (Bottom of Page)"/>
        <w:docPartUnique/>
      </w:docPartObj>
    </w:sdtPr>
    <w:sdtEndPr/>
    <w:sdtContent>
      <w:p w14:paraId="62AA4325" w14:textId="77777777" w:rsidR="004C6847" w:rsidRDefault="004C6847">
        <w:pPr>
          <w:pStyle w:val="Footer"/>
          <w:jc w:val="center"/>
          <w:rPr>
            <w:rtl/>
            <w:cs/>
          </w:rPr>
        </w:pPr>
        <w:r>
          <w:fldChar w:fldCharType="begin"/>
        </w:r>
        <w:r>
          <w:rPr>
            <w:rtl/>
            <w:cs/>
          </w:rPr>
          <w:instrText>PAGE   \* MERGEFORMAT</w:instrText>
        </w:r>
        <w:r>
          <w:fldChar w:fldCharType="separate"/>
        </w:r>
        <w:r w:rsidR="00096D18" w:rsidRPr="00096D18">
          <w:rPr>
            <w:noProof/>
            <w:rtl/>
            <w:lang w:val="he-IL"/>
          </w:rPr>
          <w:t>6</w:t>
        </w:r>
        <w:r>
          <w:fldChar w:fldCharType="end"/>
        </w:r>
      </w:p>
    </w:sdtContent>
  </w:sdt>
  <w:p w14:paraId="38DEDB9A" w14:textId="77777777" w:rsidR="004C6847" w:rsidRDefault="004C6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EF2A" w14:textId="77777777" w:rsidR="009B6825" w:rsidRDefault="009B6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B77C" w14:textId="77777777" w:rsidR="00D15A55" w:rsidRDefault="00D15A55" w:rsidP="00B55FEF">
      <w:pPr>
        <w:spacing w:after="0" w:line="240" w:lineRule="auto"/>
      </w:pPr>
      <w:r>
        <w:separator/>
      </w:r>
    </w:p>
  </w:footnote>
  <w:footnote w:type="continuationSeparator" w:id="0">
    <w:p w14:paraId="7CD21ABF" w14:textId="77777777" w:rsidR="00D15A55" w:rsidRDefault="00D15A55" w:rsidP="00B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F270" w14:textId="77777777" w:rsidR="009B6825" w:rsidRDefault="009B6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6C5F" w14:textId="77777777" w:rsidR="004C6847" w:rsidRPr="00B55FEF" w:rsidRDefault="004C6847" w:rsidP="00D35854">
    <w:pPr>
      <w:pStyle w:val="Header"/>
      <w:rPr>
        <w:rFonts w:cs="David"/>
        <w:sz w:val="24"/>
        <w:szCs w:val="24"/>
        <w:rtl/>
      </w:rPr>
    </w:pPr>
    <w:r>
      <w:rPr>
        <w:rFonts w:cs="David" w:hint="cs"/>
        <w:sz w:val="24"/>
        <w:szCs w:val="24"/>
        <w:rtl/>
      </w:rPr>
      <w:t>מרכז</w:t>
    </w:r>
    <w:r w:rsidRPr="00B55FEF">
      <w:rPr>
        <w:rFonts w:cs="David" w:hint="cs"/>
        <w:sz w:val="24"/>
        <w:szCs w:val="24"/>
        <w:rtl/>
      </w:rPr>
      <w:t xml:space="preserve"> (ב"ש) </w:t>
    </w:r>
    <w:r>
      <w:rPr>
        <w:rFonts w:cs="David" w:hint="cs"/>
        <w:sz w:val="24"/>
        <w:szCs w:val="24"/>
        <w:rtl/>
      </w:rPr>
      <w:t>48/14</w:t>
    </w:r>
  </w:p>
  <w:p w14:paraId="51E06442" w14:textId="39342803" w:rsidR="004C6847" w:rsidRDefault="004C6847" w:rsidP="00D35854">
    <w:pPr>
      <w:pStyle w:val="Header"/>
      <w:rPr>
        <w:rFonts w:cs="David"/>
        <w:sz w:val="24"/>
        <w:szCs w:val="24"/>
        <w:rtl/>
      </w:rPr>
    </w:pPr>
    <w:r>
      <w:rPr>
        <w:rFonts w:cs="David" w:hint="cs"/>
        <w:sz w:val="24"/>
        <w:szCs w:val="24"/>
        <w:rtl/>
      </w:rPr>
      <w:t>מ/</w:t>
    </w:r>
    <w:r w:rsidR="009B6825">
      <w:rPr>
        <w:rFonts w:cs="David" w:hint="cs"/>
        <w:sz w:val="24"/>
        <w:szCs w:val="24"/>
      </w:rPr>
      <w:t>XXX</w:t>
    </w:r>
    <w:r w:rsidRPr="00B55FEF">
      <w:rPr>
        <w:rFonts w:cs="David" w:hint="cs"/>
        <w:sz w:val="24"/>
        <w:szCs w:val="24"/>
        <w:rtl/>
      </w:rPr>
      <w:t xml:space="preserve"> </w:t>
    </w:r>
    <w:r>
      <w:rPr>
        <w:rFonts w:cs="David" w:hint="cs"/>
        <w:sz w:val="24"/>
        <w:szCs w:val="24"/>
        <w:rtl/>
      </w:rPr>
      <w:t xml:space="preserve">סמ"ר </w:t>
    </w:r>
    <w:r w:rsidR="009B6825">
      <w:rPr>
        <w:rFonts w:cs="David" w:hint="cs"/>
        <w:sz w:val="24"/>
        <w:szCs w:val="24"/>
        <w:rtl/>
      </w:rPr>
      <w:t>ד' ס'</w:t>
    </w:r>
    <w:r>
      <w:rPr>
        <w:rFonts w:cs="David" w:hint="cs"/>
        <w:sz w:val="24"/>
        <w:szCs w:val="24"/>
        <w:rtl/>
      </w:rPr>
      <w:t xml:space="preserve"> </w:t>
    </w:r>
  </w:p>
  <w:p w14:paraId="45302D61" w14:textId="775F503A" w:rsidR="009B6825" w:rsidRPr="00B55FEF" w:rsidRDefault="009B6825" w:rsidP="009B6825">
    <w:pPr>
      <w:pStyle w:val="Header"/>
      <w:jc w:val="center"/>
      <w:rPr>
        <w:rFonts w:cs="David"/>
        <w:sz w:val="24"/>
        <w:szCs w:val="24"/>
      </w:rPr>
    </w:pPr>
    <w:r>
      <w:rPr>
        <w:rFonts w:cs="David" w:hint="cs"/>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501" w14:textId="77777777" w:rsidR="009B6825" w:rsidRDefault="009B6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B468B6"/>
    <w:multiLevelType w:val="multilevel"/>
    <w:tmpl w:val="3020A80E"/>
    <w:lvl w:ilvl="0">
      <w:start w:val="1"/>
      <w:numFmt w:val="decimal"/>
      <w:lvlText w:val="%1."/>
      <w:lvlJc w:val="left"/>
      <w:pPr>
        <w:ind w:left="643" w:hanging="360"/>
      </w:pPr>
      <w:rPr>
        <w:rFonts w:asciiTheme="majorBidi" w:hAnsiTheme="majorBidi" w:cstheme="majorBidi" w:hint="default"/>
        <w:b w:val="0"/>
        <w:bCs w:val="0"/>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3985" w:hanging="108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2" w15:restartNumberingAfterBreak="0">
    <w:nsid w:val="328A04DF"/>
    <w:multiLevelType w:val="hybridMultilevel"/>
    <w:tmpl w:val="6D105DA0"/>
    <w:lvl w:ilvl="0" w:tplc="969C4C1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64DA41B9"/>
    <w:multiLevelType w:val="hybridMultilevel"/>
    <w:tmpl w:val="95F8D85A"/>
    <w:lvl w:ilvl="0" w:tplc="B24214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530CE4"/>
    <w:multiLevelType w:val="hybridMultilevel"/>
    <w:tmpl w:val="9104C84A"/>
    <w:lvl w:ilvl="0" w:tplc="6CDA5646">
      <w:start w:val="1"/>
      <w:numFmt w:val="decimal"/>
      <w:lvlText w:val="%1."/>
      <w:lvlJc w:val="left"/>
      <w:pPr>
        <w:ind w:left="360" w:hanging="360"/>
      </w:pPr>
      <w:rPr>
        <w:rFonts w:cs="David"/>
        <w:b w:val="0"/>
        <w:bCs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8D0DD0"/>
    <w:multiLevelType w:val="multilevel"/>
    <w:tmpl w:val="59349364"/>
    <w:lvl w:ilvl="0">
      <w:start w:val="1"/>
      <w:numFmt w:val="decimal"/>
      <w:lvlText w:val="%1."/>
      <w:lvlJc w:val="left"/>
      <w:pPr>
        <w:ind w:left="643" w:hanging="360"/>
      </w:pPr>
      <w:rPr>
        <w:rFonts w:asciiTheme="majorBidi" w:hAnsiTheme="majorBidi" w:cstheme="majorBidi"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3985" w:hanging="108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6" w15:restartNumberingAfterBreak="0">
    <w:nsid w:val="708B4EA5"/>
    <w:multiLevelType w:val="hybridMultilevel"/>
    <w:tmpl w:val="9094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A21FD"/>
    <w:multiLevelType w:val="hybridMultilevel"/>
    <w:tmpl w:val="33C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A1"/>
    <w:rsid w:val="0001295F"/>
    <w:rsid w:val="0001347D"/>
    <w:rsid w:val="000211F0"/>
    <w:rsid w:val="00026C52"/>
    <w:rsid w:val="0003309A"/>
    <w:rsid w:val="000351E4"/>
    <w:rsid w:val="00041AA3"/>
    <w:rsid w:val="00042663"/>
    <w:rsid w:val="00042F96"/>
    <w:rsid w:val="000446A2"/>
    <w:rsid w:val="000524AA"/>
    <w:rsid w:val="00056BDA"/>
    <w:rsid w:val="0006232B"/>
    <w:rsid w:val="000776AD"/>
    <w:rsid w:val="00086641"/>
    <w:rsid w:val="00090E4C"/>
    <w:rsid w:val="00096D18"/>
    <w:rsid w:val="000A7453"/>
    <w:rsid w:val="000A79F0"/>
    <w:rsid w:val="000B23DF"/>
    <w:rsid w:val="000B3202"/>
    <w:rsid w:val="000D2916"/>
    <w:rsid w:val="000D5212"/>
    <w:rsid w:val="000D6475"/>
    <w:rsid w:val="00102D84"/>
    <w:rsid w:val="00110C2A"/>
    <w:rsid w:val="00113D01"/>
    <w:rsid w:val="00117346"/>
    <w:rsid w:val="001271FB"/>
    <w:rsid w:val="00163058"/>
    <w:rsid w:val="00164AE0"/>
    <w:rsid w:val="00165753"/>
    <w:rsid w:val="00166DCE"/>
    <w:rsid w:val="00176827"/>
    <w:rsid w:val="00177B68"/>
    <w:rsid w:val="00187193"/>
    <w:rsid w:val="0019161A"/>
    <w:rsid w:val="001A0A4F"/>
    <w:rsid w:val="001F3536"/>
    <w:rsid w:val="001F487D"/>
    <w:rsid w:val="00237255"/>
    <w:rsid w:val="002515C1"/>
    <w:rsid w:val="00251BE0"/>
    <w:rsid w:val="0025767E"/>
    <w:rsid w:val="002823BA"/>
    <w:rsid w:val="002831A8"/>
    <w:rsid w:val="00284BB4"/>
    <w:rsid w:val="002A0780"/>
    <w:rsid w:val="002A55A1"/>
    <w:rsid w:val="002A79BD"/>
    <w:rsid w:val="002B09EB"/>
    <w:rsid w:val="002B398D"/>
    <w:rsid w:val="002C3C93"/>
    <w:rsid w:val="002D7CDC"/>
    <w:rsid w:val="002D7EA1"/>
    <w:rsid w:val="00304FDC"/>
    <w:rsid w:val="00327F0E"/>
    <w:rsid w:val="0034714C"/>
    <w:rsid w:val="00366865"/>
    <w:rsid w:val="003704C8"/>
    <w:rsid w:val="0037321B"/>
    <w:rsid w:val="003970E1"/>
    <w:rsid w:val="003A1E85"/>
    <w:rsid w:val="003B6D10"/>
    <w:rsid w:val="003C1550"/>
    <w:rsid w:val="003C6270"/>
    <w:rsid w:val="003D1E1F"/>
    <w:rsid w:val="003D2F10"/>
    <w:rsid w:val="003E37E7"/>
    <w:rsid w:val="003F36AF"/>
    <w:rsid w:val="004122E2"/>
    <w:rsid w:val="00412731"/>
    <w:rsid w:val="00416197"/>
    <w:rsid w:val="004165AB"/>
    <w:rsid w:val="004216CE"/>
    <w:rsid w:val="0042336C"/>
    <w:rsid w:val="00424F7D"/>
    <w:rsid w:val="00432ADC"/>
    <w:rsid w:val="00455110"/>
    <w:rsid w:val="00456777"/>
    <w:rsid w:val="004577F4"/>
    <w:rsid w:val="00460F25"/>
    <w:rsid w:val="004620CA"/>
    <w:rsid w:val="00477D0E"/>
    <w:rsid w:val="004845DF"/>
    <w:rsid w:val="00493741"/>
    <w:rsid w:val="004B18E5"/>
    <w:rsid w:val="004B39B5"/>
    <w:rsid w:val="004C6847"/>
    <w:rsid w:val="004E2253"/>
    <w:rsid w:val="004E27E7"/>
    <w:rsid w:val="004E6770"/>
    <w:rsid w:val="004F03D1"/>
    <w:rsid w:val="004F4156"/>
    <w:rsid w:val="004F69C0"/>
    <w:rsid w:val="004F7900"/>
    <w:rsid w:val="005013F4"/>
    <w:rsid w:val="0050397F"/>
    <w:rsid w:val="00526CBA"/>
    <w:rsid w:val="005274B3"/>
    <w:rsid w:val="005379DA"/>
    <w:rsid w:val="00543B5C"/>
    <w:rsid w:val="00555341"/>
    <w:rsid w:val="005572AB"/>
    <w:rsid w:val="00570E7A"/>
    <w:rsid w:val="005771F1"/>
    <w:rsid w:val="00585B4E"/>
    <w:rsid w:val="005A7241"/>
    <w:rsid w:val="005B53F3"/>
    <w:rsid w:val="005B76F3"/>
    <w:rsid w:val="005C0C3C"/>
    <w:rsid w:val="005E4EEE"/>
    <w:rsid w:val="005F4BF8"/>
    <w:rsid w:val="00600078"/>
    <w:rsid w:val="00606027"/>
    <w:rsid w:val="0060780C"/>
    <w:rsid w:val="00621937"/>
    <w:rsid w:val="00622147"/>
    <w:rsid w:val="006307D4"/>
    <w:rsid w:val="006511F1"/>
    <w:rsid w:val="00655626"/>
    <w:rsid w:val="0065643D"/>
    <w:rsid w:val="006652F4"/>
    <w:rsid w:val="00671CE0"/>
    <w:rsid w:val="006A7C2A"/>
    <w:rsid w:val="006B15C0"/>
    <w:rsid w:val="006B5505"/>
    <w:rsid w:val="006B6EE3"/>
    <w:rsid w:val="006C7898"/>
    <w:rsid w:val="006F543D"/>
    <w:rsid w:val="006F5688"/>
    <w:rsid w:val="007039F5"/>
    <w:rsid w:val="00703A84"/>
    <w:rsid w:val="007205F6"/>
    <w:rsid w:val="007272DC"/>
    <w:rsid w:val="00732D7D"/>
    <w:rsid w:val="007351C4"/>
    <w:rsid w:val="007504D3"/>
    <w:rsid w:val="00754C45"/>
    <w:rsid w:val="007711D0"/>
    <w:rsid w:val="00785944"/>
    <w:rsid w:val="007879EF"/>
    <w:rsid w:val="00791979"/>
    <w:rsid w:val="007923E4"/>
    <w:rsid w:val="007A6048"/>
    <w:rsid w:val="007B0E62"/>
    <w:rsid w:val="007B3F8A"/>
    <w:rsid w:val="007D0C28"/>
    <w:rsid w:val="007D3C88"/>
    <w:rsid w:val="007D5AFD"/>
    <w:rsid w:val="007E4453"/>
    <w:rsid w:val="007E44F9"/>
    <w:rsid w:val="007E506D"/>
    <w:rsid w:val="0081610C"/>
    <w:rsid w:val="00826A44"/>
    <w:rsid w:val="00836BD1"/>
    <w:rsid w:val="0084095F"/>
    <w:rsid w:val="008636E0"/>
    <w:rsid w:val="00864C42"/>
    <w:rsid w:val="00874C12"/>
    <w:rsid w:val="008A6013"/>
    <w:rsid w:val="008A62E2"/>
    <w:rsid w:val="008B1BD9"/>
    <w:rsid w:val="008B4254"/>
    <w:rsid w:val="008B42C6"/>
    <w:rsid w:val="008B5B6C"/>
    <w:rsid w:val="008E2A50"/>
    <w:rsid w:val="008E3518"/>
    <w:rsid w:val="008E7E47"/>
    <w:rsid w:val="008F31D3"/>
    <w:rsid w:val="00915390"/>
    <w:rsid w:val="00922383"/>
    <w:rsid w:val="00925758"/>
    <w:rsid w:val="0095302A"/>
    <w:rsid w:val="009545DE"/>
    <w:rsid w:val="009A45DC"/>
    <w:rsid w:val="009A66A1"/>
    <w:rsid w:val="009B5113"/>
    <w:rsid w:val="009B6825"/>
    <w:rsid w:val="009C4D99"/>
    <w:rsid w:val="00A0671C"/>
    <w:rsid w:val="00A32304"/>
    <w:rsid w:val="00A328F5"/>
    <w:rsid w:val="00A420B6"/>
    <w:rsid w:val="00A4474C"/>
    <w:rsid w:val="00A66D90"/>
    <w:rsid w:val="00A75DBF"/>
    <w:rsid w:val="00A9272C"/>
    <w:rsid w:val="00A92ECE"/>
    <w:rsid w:val="00AC79E1"/>
    <w:rsid w:val="00AD3C07"/>
    <w:rsid w:val="00B002EA"/>
    <w:rsid w:val="00B053C6"/>
    <w:rsid w:val="00B05D3B"/>
    <w:rsid w:val="00B2277F"/>
    <w:rsid w:val="00B255D6"/>
    <w:rsid w:val="00B37A33"/>
    <w:rsid w:val="00B41ACF"/>
    <w:rsid w:val="00B47210"/>
    <w:rsid w:val="00B47BA3"/>
    <w:rsid w:val="00B55FEF"/>
    <w:rsid w:val="00B633F3"/>
    <w:rsid w:val="00B6449C"/>
    <w:rsid w:val="00B702BD"/>
    <w:rsid w:val="00B73254"/>
    <w:rsid w:val="00B84E46"/>
    <w:rsid w:val="00B85371"/>
    <w:rsid w:val="00B85666"/>
    <w:rsid w:val="00B92AD4"/>
    <w:rsid w:val="00BA6000"/>
    <w:rsid w:val="00BB25AC"/>
    <w:rsid w:val="00BC1D64"/>
    <w:rsid w:val="00BC2305"/>
    <w:rsid w:val="00BD6546"/>
    <w:rsid w:val="00BE5680"/>
    <w:rsid w:val="00C04E90"/>
    <w:rsid w:val="00C87A40"/>
    <w:rsid w:val="00C91658"/>
    <w:rsid w:val="00C9684D"/>
    <w:rsid w:val="00CA19D5"/>
    <w:rsid w:val="00CA1D2E"/>
    <w:rsid w:val="00CD4891"/>
    <w:rsid w:val="00CE315E"/>
    <w:rsid w:val="00CF187D"/>
    <w:rsid w:val="00CF25D1"/>
    <w:rsid w:val="00D03CBD"/>
    <w:rsid w:val="00D04D19"/>
    <w:rsid w:val="00D13BAE"/>
    <w:rsid w:val="00D15A55"/>
    <w:rsid w:val="00D35854"/>
    <w:rsid w:val="00D47219"/>
    <w:rsid w:val="00D52C83"/>
    <w:rsid w:val="00D6472D"/>
    <w:rsid w:val="00D703E7"/>
    <w:rsid w:val="00D727FF"/>
    <w:rsid w:val="00D90389"/>
    <w:rsid w:val="00D9135B"/>
    <w:rsid w:val="00D96E0A"/>
    <w:rsid w:val="00DA7BFE"/>
    <w:rsid w:val="00DC5DB0"/>
    <w:rsid w:val="00DD3CCF"/>
    <w:rsid w:val="00DF28D6"/>
    <w:rsid w:val="00DF4346"/>
    <w:rsid w:val="00DF4EF6"/>
    <w:rsid w:val="00E12670"/>
    <w:rsid w:val="00E23159"/>
    <w:rsid w:val="00E237F6"/>
    <w:rsid w:val="00E23ECC"/>
    <w:rsid w:val="00E416B2"/>
    <w:rsid w:val="00E55520"/>
    <w:rsid w:val="00E73EA7"/>
    <w:rsid w:val="00E83743"/>
    <w:rsid w:val="00EB7BB0"/>
    <w:rsid w:val="00EC3A42"/>
    <w:rsid w:val="00EC60F0"/>
    <w:rsid w:val="00ED11D7"/>
    <w:rsid w:val="00ED283F"/>
    <w:rsid w:val="00ED3925"/>
    <w:rsid w:val="00ED712C"/>
    <w:rsid w:val="00EE5665"/>
    <w:rsid w:val="00F00B00"/>
    <w:rsid w:val="00F01CA4"/>
    <w:rsid w:val="00F047B6"/>
    <w:rsid w:val="00F10B9F"/>
    <w:rsid w:val="00F15166"/>
    <w:rsid w:val="00F438C0"/>
    <w:rsid w:val="00F4720D"/>
    <w:rsid w:val="00F515D5"/>
    <w:rsid w:val="00F53E31"/>
    <w:rsid w:val="00F55F05"/>
    <w:rsid w:val="00F61B31"/>
    <w:rsid w:val="00F830EC"/>
    <w:rsid w:val="00F842E5"/>
    <w:rsid w:val="00F9127D"/>
    <w:rsid w:val="00F95F80"/>
    <w:rsid w:val="00FA5989"/>
    <w:rsid w:val="00FC5CF5"/>
    <w:rsid w:val="00FC748D"/>
    <w:rsid w:val="00FD3E63"/>
    <w:rsid w:val="00FE1E0A"/>
    <w:rsid w:val="00FE386C"/>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A5B8"/>
  <w15:chartTrackingRefBased/>
  <w15:docId w15:val="{59DC0647-0838-49A5-88D6-962DA3D0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7D4"/>
    <w:pPr>
      <w:bidi/>
      <w:spacing w:line="480" w:lineRule="auto"/>
    </w:pPr>
  </w:style>
  <w:style w:type="paragraph" w:styleId="Heading1">
    <w:name w:val="heading 1"/>
    <w:basedOn w:val="Normal"/>
    <w:next w:val="Normal"/>
    <w:link w:val="Heading1Char"/>
    <w:uiPriority w:val="9"/>
    <w:qFormat/>
    <w:rsid w:val="00BB25AC"/>
    <w:pPr>
      <w:keepNext/>
      <w:keepLines/>
      <w:spacing w:before="240" w:after="0"/>
      <w:outlineLvl w:val="0"/>
    </w:pPr>
    <w:rPr>
      <w:rFonts w:asciiTheme="majorHAnsi" w:eastAsiaTheme="majorEastAsia" w:hAnsiTheme="majorHAnsi" w:cs="David"/>
      <w:sz w:val="32"/>
      <w:szCs w:val="24"/>
      <w:u w:val="single"/>
    </w:rPr>
  </w:style>
  <w:style w:type="paragraph" w:styleId="Heading3">
    <w:name w:val="heading 3"/>
    <w:basedOn w:val="Normal"/>
    <w:next w:val="Normal"/>
    <w:link w:val="Heading3Char"/>
    <w:uiPriority w:val="9"/>
    <w:unhideWhenUsed/>
    <w:qFormat/>
    <w:rsid w:val="007D3C88"/>
    <w:pPr>
      <w:keepNext/>
      <w:keepLines/>
      <w:spacing w:before="200" w:after="0" w:line="276" w:lineRule="auto"/>
      <w:outlineLvl w:val="2"/>
    </w:pPr>
    <w:rPr>
      <w:rFonts w:asciiTheme="majorHAnsi" w:eastAsiaTheme="majorEastAsia" w:hAnsiTheme="majorHAnsi" w:cs="David"/>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3C88"/>
    <w:rPr>
      <w:rFonts w:asciiTheme="majorHAnsi" w:eastAsiaTheme="majorEastAsia" w:hAnsiTheme="majorHAnsi" w:cs="David"/>
      <w:b/>
      <w:szCs w:val="24"/>
      <w:u w:val="single"/>
    </w:rPr>
  </w:style>
  <w:style w:type="paragraph" w:styleId="ListParagraph">
    <w:name w:val="List Paragraph"/>
    <w:basedOn w:val="Normal"/>
    <w:uiPriority w:val="34"/>
    <w:qFormat/>
    <w:rsid w:val="006307D4"/>
    <w:pPr>
      <w:ind w:left="720"/>
      <w:contextualSpacing/>
    </w:pPr>
  </w:style>
  <w:style w:type="paragraph" w:styleId="BlockText">
    <w:name w:val="Block Text"/>
    <w:basedOn w:val="Normal"/>
    <w:rsid w:val="00C91658"/>
    <w:pPr>
      <w:spacing w:before="240" w:after="360" w:line="240" w:lineRule="auto"/>
      <w:ind w:left="1134" w:right="1134"/>
      <w:contextualSpacing/>
      <w:jc w:val="both"/>
    </w:pPr>
    <w:rPr>
      <w:rFonts w:ascii="Californian FB" w:eastAsia="Times New Roman" w:hAnsi="Californian FB" w:cs="David"/>
      <w:sz w:val="24"/>
      <w:szCs w:val="28"/>
    </w:rPr>
  </w:style>
  <w:style w:type="paragraph" w:styleId="Header">
    <w:name w:val="header"/>
    <w:basedOn w:val="Normal"/>
    <w:link w:val="HeaderChar"/>
    <w:uiPriority w:val="99"/>
    <w:unhideWhenUsed/>
    <w:rsid w:val="00B55F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FEF"/>
  </w:style>
  <w:style w:type="paragraph" w:styleId="Footer">
    <w:name w:val="footer"/>
    <w:basedOn w:val="Normal"/>
    <w:link w:val="FooterChar"/>
    <w:uiPriority w:val="99"/>
    <w:unhideWhenUsed/>
    <w:rsid w:val="00B55F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5FEF"/>
  </w:style>
  <w:style w:type="paragraph" w:customStyle="1" w:styleId="2">
    <w:name w:val="סגנון2"/>
    <w:basedOn w:val="Normal"/>
    <w:link w:val="20"/>
    <w:qFormat/>
    <w:rsid w:val="00FF7589"/>
    <w:pPr>
      <w:numPr>
        <w:numId w:val="5"/>
      </w:num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F7589"/>
    <w:rPr>
      <w:rFonts w:ascii="Times New Roman" w:eastAsia="Times New Roman" w:hAnsi="Times New Roman" w:cs="David"/>
      <w:sz w:val="28"/>
      <w:szCs w:val="28"/>
    </w:rPr>
  </w:style>
  <w:style w:type="character" w:styleId="Hyperlink">
    <w:name w:val="Hyperlink"/>
    <w:uiPriority w:val="99"/>
    <w:semiHidden/>
    <w:unhideWhenUsed/>
    <w:rsid w:val="00176827"/>
    <w:rPr>
      <w:color w:val="0000FF"/>
      <w:u w:val="single"/>
    </w:rPr>
  </w:style>
  <w:style w:type="paragraph" w:customStyle="1" w:styleId="a">
    <w:name w:val="תמצית"/>
    <w:basedOn w:val="Normal"/>
    <w:next w:val="a0"/>
    <w:link w:val="a1"/>
    <w:rsid w:val="0001347D"/>
    <w:pPr>
      <w:keepNext/>
      <w:spacing w:after="0" w:line="240" w:lineRule="auto"/>
      <w:jc w:val="both"/>
    </w:pPr>
    <w:rPr>
      <w:rFonts w:ascii="Trebuchet MS" w:eastAsia="Times New Roman" w:hAnsi="Trebuchet MS" w:cs="Levenim MT"/>
      <w:sz w:val="20"/>
      <w:szCs w:val="18"/>
    </w:rPr>
  </w:style>
  <w:style w:type="paragraph" w:customStyle="1" w:styleId="a0">
    <w:name w:val="הפניה"/>
    <w:basedOn w:val="a"/>
    <w:link w:val="a2"/>
    <w:rsid w:val="0001347D"/>
    <w:pPr>
      <w:keepNext w:val="0"/>
      <w:spacing w:after="120"/>
      <w:ind w:left="284"/>
      <w:jc w:val="left"/>
    </w:pPr>
  </w:style>
  <w:style w:type="character" w:customStyle="1" w:styleId="a1">
    <w:name w:val="תמצית תו"/>
    <w:link w:val="a"/>
    <w:locked/>
    <w:rsid w:val="0001347D"/>
    <w:rPr>
      <w:rFonts w:ascii="Trebuchet MS" w:eastAsia="Times New Roman" w:hAnsi="Trebuchet MS" w:cs="Levenim MT"/>
      <w:sz w:val="20"/>
      <w:szCs w:val="18"/>
    </w:rPr>
  </w:style>
  <w:style w:type="character" w:customStyle="1" w:styleId="a2">
    <w:name w:val="הפניה תו"/>
    <w:link w:val="a0"/>
    <w:locked/>
    <w:rsid w:val="0001347D"/>
    <w:rPr>
      <w:rFonts w:ascii="Trebuchet MS" w:eastAsia="Times New Roman" w:hAnsi="Trebuchet MS" w:cs="Levenim MT"/>
      <w:sz w:val="20"/>
      <w:szCs w:val="18"/>
    </w:rPr>
  </w:style>
  <w:style w:type="character" w:customStyle="1" w:styleId="Heading1Char">
    <w:name w:val="Heading 1 Char"/>
    <w:basedOn w:val="DefaultParagraphFont"/>
    <w:link w:val="Heading1"/>
    <w:uiPriority w:val="9"/>
    <w:rsid w:val="00BB25AC"/>
    <w:rPr>
      <w:rFonts w:asciiTheme="majorHAnsi" w:eastAsiaTheme="majorEastAsia" w:hAnsiTheme="majorHAnsi" w:cs="David"/>
      <w:sz w:val="32"/>
      <w:szCs w:val="24"/>
      <w:u w:val="single"/>
    </w:rPr>
  </w:style>
  <w:style w:type="paragraph" w:styleId="BalloonText">
    <w:name w:val="Balloon Text"/>
    <w:basedOn w:val="Normal"/>
    <w:link w:val="BalloonTextChar"/>
    <w:uiPriority w:val="99"/>
    <w:semiHidden/>
    <w:unhideWhenUsed/>
    <w:rsid w:val="004B39B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39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972">
      <w:bodyDiv w:val="1"/>
      <w:marLeft w:val="0"/>
      <w:marRight w:val="0"/>
      <w:marTop w:val="0"/>
      <w:marBottom w:val="0"/>
      <w:divBdr>
        <w:top w:val="none" w:sz="0" w:space="0" w:color="auto"/>
        <w:left w:val="none" w:sz="0" w:space="0" w:color="auto"/>
        <w:bottom w:val="none" w:sz="0" w:space="0" w:color="auto"/>
        <w:right w:val="none" w:sz="0" w:space="0" w:color="auto"/>
      </w:divBdr>
    </w:div>
    <w:div w:id="10669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2280</Words>
  <Characters>11401</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s4835146</dc:creator>
  <cp:keywords/>
  <dc:description/>
  <cp:lastModifiedBy>יבד"ץ 205/בית דין צפון וח"י/עוזרת משפטית/אלה לרנר</cp:lastModifiedBy>
  <cp:revision>2</cp:revision>
  <cp:lastPrinted>2020-01-29T13:41:00Z</cp:lastPrinted>
  <dcterms:created xsi:type="dcterms:W3CDTF">2023-03-06T08:07:00Z</dcterms:created>
  <dcterms:modified xsi:type="dcterms:W3CDTF">2023-03-06T08:07:00Z</dcterms:modified>
</cp:coreProperties>
</file>