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54D7" w14:textId="77777777" w:rsidR="00315382" w:rsidRPr="00FF52D0" w:rsidRDefault="00315382" w:rsidP="0031538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noProof/>
          <w:sz w:val="28"/>
          <w:szCs w:val="28"/>
        </w:rPr>
        <w:drawing>
          <wp:inline distT="0" distB="0" distL="0" distR="0" wp14:anchorId="1DF5BACF" wp14:editId="770C65F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2D0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FF52D0">
        <w:rPr>
          <w:rFonts w:ascii="David" w:hAnsi="David"/>
          <w:noProof/>
          <w:sz w:val="28"/>
          <w:szCs w:val="28"/>
        </w:rPr>
        <w:drawing>
          <wp:inline distT="0" distB="0" distL="0" distR="0" wp14:anchorId="31AFF172" wp14:editId="45CE780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2D0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47299FE" w14:textId="77777777" w:rsidR="00315382" w:rsidRPr="00FF52D0" w:rsidRDefault="00315382" w:rsidP="00315382">
      <w:pPr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B8A6F9B" w14:textId="77777777" w:rsidR="00315382" w:rsidRPr="00FF52D0" w:rsidRDefault="00315382" w:rsidP="00315382">
      <w:pPr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78E847F9" w14:textId="784198CD" w:rsidR="00315382" w:rsidRPr="00FF52D0" w:rsidRDefault="00315382" w:rsidP="00315382">
      <w:pPr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FF52D0">
        <w:rPr>
          <w:rFonts w:ascii="David" w:hAnsi="David"/>
          <w:sz w:val="28"/>
          <w:szCs w:val="28"/>
          <w:rtl/>
        </w:rPr>
        <w:t xml:space="preserve">:                     </w:t>
      </w:r>
      <w:r w:rsidRPr="00FF52D0">
        <w:rPr>
          <w:rFonts w:ascii="David" w:hAnsi="David"/>
          <w:b/>
          <w:bCs/>
          <w:sz w:val="28"/>
          <w:szCs w:val="28"/>
          <w:rtl/>
        </w:rPr>
        <w:t>סא"ל (במיל') רועי פרי</w:t>
      </w:r>
    </w:p>
    <w:p w14:paraId="021E2448" w14:textId="77777777" w:rsidR="00315382" w:rsidRPr="00FF52D0" w:rsidRDefault="00315382" w:rsidP="00315382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FF52D0">
        <w:rPr>
          <w:rFonts w:ascii="David" w:hAnsi="David" w:cs="David"/>
          <w:sz w:val="28"/>
          <w:u w:val="single"/>
          <w:rtl/>
        </w:rPr>
        <w:t xml:space="preserve"> </w:t>
      </w:r>
    </w:p>
    <w:p w14:paraId="59628558" w14:textId="4B407F11" w:rsidR="00315382" w:rsidRPr="00FF52D0" w:rsidRDefault="00315382" w:rsidP="00315382">
      <w:pPr>
        <w:pStyle w:val="BodyText"/>
        <w:jc w:val="both"/>
        <w:rPr>
          <w:rFonts w:ascii="David" w:hAnsi="David" w:cs="David"/>
          <w:sz w:val="28"/>
          <w:rtl/>
        </w:rPr>
      </w:pPr>
      <w:r w:rsidRPr="00FF52D0">
        <w:rPr>
          <w:rFonts w:ascii="David" w:hAnsi="David" w:cs="David"/>
          <w:sz w:val="28"/>
          <w:rtl/>
        </w:rPr>
        <w:t xml:space="preserve">בעניין: התובע הצבאי                                       </w:t>
      </w:r>
      <w:r w:rsidR="00FF52D0" w:rsidRPr="00FF52D0">
        <w:rPr>
          <w:rFonts w:ascii="David" w:hAnsi="David" w:cs="David"/>
          <w:sz w:val="28"/>
          <w:rtl/>
        </w:rPr>
        <w:t xml:space="preserve">              </w:t>
      </w:r>
      <w:r w:rsidRPr="00FF52D0">
        <w:rPr>
          <w:rFonts w:ascii="David" w:hAnsi="David" w:cs="David"/>
          <w:sz w:val="28"/>
          <w:rtl/>
        </w:rPr>
        <w:t xml:space="preserve">    (ע"י ב"כ, קמ"ש תהל ברון)</w:t>
      </w:r>
    </w:p>
    <w:p w14:paraId="33A25ABC" w14:textId="77777777" w:rsidR="00315382" w:rsidRPr="00FF52D0" w:rsidRDefault="00315382" w:rsidP="00315382">
      <w:pPr>
        <w:pStyle w:val="BodyText"/>
        <w:jc w:val="center"/>
        <w:rPr>
          <w:rFonts w:ascii="David" w:hAnsi="David" w:cs="David"/>
          <w:sz w:val="28"/>
          <w:rtl/>
        </w:rPr>
      </w:pPr>
      <w:r w:rsidRPr="00FF52D0">
        <w:rPr>
          <w:rFonts w:ascii="David" w:hAnsi="David" w:cs="David"/>
          <w:sz w:val="28"/>
          <w:rtl/>
        </w:rPr>
        <w:t>נגד</w:t>
      </w:r>
    </w:p>
    <w:p w14:paraId="767FC000" w14:textId="277A295C" w:rsidR="00315382" w:rsidRPr="00FF52D0" w:rsidRDefault="00315382" w:rsidP="00315382">
      <w:pPr>
        <w:pStyle w:val="BodyText"/>
        <w:jc w:val="both"/>
        <w:rPr>
          <w:rFonts w:ascii="David" w:hAnsi="David" w:cs="David"/>
          <w:sz w:val="28"/>
          <w:rtl/>
        </w:rPr>
      </w:pPr>
      <w:r w:rsidRPr="00FF52D0">
        <w:rPr>
          <w:rFonts w:ascii="David" w:hAnsi="David" w:cs="David"/>
          <w:sz w:val="28"/>
          <w:rtl/>
        </w:rPr>
        <w:t>הנאשם:</w:t>
      </w:r>
      <w:r w:rsidRPr="00FF52D0">
        <w:rPr>
          <w:rFonts w:ascii="David" w:hAnsi="David" w:cs="David"/>
          <w:sz w:val="28"/>
        </w:rPr>
        <w:t>X</w:t>
      </w:r>
      <w:r w:rsidRPr="00FF52D0">
        <w:rPr>
          <w:rFonts w:ascii="David" w:hAnsi="David" w:cs="David"/>
          <w:sz w:val="28"/>
          <w:rtl/>
        </w:rPr>
        <w:t>/</w:t>
      </w:r>
      <w:r w:rsidRPr="00FF52D0">
        <w:rPr>
          <w:rFonts w:ascii="David" w:hAnsi="David" w:cs="David"/>
          <w:sz w:val="28"/>
        </w:rPr>
        <w:t>XXX</w:t>
      </w:r>
      <w:r w:rsidRPr="00FF52D0">
        <w:rPr>
          <w:rFonts w:ascii="David" w:hAnsi="David" w:cs="David"/>
          <w:sz w:val="28"/>
          <w:rtl/>
        </w:rPr>
        <w:t xml:space="preserve"> רב"ט </w:t>
      </w:r>
      <w:r w:rsidR="00FF52D0" w:rsidRPr="00FF52D0">
        <w:rPr>
          <w:rFonts w:ascii="David" w:hAnsi="David" w:cs="David"/>
          <w:sz w:val="28"/>
          <w:rtl/>
        </w:rPr>
        <w:t xml:space="preserve">ד' ב'                                               </w:t>
      </w:r>
      <w:r w:rsidRPr="00FF52D0">
        <w:rPr>
          <w:rFonts w:ascii="David" w:hAnsi="David" w:cs="David"/>
          <w:sz w:val="28"/>
          <w:rtl/>
        </w:rPr>
        <w:t>(ע"י ב"כ, סגן עדן שאקי)</w:t>
      </w:r>
    </w:p>
    <w:p w14:paraId="043F186F" w14:textId="77777777" w:rsidR="00DD47C7" w:rsidRPr="00FF52D0" w:rsidRDefault="00DD47C7" w:rsidP="00DD47C7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0B06FD6" w14:textId="77777777" w:rsidR="00F97CEF" w:rsidRPr="00FF52D0" w:rsidRDefault="00F97CEF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24CB5EF" w14:textId="77777777" w:rsidR="00F97CEF" w:rsidRPr="00FF52D0" w:rsidRDefault="00F97CEF" w:rsidP="003160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FF52D0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63EC6A77" w14:textId="03366CF6" w:rsidR="00F97CEF" w:rsidRPr="00FF52D0" w:rsidRDefault="00F97CEF" w:rsidP="003160DC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>על פי הודאתו מורשע הנאשם ב</w:t>
      </w:r>
      <w:r w:rsidR="00CA344B" w:rsidRPr="00FF52D0">
        <w:rPr>
          <w:rFonts w:ascii="David" w:hAnsi="David"/>
          <w:sz w:val="28"/>
          <w:szCs w:val="28"/>
          <w:rtl/>
        </w:rPr>
        <w:t xml:space="preserve">שלוש עבירות </w:t>
      </w:r>
      <w:r w:rsidRPr="00FF52D0">
        <w:rPr>
          <w:rFonts w:ascii="David" w:hAnsi="David"/>
          <w:sz w:val="28"/>
          <w:szCs w:val="28"/>
          <w:rtl/>
        </w:rPr>
        <w:t>של</w:t>
      </w:r>
      <w:r w:rsidR="00CA344B" w:rsidRPr="00FF52D0">
        <w:rPr>
          <w:rFonts w:ascii="David" w:hAnsi="David"/>
          <w:sz w:val="28"/>
          <w:szCs w:val="28"/>
          <w:rtl/>
        </w:rPr>
        <w:t xml:space="preserve"> סירוב לה</w:t>
      </w:r>
      <w:r w:rsidR="004328A2" w:rsidRPr="00FF52D0">
        <w:rPr>
          <w:rFonts w:ascii="David" w:hAnsi="David"/>
          <w:sz w:val="28"/>
          <w:szCs w:val="28"/>
          <w:rtl/>
        </w:rPr>
        <w:t>י</w:t>
      </w:r>
      <w:r w:rsidR="00CA344B" w:rsidRPr="00FF52D0">
        <w:rPr>
          <w:rFonts w:ascii="David" w:hAnsi="David"/>
          <w:sz w:val="28"/>
          <w:szCs w:val="28"/>
          <w:rtl/>
        </w:rPr>
        <w:t>בדק לשם גילוי</w:t>
      </w:r>
      <w:r w:rsidRPr="00FF52D0">
        <w:rPr>
          <w:rFonts w:ascii="David" w:hAnsi="David"/>
          <w:sz w:val="28"/>
          <w:szCs w:val="28"/>
          <w:rtl/>
        </w:rPr>
        <w:t xml:space="preserve"> שימוש בסם מסוכן</w:t>
      </w:r>
      <w:r w:rsidR="00CA344B" w:rsidRPr="00FF52D0">
        <w:rPr>
          <w:rFonts w:ascii="David" w:hAnsi="David"/>
          <w:sz w:val="28"/>
          <w:szCs w:val="28"/>
          <w:rtl/>
        </w:rPr>
        <w:t xml:space="preserve"> לפי סעיפים 127 א ביחד עם סעיף 250 א (א) </w:t>
      </w:r>
      <w:proofErr w:type="spellStart"/>
      <w:r w:rsidR="00CA344B" w:rsidRPr="00FF52D0">
        <w:rPr>
          <w:rFonts w:ascii="David" w:hAnsi="David"/>
          <w:sz w:val="28"/>
          <w:szCs w:val="28"/>
          <w:rtl/>
        </w:rPr>
        <w:t>לחש"צ</w:t>
      </w:r>
      <w:proofErr w:type="spellEnd"/>
      <w:r w:rsidR="00CA344B" w:rsidRPr="00FF52D0">
        <w:rPr>
          <w:rFonts w:ascii="David" w:hAnsi="David"/>
          <w:sz w:val="28"/>
          <w:szCs w:val="28"/>
          <w:rtl/>
        </w:rPr>
        <w:t xml:space="preserve"> ובפרטים הנוספים</w:t>
      </w:r>
      <w:r w:rsidRPr="00FF52D0">
        <w:rPr>
          <w:rFonts w:ascii="David" w:hAnsi="David"/>
          <w:sz w:val="28"/>
          <w:szCs w:val="28"/>
          <w:rtl/>
        </w:rPr>
        <w:t xml:space="preserve">. </w:t>
      </w:r>
    </w:p>
    <w:p w14:paraId="7FBD37F6" w14:textId="7A304D4C" w:rsidR="00F97CEF" w:rsidRPr="00FF52D0" w:rsidRDefault="007F66B9" w:rsidP="00F97CEF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ניתנה היום, י"ד בטבת תשפ"ד, 24.01.2024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והודעה בפומבי ובמעמד הצדדים. </w:t>
      </w:r>
    </w:p>
    <w:p w14:paraId="1918C551" w14:textId="77777777" w:rsidR="00F97CEF" w:rsidRPr="00FF52D0" w:rsidRDefault="00F97CEF" w:rsidP="003160DC">
      <w:pPr>
        <w:spacing w:line="360" w:lineRule="auto"/>
        <w:ind w:left="360"/>
        <w:contextualSpacing/>
        <w:jc w:val="center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6566C18" w14:textId="3319399B" w:rsidR="00F97CEF" w:rsidRPr="00FF52D0" w:rsidRDefault="00FF52D0" w:rsidP="003160DC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שופט</w:t>
      </w:r>
    </w:p>
    <w:p w14:paraId="6E1F091F" w14:textId="7836AF30" w:rsidR="00F97CEF" w:rsidRPr="00FF52D0" w:rsidRDefault="00E90F3B" w:rsidP="00FF52D0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 </w:t>
      </w:r>
    </w:p>
    <w:p w14:paraId="7DB36E25" w14:textId="77777777" w:rsidR="00FF52D0" w:rsidRDefault="00FF52D0" w:rsidP="003160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AB8A9FF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4D50FB7E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6FB8AA8A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5722A229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1F8DF371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3C8EFD69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13757313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09EC534D" w14:textId="77777777" w:rsidR="00FF52D0" w:rsidRPr="00FF52D0" w:rsidRDefault="00FF52D0" w:rsidP="00FF52D0">
      <w:pPr>
        <w:rPr>
          <w:rFonts w:ascii="David" w:hAnsi="David"/>
          <w:sz w:val="28"/>
          <w:szCs w:val="28"/>
          <w:rtl/>
        </w:rPr>
      </w:pPr>
    </w:p>
    <w:p w14:paraId="3BF10B68" w14:textId="77777777" w:rsidR="00FF52D0" w:rsidRDefault="00FF52D0" w:rsidP="003160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C9F7B95" w14:textId="77777777" w:rsidR="00FF52D0" w:rsidRDefault="00FF52D0" w:rsidP="00FF52D0">
      <w:pPr>
        <w:tabs>
          <w:tab w:val="left" w:pos="6328"/>
        </w:tabs>
        <w:spacing w:line="360" w:lineRule="auto"/>
        <w:jc w:val="left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CD8DA50" w14:textId="77777777" w:rsidR="00FF52D0" w:rsidRDefault="00FF52D0" w:rsidP="00FF52D0">
      <w:pPr>
        <w:tabs>
          <w:tab w:val="left" w:pos="6328"/>
        </w:tabs>
        <w:spacing w:line="360" w:lineRule="auto"/>
        <w:jc w:val="left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CDFE188" w14:textId="77777777" w:rsidR="00FF52D0" w:rsidRDefault="00FF52D0" w:rsidP="00FF52D0">
      <w:pPr>
        <w:tabs>
          <w:tab w:val="left" w:pos="6328"/>
        </w:tabs>
        <w:spacing w:line="360" w:lineRule="auto"/>
        <w:jc w:val="left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8D1EA3B" w14:textId="5A4D7D31" w:rsidR="00FF52D0" w:rsidRDefault="00FF52D0" w:rsidP="00FF52D0">
      <w:pPr>
        <w:rPr>
          <w:rtl/>
        </w:rPr>
      </w:pPr>
      <w:r>
        <w:rPr>
          <w:rtl/>
        </w:rPr>
        <w:tab/>
      </w:r>
    </w:p>
    <w:p w14:paraId="37ADED9D" w14:textId="294F7896" w:rsidR="00F97CEF" w:rsidRPr="00FF52D0" w:rsidRDefault="00F97CEF" w:rsidP="003160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FF52D0">
        <w:rPr>
          <w:rFonts w:ascii="David" w:hAnsi="David"/>
          <w:sz w:val="28"/>
          <w:szCs w:val="28"/>
          <w:rtl/>
        </w:rPr>
        <w:br w:type="page"/>
      </w:r>
      <w:r w:rsidRPr="00FF52D0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2681638C" w14:textId="169DD740" w:rsidR="00F97CEF" w:rsidRPr="00FF52D0" w:rsidRDefault="00F97CEF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>הנאשם הורשע על פי הודאתו ב</w:t>
      </w:r>
      <w:r w:rsidR="00E90F3B" w:rsidRPr="00FF52D0">
        <w:rPr>
          <w:rFonts w:ascii="David" w:hAnsi="David"/>
          <w:sz w:val="28"/>
          <w:szCs w:val="28"/>
          <w:rtl/>
        </w:rPr>
        <w:t xml:space="preserve">מסגרת הסדר טיעון בעובדות כתב האישום המתוקן בשלוש עבירות </w:t>
      </w:r>
      <w:r w:rsidR="0072103C" w:rsidRPr="00FF52D0">
        <w:rPr>
          <w:rFonts w:ascii="David" w:hAnsi="David"/>
          <w:sz w:val="28"/>
          <w:szCs w:val="28"/>
          <w:rtl/>
        </w:rPr>
        <w:t xml:space="preserve">של סירוב להיבדק לשם גילוי שימוש בסמים מסוכנים והפרטים הנוספים. </w:t>
      </w:r>
    </w:p>
    <w:p w14:paraId="40577829" w14:textId="51DAECCE" w:rsidR="0072103C" w:rsidRPr="00FF52D0" w:rsidRDefault="0072103C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6BB76C6" w14:textId="572EA03E" w:rsidR="0072103C" w:rsidRPr="00FF52D0" w:rsidRDefault="00252516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>הנאשם בן 21, שירת שירות צבאי מלא וכיום מסייע במאמץ המלחמתי ומשרת במסגרת שירות מילואים.</w:t>
      </w:r>
    </w:p>
    <w:p w14:paraId="32C65659" w14:textId="42471597" w:rsidR="00252516" w:rsidRPr="00FF52D0" w:rsidRDefault="00252516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הנאשם התגייס לצה"ל ביום 06.04.2021 ומשרת כיום במילואים </w:t>
      </w:r>
      <w:r w:rsidR="00FF52D0">
        <w:rPr>
          <w:rFonts w:ascii="David" w:hAnsi="David" w:hint="cs"/>
          <w:sz w:val="28"/>
          <w:szCs w:val="28"/>
        </w:rPr>
        <w:t>XXX</w:t>
      </w:r>
      <w:r w:rsidRPr="00FF52D0">
        <w:rPr>
          <w:rFonts w:ascii="David" w:hAnsi="David"/>
          <w:sz w:val="28"/>
          <w:szCs w:val="28"/>
          <w:rtl/>
        </w:rPr>
        <w:t>.</w:t>
      </w:r>
    </w:p>
    <w:p w14:paraId="5D18243B" w14:textId="080D213C" w:rsidR="0089698D" w:rsidRPr="00FF52D0" w:rsidRDefault="0089698D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AC0C26D" w14:textId="31A5A83E" w:rsidR="0089698D" w:rsidRPr="00FF52D0" w:rsidRDefault="0089698D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הצדדים הציגו בפניי הסדר טיעון הנובע מקושי ראייתי שלאורו תוקן כתב האישום </w:t>
      </w:r>
      <w:proofErr w:type="spellStart"/>
      <w:r w:rsidRPr="00FF52D0">
        <w:rPr>
          <w:rFonts w:ascii="David" w:hAnsi="David"/>
          <w:sz w:val="28"/>
          <w:szCs w:val="28"/>
          <w:rtl/>
        </w:rPr>
        <w:t>לקולא</w:t>
      </w:r>
      <w:proofErr w:type="spellEnd"/>
      <w:r w:rsidRPr="00FF52D0">
        <w:rPr>
          <w:rFonts w:ascii="David" w:hAnsi="David"/>
          <w:sz w:val="28"/>
          <w:szCs w:val="28"/>
          <w:rtl/>
        </w:rPr>
        <w:t>, נסיבותיו האישיות של הנאשם, שירותו הצבאי החיובי והערכת מפקדיו כפי שהוצגה בפניי, לצד הבעת חרטה וחיסכון בזמן שיפוטי ניכר.</w:t>
      </w:r>
    </w:p>
    <w:p w14:paraId="3B341210" w14:textId="7E5E54B1" w:rsidR="0089698D" w:rsidRPr="00FF52D0" w:rsidRDefault="0089698D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3E3F441" w14:textId="3F79B998" w:rsidR="0089698D" w:rsidRPr="00FF52D0" w:rsidRDefault="0089698D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מבלי להקל ראש במעשיו של הנאשם עת סירב בשלוש הזדמנויות למסור דגימת שתן לצורך בדיקה של גילוי שימוש בסמים מסוכנים, לאור טיעוני הצדדים מצאתי ההסדר סביר ועל כן אכבדו. </w:t>
      </w:r>
    </w:p>
    <w:p w14:paraId="4CD4BE96" w14:textId="77777777" w:rsidR="00F97CEF" w:rsidRPr="00FF52D0" w:rsidRDefault="00F97CEF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8A05A55" w14:textId="77777777" w:rsidR="00F97CEF" w:rsidRPr="00FF52D0" w:rsidRDefault="00F97CEF" w:rsidP="003160DC">
      <w:pPr>
        <w:spacing w:line="360" w:lineRule="auto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AB6408D" w14:textId="77777777" w:rsidR="00F97CEF" w:rsidRPr="00FF52D0" w:rsidRDefault="00F97CEF" w:rsidP="003160D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CD73A9D" w14:textId="77777777" w:rsidR="00F97CEF" w:rsidRPr="00FF52D0" w:rsidRDefault="00F97CEF" w:rsidP="003160D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7F06744" w14:textId="77777777" w:rsidR="00F97CEF" w:rsidRPr="00FF52D0" w:rsidRDefault="00F97CEF" w:rsidP="003160D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6EC01B2" w14:textId="61C9FF8D" w:rsidR="00F97CEF" w:rsidRPr="00FF52D0" w:rsidRDefault="00F97CEF" w:rsidP="00F97CEF">
      <w:pPr>
        <w:numPr>
          <w:ilvl w:val="0"/>
          <w:numId w:val="5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FF52D0">
        <w:rPr>
          <w:rFonts w:ascii="David" w:hAnsi="David" w:hint="cs"/>
          <w:b/>
          <w:bCs/>
          <w:sz w:val="28"/>
          <w:szCs w:val="28"/>
          <w:rtl/>
        </w:rPr>
        <w:t>שישים (60)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שנתיים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FF52D0">
        <w:rPr>
          <w:rFonts w:ascii="David" w:hAnsi="David"/>
          <w:b/>
          <w:bCs/>
          <w:sz w:val="28"/>
          <w:szCs w:val="28"/>
          <w:rtl/>
        </w:rPr>
        <w:t>, שלא יעבור עבירה לפי פקודת הסמים המסוכנים [נוסח חדש], התשל"ג-1973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מסוג פשע. </w:t>
      </w:r>
    </w:p>
    <w:p w14:paraId="2277D161" w14:textId="778F48D6" w:rsidR="00F97CEF" w:rsidRPr="00FF52D0" w:rsidRDefault="00F97CEF" w:rsidP="00F97CEF">
      <w:pPr>
        <w:numPr>
          <w:ilvl w:val="0"/>
          <w:numId w:val="5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שישים (60) 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ימים למשך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שנתיים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FF52D0">
        <w:rPr>
          <w:rFonts w:ascii="David" w:hAnsi="David"/>
          <w:b/>
          <w:bCs/>
          <w:sz w:val="28"/>
          <w:szCs w:val="28"/>
          <w:rtl/>
        </w:rPr>
        <w:t>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581E6AB1" w14:textId="2B4F282C" w:rsidR="0089698D" w:rsidRPr="00FF52D0" w:rsidRDefault="00F97CEF" w:rsidP="00F97CEF">
      <w:pPr>
        <w:numPr>
          <w:ilvl w:val="0"/>
          <w:numId w:val="5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קנס בסך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 אלפיים חמש מאות (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2</w:t>
      </w:r>
      <w:r w:rsidR="008C122D">
        <w:rPr>
          <w:rFonts w:ascii="David" w:hAnsi="David" w:hint="cs"/>
          <w:b/>
          <w:bCs/>
          <w:sz w:val="28"/>
          <w:szCs w:val="28"/>
          <w:rtl/>
        </w:rPr>
        <w:t>,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500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 ₪</w:t>
      </w:r>
      <w:r w:rsidR="00FF52D0">
        <w:rPr>
          <w:rFonts w:ascii="David" w:hAnsi="David" w:hint="cs"/>
          <w:b/>
          <w:bCs/>
          <w:sz w:val="28"/>
          <w:szCs w:val="28"/>
          <w:rtl/>
        </w:rPr>
        <w:t>)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. </w:t>
      </w:r>
      <w:r w:rsidRPr="00FF52D0">
        <w:rPr>
          <w:rFonts w:ascii="David" w:hAnsi="David"/>
          <w:b/>
          <w:bCs/>
          <w:sz w:val="28"/>
          <w:szCs w:val="28"/>
          <w:rtl/>
        </w:rPr>
        <w:t>הקנס ישולם על ידי הנאשם ב</w:t>
      </w:r>
      <w:r w:rsidR="008C122D">
        <w:rPr>
          <w:rFonts w:ascii="David" w:hAnsi="David" w:hint="cs"/>
          <w:b/>
          <w:bCs/>
          <w:sz w:val="28"/>
          <w:szCs w:val="28"/>
          <w:rtl/>
        </w:rPr>
        <w:t>עשרה (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10</w:t>
      </w:r>
      <w:r w:rsidR="008C122D">
        <w:rPr>
          <w:rFonts w:ascii="David" w:hAnsi="David" w:hint="cs"/>
          <w:b/>
          <w:bCs/>
          <w:sz w:val="28"/>
          <w:szCs w:val="28"/>
          <w:rtl/>
        </w:rPr>
        <w:t>)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תשלומים שווים, חודשיים ועוקבים, החל מיום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03.03.2024 ואילך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,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>הנאשם יפנה למזכירות</w:t>
      </w:r>
      <w:r w:rsidR="00A55B0C" w:rsidRPr="00FF52D0">
        <w:rPr>
          <w:rFonts w:ascii="David" w:hAnsi="David"/>
          <w:b/>
          <w:bCs/>
          <w:sz w:val="28"/>
          <w:szCs w:val="28"/>
          <w:rtl/>
        </w:rPr>
        <w:t xml:space="preserve"> על מנת לבצע את התשלום בכרטיס אשראי. </w:t>
      </w:r>
      <w:r w:rsidR="0089698D" w:rsidRPr="00FF52D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6959F36B" w14:textId="77777777" w:rsidR="0089698D" w:rsidRPr="00FF52D0" w:rsidRDefault="0089698D" w:rsidP="00FF52D0">
      <w:pPr>
        <w:spacing w:line="360" w:lineRule="auto"/>
        <w:ind w:left="360"/>
        <w:contextualSpacing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 xml:space="preserve">אי תשלום במועד יגרור העמדת מלוא היתרה לפירעון מידי בתוספת ריבית פיגורים כדין. </w:t>
      </w:r>
    </w:p>
    <w:p w14:paraId="119F06B4" w14:textId="77777777" w:rsidR="00F97CEF" w:rsidRPr="00FF52D0" w:rsidRDefault="00F97CEF" w:rsidP="00F97CEF">
      <w:pPr>
        <w:numPr>
          <w:ilvl w:val="0"/>
          <w:numId w:val="5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lastRenderedPageBreak/>
        <w:t>הורדה לדרגת טוראי.</w:t>
      </w:r>
    </w:p>
    <w:p w14:paraId="1CD0E0B7" w14:textId="77777777" w:rsidR="00F97CEF" w:rsidRPr="00FF52D0" w:rsidRDefault="00F97CEF" w:rsidP="003160DC">
      <w:pPr>
        <w:rPr>
          <w:rFonts w:ascii="David" w:hAnsi="David"/>
          <w:sz w:val="28"/>
          <w:szCs w:val="28"/>
          <w:rtl/>
        </w:rPr>
      </w:pPr>
    </w:p>
    <w:p w14:paraId="14497E3C" w14:textId="77777777" w:rsidR="00F97CEF" w:rsidRPr="00FF52D0" w:rsidRDefault="00F97CEF" w:rsidP="00F97CEF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627C8EA6" w14:textId="16C4E6B8" w:rsidR="00F97CEF" w:rsidRPr="00FF52D0" w:rsidRDefault="0089698D" w:rsidP="00F97CEF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נית</w:t>
      </w:r>
      <w:r w:rsidR="00FF52D0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FF52D0">
        <w:rPr>
          <w:rFonts w:ascii="David" w:hAnsi="David"/>
          <w:b/>
          <w:bCs/>
          <w:sz w:val="28"/>
          <w:szCs w:val="28"/>
          <w:rtl/>
        </w:rPr>
        <w:t>היום, י"ד בטבת תשפ"ד, 24.01.2024</w:t>
      </w:r>
      <w:r w:rsidR="008C122D">
        <w:rPr>
          <w:rFonts w:ascii="David" w:hAnsi="David" w:hint="cs"/>
          <w:b/>
          <w:bCs/>
          <w:sz w:val="28"/>
          <w:szCs w:val="28"/>
          <w:rtl/>
        </w:rPr>
        <w:t>,</w:t>
      </w:r>
      <w:r w:rsidRPr="00FF52D0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5F7961C0" w14:textId="77777777" w:rsidR="00F97CEF" w:rsidRPr="00FF52D0" w:rsidRDefault="00F97CEF" w:rsidP="003160D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FF52D0">
        <w:rPr>
          <w:rFonts w:ascii="David" w:hAnsi="David"/>
          <w:b/>
          <w:bCs/>
          <w:sz w:val="28"/>
          <w:szCs w:val="28"/>
          <w:rtl/>
        </w:rPr>
        <w:t>_____________</w:t>
      </w:r>
    </w:p>
    <w:p w14:paraId="4EA7EEB9" w14:textId="294733B4" w:rsidR="00F97CEF" w:rsidRPr="00FF52D0" w:rsidRDefault="00FF52D0" w:rsidP="003160DC">
      <w:pPr>
        <w:jc w:val="center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שופט </w:t>
      </w:r>
    </w:p>
    <w:p w14:paraId="7E0CB5C9" w14:textId="713AD245" w:rsidR="00DD47C7" w:rsidRPr="00FF52D0" w:rsidRDefault="00F97CEF" w:rsidP="00DD47C7">
      <w:pPr>
        <w:spacing w:line="360" w:lineRule="auto"/>
        <w:ind w:hanging="58"/>
        <w:rPr>
          <w:rFonts w:ascii="David" w:hAnsi="David"/>
          <w:sz w:val="28"/>
          <w:szCs w:val="28"/>
          <w:rtl/>
        </w:rPr>
      </w:pPr>
      <w:r w:rsidRPr="00FF52D0">
        <w:rPr>
          <w:rFonts w:ascii="David" w:hAnsi="David"/>
          <w:sz w:val="28"/>
          <w:szCs w:val="28"/>
          <w:rtl/>
        </w:rPr>
        <w:t xml:space="preserve"> </w:t>
      </w:r>
    </w:p>
    <w:p w14:paraId="4E9B1350" w14:textId="2E40C47F" w:rsidR="00FF52D0" w:rsidRDefault="00FF52D0" w:rsidP="00DD47C7">
      <w:pPr>
        <w:spacing w:line="360" w:lineRule="auto"/>
        <w:ind w:hanging="58"/>
        <w:rPr>
          <w:rFonts w:ascii="David" w:hAnsi="David"/>
          <w:sz w:val="28"/>
          <w:szCs w:val="28"/>
          <w:rtl/>
        </w:rPr>
      </w:pPr>
    </w:p>
    <w:p w14:paraId="5FBD7B96" w14:textId="77777777" w:rsidR="00FF52D0" w:rsidRPr="00F9463A" w:rsidRDefault="00FF52D0" w:rsidP="00FF52D0">
      <w:pPr>
        <w:bidi w:val="0"/>
        <w:spacing w:after="160" w:line="259" w:lineRule="auto"/>
        <w:jc w:val="left"/>
        <w:rPr>
          <w:rFonts w:ascii="David Libre" w:hAnsi="David Libre"/>
          <w:b/>
          <w:bCs/>
          <w:sz w:val="28"/>
          <w:szCs w:val="28"/>
        </w:rPr>
      </w:pPr>
    </w:p>
    <w:p w14:paraId="033B18EA" w14:textId="77777777" w:rsidR="00FF52D0" w:rsidRPr="00973702" w:rsidRDefault="00FF52D0" w:rsidP="00FF52D0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נערך על ידי</w:t>
      </w:r>
      <w:r>
        <w:rPr>
          <w:rFonts w:ascii="David" w:hAnsi="David" w:hint="cs"/>
          <w:b/>
          <w:bCs/>
          <w:sz w:val="28"/>
          <w:szCs w:val="28"/>
          <w:rtl/>
        </w:rPr>
        <w:t>: ק.ג</w:t>
      </w:r>
    </w:p>
    <w:p w14:paraId="0D37804F" w14:textId="11631A79" w:rsidR="00FF52D0" w:rsidRPr="00973702" w:rsidRDefault="00FF52D0" w:rsidP="00FF52D0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בתאריך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:31.01.2024  </w:t>
      </w:r>
    </w:p>
    <w:p w14:paraId="25420C21" w14:textId="77777777" w:rsidR="00FF52D0" w:rsidRPr="00973702" w:rsidRDefault="00FF52D0" w:rsidP="00FF52D0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חתימת המגיה: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</w:t>
      </w:r>
    </w:p>
    <w:p w14:paraId="05BF0D37" w14:textId="77777777" w:rsidR="00FF52D0" w:rsidRPr="00FF52D0" w:rsidRDefault="00FF52D0" w:rsidP="00DD47C7">
      <w:pPr>
        <w:spacing w:line="360" w:lineRule="auto"/>
        <w:ind w:hanging="58"/>
        <w:rPr>
          <w:rFonts w:ascii="David" w:hAnsi="David"/>
          <w:sz w:val="28"/>
          <w:szCs w:val="28"/>
          <w:rtl/>
        </w:rPr>
      </w:pPr>
    </w:p>
    <w:p w14:paraId="76D9404B" w14:textId="77777777" w:rsidR="00DD47C7" w:rsidRPr="00FF52D0" w:rsidRDefault="00DD47C7" w:rsidP="00DD47C7">
      <w:pPr>
        <w:rPr>
          <w:rFonts w:ascii="David" w:hAnsi="David"/>
          <w:sz w:val="28"/>
          <w:szCs w:val="28"/>
          <w:rtl/>
        </w:rPr>
      </w:pPr>
    </w:p>
    <w:p w14:paraId="405FCA65" w14:textId="29AE6DED" w:rsidR="00C5639A" w:rsidRPr="00FF52D0" w:rsidRDefault="00C5639A" w:rsidP="00DD47C7">
      <w:pPr>
        <w:rPr>
          <w:rFonts w:ascii="David" w:hAnsi="David"/>
          <w:sz w:val="28"/>
          <w:szCs w:val="28"/>
          <w:rtl/>
        </w:rPr>
      </w:pPr>
    </w:p>
    <w:sectPr w:rsidR="00C5639A" w:rsidRPr="00FF52D0" w:rsidSect="00FF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EE" w14:textId="77777777" w:rsidR="008C791A" w:rsidRDefault="008C791A" w:rsidP="008C791A">
      <w:r>
        <w:separator/>
      </w:r>
    </w:p>
  </w:endnote>
  <w:endnote w:type="continuationSeparator" w:id="0">
    <w:p w14:paraId="3759B210" w14:textId="77777777" w:rsidR="008C791A" w:rsidRDefault="008C79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6B7F" w14:textId="77777777" w:rsidR="00FF52D0" w:rsidRDefault="00FF5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8411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18EB3" w14:textId="393C487E" w:rsidR="00FF52D0" w:rsidRDefault="00FF5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55FE" w14:textId="77777777" w:rsidR="00FF52D0" w:rsidRDefault="00FF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F6C" w14:textId="77777777" w:rsidR="008C791A" w:rsidRDefault="008C791A" w:rsidP="008C791A">
      <w:r>
        <w:separator/>
      </w:r>
    </w:p>
  </w:footnote>
  <w:footnote w:type="continuationSeparator" w:id="0">
    <w:p w14:paraId="706ADD50" w14:textId="77777777" w:rsidR="008C791A" w:rsidRDefault="008C79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185A" w14:textId="77777777" w:rsidR="00FF52D0" w:rsidRDefault="00FF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E38" w14:textId="4C7E7DE6" w:rsidR="00315382" w:rsidRDefault="00315382" w:rsidP="00315382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4FDEEFBD" w14:textId="77DE28CC" w:rsidR="008C791A" w:rsidRDefault="002B2398" w:rsidP="00315382">
    <w:pPr>
      <w:pStyle w:val="Header"/>
      <w:jc w:val="right"/>
      <w:rPr>
        <w:rtl/>
      </w:rPr>
    </w:pPr>
    <w:r w:rsidRPr="002B2398">
      <w:rPr>
        <w:rtl/>
      </w:rPr>
      <w:t xml:space="preserve">מרכז (מחוזי) 218/23 </w:t>
    </w:r>
  </w:p>
  <w:p w14:paraId="4C15B093" w14:textId="1DEA342B" w:rsidR="0035514F" w:rsidRDefault="00315382" w:rsidP="00315382">
    <w:pPr>
      <w:pStyle w:val="Header"/>
      <w:jc w:val="right"/>
    </w:pPr>
    <w:r>
      <w:rPr>
        <w:rFonts w:hint="cs"/>
        <w:rtl/>
      </w:rPr>
      <w:t xml:space="preserve"> התובע הצבאי נ' </w:t>
    </w:r>
    <w:r>
      <w:rPr>
        <w:rFonts w:hint="cs"/>
      </w:rPr>
      <w:t>X</w:t>
    </w:r>
    <w:r w:rsidR="0035514F">
      <w:rPr>
        <w:rFonts w:hint="cs"/>
        <w:rtl/>
      </w:rPr>
      <w:t>/</w:t>
    </w:r>
    <w:r>
      <w:rPr>
        <w:rFonts w:hint="cs"/>
      </w:rPr>
      <w:t>XXX</w:t>
    </w:r>
    <w:r w:rsidR="002B2398" w:rsidRPr="002B2398">
      <w:rPr>
        <w:rtl/>
      </w:rPr>
      <w:t xml:space="preserve"> רב"ט </w:t>
    </w:r>
    <w:r>
      <w:rPr>
        <w:rFonts w:hint="cs"/>
        <w:rtl/>
      </w:rPr>
      <w:t>ד' ב'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C0D2" w14:textId="77777777" w:rsidR="00FF52D0" w:rsidRDefault="00FF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B14A8"/>
    <w:rsid w:val="001D0FB5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2516"/>
    <w:rsid w:val="00253957"/>
    <w:rsid w:val="002572B8"/>
    <w:rsid w:val="0026170D"/>
    <w:rsid w:val="00263F6B"/>
    <w:rsid w:val="0027329F"/>
    <w:rsid w:val="00277102"/>
    <w:rsid w:val="002B2398"/>
    <w:rsid w:val="002C48DB"/>
    <w:rsid w:val="002D7015"/>
    <w:rsid w:val="00315382"/>
    <w:rsid w:val="003310B7"/>
    <w:rsid w:val="003508A0"/>
    <w:rsid w:val="0035514F"/>
    <w:rsid w:val="00355CF8"/>
    <w:rsid w:val="003656B2"/>
    <w:rsid w:val="003831CD"/>
    <w:rsid w:val="003C5E65"/>
    <w:rsid w:val="003D3447"/>
    <w:rsid w:val="00406034"/>
    <w:rsid w:val="004328A2"/>
    <w:rsid w:val="00497B14"/>
    <w:rsid w:val="004D3169"/>
    <w:rsid w:val="004E1C06"/>
    <w:rsid w:val="00502FB3"/>
    <w:rsid w:val="005247C4"/>
    <w:rsid w:val="00544DF0"/>
    <w:rsid w:val="00573991"/>
    <w:rsid w:val="005A13A5"/>
    <w:rsid w:val="005E463B"/>
    <w:rsid w:val="005F2747"/>
    <w:rsid w:val="005F5FE7"/>
    <w:rsid w:val="005F660A"/>
    <w:rsid w:val="005F6789"/>
    <w:rsid w:val="00600AE7"/>
    <w:rsid w:val="00631232"/>
    <w:rsid w:val="00641619"/>
    <w:rsid w:val="0066697B"/>
    <w:rsid w:val="0066763F"/>
    <w:rsid w:val="006A07AF"/>
    <w:rsid w:val="006D032D"/>
    <w:rsid w:val="00703305"/>
    <w:rsid w:val="00704B8F"/>
    <w:rsid w:val="0072103C"/>
    <w:rsid w:val="00766095"/>
    <w:rsid w:val="00773C28"/>
    <w:rsid w:val="007D51CC"/>
    <w:rsid w:val="007E4807"/>
    <w:rsid w:val="007F66B9"/>
    <w:rsid w:val="008005DA"/>
    <w:rsid w:val="00824547"/>
    <w:rsid w:val="00837513"/>
    <w:rsid w:val="00854175"/>
    <w:rsid w:val="008547CF"/>
    <w:rsid w:val="0089698D"/>
    <w:rsid w:val="008A52CD"/>
    <w:rsid w:val="008C122D"/>
    <w:rsid w:val="008C791A"/>
    <w:rsid w:val="008D19B9"/>
    <w:rsid w:val="008E0087"/>
    <w:rsid w:val="009214E4"/>
    <w:rsid w:val="00935EAC"/>
    <w:rsid w:val="00954AB5"/>
    <w:rsid w:val="00961B2C"/>
    <w:rsid w:val="009D2F3A"/>
    <w:rsid w:val="009E2F98"/>
    <w:rsid w:val="00A16F58"/>
    <w:rsid w:val="00A31DC5"/>
    <w:rsid w:val="00A552CB"/>
    <w:rsid w:val="00A55B0C"/>
    <w:rsid w:val="00A80693"/>
    <w:rsid w:val="00A80AC4"/>
    <w:rsid w:val="00A87378"/>
    <w:rsid w:val="00AA5E85"/>
    <w:rsid w:val="00AD0C30"/>
    <w:rsid w:val="00B53D56"/>
    <w:rsid w:val="00B96F82"/>
    <w:rsid w:val="00BF57B9"/>
    <w:rsid w:val="00C06A66"/>
    <w:rsid w:val="00C21055"/>
    <w:rsid w:val="00C462B2"/>
    <w:rsid w:val="00C5639A"/>
    <w:rsid w:val="00CA344B"/>
    <w:rsid w:val="00CE1C9F"/>
    <w:rsid w:val="00CF4E99"/>
    <w:rsid w:val="00D02B03"/>
    <w:rsid w:val="00D07CD5"/>
    <w:rsid w:val="00D27025"/>
    <w:rsid w:val="00D33593"/>
    <w:rsid w:val="00D5546E"/>
    <w:rsid w:val="00D8731B"/>
    <w:rsid w:val="00DD47C7"/>
    <w:rsid w:val="00E316AE"/>
    <w:rsid w:val="00E3778F"/>
    <w:rsid w:val="00E50621"/>
    <w:rsid w:val="00E6055D"/>
    <w:rsid w:val="00E6098E"/>
    <w:rsid w:val="00E90F3B"/>
    <w:rsid w:val="00EA0A2D"/>
    <w:rsid w:val="00EB1421"/>
    <w:rsid w:val="00EB5347"/>
    <w:rsid w:val="00EC2989"/>
    <w:rsid w:val="00EE3609"/>
    <w:rsid w:val="00F47F97"/>
    <w:rsid w:val="00F51FA9"/>
    <w:rsid w:val="00F62A6D"/>
    <w:rsid w:val="00F64095"/>
    <w:rsid w:val="00F7360A"/>
    <w:rsid w:val="00F97CEF"/>
    <w:rsid w:val="00FD37B0"/>
    <w:rsid w:val="00FE1228"/>
    <w:rsid w:val="00FE1BB0"/>
    <w:rsid w:val="00FF1596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uiPriority w:val="34"/>
    <w:qFormat/>
    <w:rsid w:val="0025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2024-01-31T11:48:00Z</dcterms:created>
  <dcterms:modified xsi:type="dcterms:W3CDTF">2024-02-12T10:23:00Z</dcterms:modified>
</cp:coreProperties>
</file>