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5E43" w14:textId="4D8F147D" w:rsidR="004645D4" w:rsidRDefault="004645D4" w:rsidP="004645D4">
      <w:pPr>
        <w:tabs>
          <w:tab w:val="right" w:pos="6328"/>
        </w:tabs>
        <w:spacing w:line="480" w:lineRule="auto"/>
        <w:ind w:left="1985" w:right="1985"/>
        <w:rPr>
          <w:rtl/>
        </w:rPr>
      </w:pPr>
      <w:r w:rsidRPr="00164FD0">
        <w:rPr>
          <w:noProof/>
        </w:rPr>
        <w:drawing>
          <wp:inline distT="0" distB="0" distL="0" distR="0" wp14:anchorId="3BCE69E6" wp14:editId="6F9F4E63">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78C16F7F" wp14:editId="5A4BB957">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21F2ECEC" w14:textId="1077A149" w:rsidR="00852165" w:rsidRPr="003C34DE" w:rsidRDefault="00676B42" w:rsidP="00852165">
      <w:pPr>
        <w:spacing w:line="480" w:lineRule="auto"/>
        <w:jc w:val="center"/>
        <w:rPr>
          <w:b/>
          <w:bCs/>
          <w:u w:val="single"/>
          <w:rtl/>
        </w:rPr>
      </w:pPr>
      <w:r w:rsidRPr="00676B42">
        <w:rPr>
          <w:rFonts w:hint="cs"/>
          <w:b/>
          <w:bCs/>
          <w:rtl/>
        </w:rPr>
        <w:t xml:space="preserve">  </w:t>
      </w:r>
      <w:r w:rsidR="00852165" w:rsidRPr="001107B4">
        <w:rPr>
          <w:b/>
          <w:bCs/>
          <w:u w:val="single"/>
          <w:rtl/>
        </w:rPr>
        <w:t>בית הדין הצבאי לערעורים</w:t>
      </w:r>
    </w:p>
    <w:p w14:paraId="7F77E928" w14:textId="77777777" w:rsidR="00852165" w:rsidRPr="001107B4" w:rsidRDefault="00852165" w:rsidP="00852165">
      <w:pPr>
        <w:spacing w:line="480" w:lineRule="auto"/>
        <w:rPr>
          <w:rtl/>
        </w:rPr>
      </w:pPr>
      <w:r w:rsidRPr="001107B4">
        <w:rPr>
          <w:rtl/>
        </w:rPr>
        <w:t>בפני:</w:t>
      </w:r>
    </w:p>
    <w:tbl>
      <w:tblPr>
        <w:bidiVisual/>
        <w:tblW w:w="0" w:type="auto"/>
        <w:jc w:val="center"/>
        <w:tblLook w:val="01E0" w:firstRow="1" w:lastRow="1" w:firstColumn="1" w:lastColumn="1" w:noHBand="0" w:noVBand="0"/>
      </w:tblPr>
      <w:tblGrid>
        <w:gridCol w:w="3119"/>
        <w:gridCol w:w="799"/>
        <w:gridCol w:w="2612"/>
      </w:tblGrid>
      <w:tr w:rsidR="00852165" w:rsidRPr="001107B4" w14:paraId="5EAE5749" w14:textId="77777777" w:rsidTr="00265741">
        <w:trPr>
          <w:trHeight w:val="683"/>
          <w:jc w:val="center"/>
        </w:trPr>
        <w:tc>
          <w:tcPr>
            <w:tcW w:w="3119" w:type="dxa"/>
            <w:hideMark/>
          </w:tcPr>
          <w:p w14:paraId="3638920D" w14:textId="3326FF8D" w:rsidR="00852165" w:rsidRPr="001107B4" w:rsidRDefault="00265741" w:rsidP="00734E8D">
            <w:pPr>
              <w:tabs>
                <w:tab w:val="right" w:pos="1897"/>
              </w:tabs>
              <w:spacing w:line="480" w:lineRule="auto"/>
              <w:rPr>
                <w:b/>
                <w:bCs/>
                <w:rtl/>
              </w:rPr>
            </w:pPr>
            <w:r>
              <w:rPr>
                <w:rFonts w:hint="cs"/>
                <w:b/>
                <w:bCs/>
                <w:rtl/>
              </w:rPr>
              <w:t xml:space="preserve">     </w:t>
            </w:r>
            <w:r w:rsidR="00852165">
              <w:rPr>
                <w:rFonts w:hint="cs"/>
                <w:b/>
                <w:bCs/>
                <w:rtl/>
              </w:rPr>
              <w:t>אלופה</w:t>
            </w:r>
            <w:r>
              <w:rPr>
                <w:rFonts w:hint="cs"/>
                <w:b/>
                <w:bCs/>
                <w:rtl/>
              </w:rPr>
              <w:t xml:space="preserve"> </w:t>
            </w:r>
            <w:r w:rsidR="00D9107F">
              <w:rPr>
                <w:rFonts w:hint="cs"/>
                <w:b/>
                <w:bCs/>
                <w:rtl/>
              </w:rPr>
              <w:t xml:space="preserve"> </w:t>
            </w:r>
            <w:r w:rsidR="00852165" w:rsidRPr="001107B4">
              <w:rPr>
                <w:rFonts w:hint="cs"/>
                <w:b/>
                <w:bCs/>
                <w:rtl/>
              </w:rPr>
              <w:t xml:space="preserve">אורלי  </w:t>
            </w:r>
            <w:r>
              <w:rPr>
                <w:rFonts w:hint="cs"/>
                <w:b/>
                <w:bCs/>
                <w:rtl/>
              </w:rPr>
              <w:t xml:space="preserve">       </w:t>
            </w:r>
            <w:r w:rsidR="00852165" w:rsidRPr="001107B4">
              <w:rPr>
                <w:rFonts w:hint="cs"/>
                <w:b/>
                <w:bCs/>
                <w:rtl/>
              </w:rPr>
              <w:t>מרקמן</w:t>
            </w:r>
          </w:p>
          <w:p w14:paraId="3347D391" w14:textId="0F6BBC64" w:rsidR="00852165" w:rsidRPr="001107B4" w:rsidRDefault="00265741" w:rsidP="00734E8D">
            <w:pPr>
              <w:spacing w:line="480" w:lineRule="auto"/>
              <w:rPr>
                <w:b/>
                <w:bCs/>
                <w:rtl/>
              </w:rPr>
            </w:pPr>
            <w:r>
              <w:rPr>
                <w:rFonts w:hint="cs"/>
                <w:b/>
                <w:bCs/>
                <w:rtl/>
              </w:rPr>
              <w:t xml:space="preserve">     </w:t>
            </w:r>
            <w:r w:rsidR="00852165">
              <w:rPr>
                <w:rFonts w:hint="cs"/>
                <w:b/>
                <w:bCs/>
                <w:rtl/>
              </w:rPr>
              <w:t>תא"ל</w:t>
            </w:r>
            <w:r w:rsidR="00852165" w:rsidRPr="001107B4">
              <w:rPr>
                <w:rFonts w:hint="cs"/>
                <w:b/>
                <w:bCs/>
                <w:rtl/>
              </w:rPr>
              <w:t xml:space="preserve">  </w:t>
            </w:r>
            <w:r>
              <w:rPr>
                <w:rFonts w:hint="cs"/>
                <w:b/>
                <w:bCs/>
                <w:rtl/>
              </w:rPr>
              <w:t xml:space="preserve"> </w:t>
            </w:r>
            <w:r w:rsidR="00D9107F">
              <w:rPr>
                <w:rFonts w:hint="cs"/>
                <w:b/>
                <w:bCs/>
                <w:rtl/>
              </w:rPr>
              <w:t xml:space="preserve"> </w:t>
            </w:r>
            <w:r w:rsidR="00852165" w:rsidRPr="001107B4">
              <w:rPr>
                <w:rFonts w:hint="cs"/>
                <w:b/>
                <w:bCs/>
                <w:rtl/>
              </w:rPr>
              <w:t xml:space="preserve">נועה     </w:t>
            </w:r>
            <w:r>
              <w:rPr>
                <w:rFonts w:hint="cs"/>
                <w:b/>
                <w:bCs/>
                <w:rtl/>
              </w:rPr>
              <w:t xml:space="preserve"> </w:t>
            </w:r>
            <w:r w:rsidR="00852165" w:rsidRPr="001107B4">
              <w:rPr>
                <w:rFonts w:hint="cs"/>
                <w:b/>
                <w:bCs/>
                <w:rtl/>
              </w:rPr>
              <w:t xml:space="preserve"> </w:t>
            </w:r>
            <w:r>
              <w:rPr>
                <w:rFonts w:hint="cs"/>
                <w:b/>
                <w:bCs/>
                <w:rtl/>
              </w:rPr>
              <w:t xml:space="preserve">      </w:t>
            </w:r>
            <w:r w:rsidR="00852165" w:rsidRPr="001107B4">
              <w:rPr>
                <w:rFonts w:hint="cs"/>
                <w:b/>
                <w:bCs/>
                <w:rtl/>
              </w:rPr>
              <w:t xml:space="preserve"> זומר</w:t>
            </w:r>
          </w:p>
          <w:p w14:paraId="658C2928" w14:textId="7D505F7A" w:rsidR="00852165" w:rsidRPr="001107B4" w:rsidRDefault="00265741" w:rsidP="00265741">
            <w:pPr>
              <w:spacing w:line="480" w:lineRule="auto"/>
              <w:rPr>
                <w:b/>
                <w:bCs/>
                <w:rtl/>
              </w:rPr>
            </w:pPr>
            <w:r>
              <w:rPr>
                <w:rFonts w:hint="cs"/>
                <w:b/>
                <w:bCs/>
                <w:rtl/>
              </w:rPr>
              <w:t xml:space="preserve">    </w:t>
            </w:r>
            <w:r w:rsidR="00D9107F">
              <w:rPr>
                <w:rFonts w:hint="cs"/>
                <w:b/>
                <w:bCs/>
                <w:rtl/>
              </w:rPr>
              <w:t xml:space="preserve"> </w:t>
            </w:r>
            <w:r w:rsidR="00852165" w:rsidRPr="001107B4">
              <w:rPr>
                <w:rFonts w:hint="cs"/>
                <w:b/>
                <w:bCs/>
                <w:rtl/>
              </w:rPr>
              <w:t>אל"</w:t>
            </w:r>
            <w:r w:rsidR="00D9107F">
              <w:rPr>
                <w:rFonts w:hint="cs"/>
                <w:b/>
                <w:bCs/>
                <w:rtl/>
              </w:rPr>
              <w:t>ם</w:t>
            </w:r>
            <w:r w:rsidR="00852165" w:rsidRPr="001107B4">
              <w:rPr>
                <w:rFonts w:hint="cs"/>
                <w:b/>
                <w:bCs/>
                <w:rtl/>
              </w:rPr>
              <w:t xml:space="preserve"> </w:t>
            </w:r>
            <w:r>
              <w:rPr>
                <w:rFonts w:hint="cs"/>
                <w:b/>
                <w:bCs/>
                <w:rtl/>
              </w:rPr>
              <w:t xml:space="preserve"> </w:t>
            </w:r>
            <w:r w:rsidR="00852165">
              <w:rPr>
                <w:rFonts w:hint="cs"/>
                <w:b/>
                <w:bCs/>
                <w:rtl/>
              </w:rPr>
              <w:t>מאיה</w:t>
            </w:r>
            <w:r w:rsidR="00852165" w:rsidRPr="001107B4">
              <w:rPr>
                <w:rFonts w:hint="cs"/>
                <w:b/>
                <w:bCs/>
                <w:rtl/>
              </w:rPr>
              <w:t xml:space="preserve">  </w:t>
            </w:r>
            <w:r w:rsidR="00852165">
              <w:rPr>
                <w:rFonts w:hint="cs"/>
                <w:b/>
                <w:bCs/>
                <w:rtl/>
              </w:rPr>
              <w:t>גולדשמידט</w:t>
            </w:r>
            <w:r w:rsidR="00852165" w:rsidRPr="001107B4">
              <w:rPr>
                <w:rFonts w:hint="cs"/>
                <w:b/>
                <w:bCs/>
                <w:rtl/>
              </w:rPr>
              <w:t xml:space="preserve">  </w:t>
            </w:r>
          </w:p>
          <w:p w14:paraId="4D13C84F" w14:textId="77777777" w:rsidR="00852165" w:rsidRPr="001107B4" w:rsidRDefault="00852165" w:rsidP="00734E8D">
            <w:pPr>
              <w:spacing w:line="480" w:lineRule="auto"/>
              <w:rPr>
                <w:rtl/>
              </w:rPr>
            </w:pPr>
          </w:p>
        </w:tc>
        <w:tc>
          <w:tcPr>
            <w:tcW w:w="799" w:type="dxa"/>
            <w:hideMark/>
          </w:tcPr>
          <w:p w14:paraId="0AF8644E" w14:textId="77777777" w:rsidR="00852165" w:rsidRPr="001107B4" w:rsidRDefault="00852165" w:rsidP="00734E8D">
            <w:pPr>
              <w:spacing w:line="480" w:lineRule="auto"/>
              <w:rPr>
                <w:b/>
                <w:bCs/>
                <w:rtl/>
              </w:rPr>
            </w:pPr>
            <w:r w:rsidRPr="001107B4">
              <w:rPr>
                <w:rFonts w:hint="cs"/>
                <w:b/>
                <w:bCs/>
                <w:rtl/>
              </w:rPr>
              <w:t xml:space="preserve">  </w:t>
            </w:r>
            <w:r w:rsidRPr="001107B4">
              <w:rPr>
                <w:b/>
                <w:bCs/>
                <w:rtl/>
              </w:rPr>
              <w:t>-</w:t>
            </w:r>
          </w:p>
          <w:p w14:paraId="762CC37F" w14:textId="77777777" w:rsidR="00852165" w:rsidRPr="001107B4" w:rsidRDefault="00852165" w:rsidP="00734E8D">
            <w:pPr>
              <w:spacing w:line="480" w:lineRule="auto"/>
              <w:rPr>
                <w:b/>
                <w:bCs/>
                <w:rtl/>
              </w:rPr>
            </w:pPr>
            <w:r w:rsidRPr="001107B4">
              <w:rPr>
                <w:rtl/>
              </w:rPr>
              <w:t xml:space="preserve">  </w:t>
            </w:r>
            <w:r w:rsidRPr="001107B4">
              <w:rPr>
                <w:b/>
                <w:bCs/>
                <w:rtl/>
              </w:rPr>
              <w:t xml:space="preserve">-      </w:t>
            </w:r>
          </w:p>
          <w:p w14:paraId="2E54E410" w14:textId="77777777" w:rsidR="00852165" w:rsidRPr="001107B4" w:rsidRDefault="00852165" w:rsidP="00734E8D">
            <w:pPr>
              <w:spacing w:line="480" w:lineRule="auto"/>
              <w:rPr>
                <w:b/>
                <w:bCs/>
                <w:rtl/>
              </w:rPr>
            </w:pPr>
            <w:r w:rsidRPr="001107B4">
              <w:rPr>
                <w:rFonts w:hint="cs"/>
                <w:rtl/>
              </w:rPr>
              <w:t xml:space="preserve">  </w:t>
            </w:r>
            <w:r w:rsidRPr="001107B4">
              <w:rPr>
                <w:rFonts w:hint="cs"/>
                <w:b/>
                <w:bCs/>
                <w:rtl/>
              </w:rPr>
              <w:t>-</w:t>
            </w:r>
          </w:p>
          <w:p w14:paraId="09BDF649" w14:textId="77777777" w:rsidR="00852165" w:rsidRPr="001107B4" w:rsidRDefault="00852165" w:rsidP="00734E8D">
            <w:pPr>
              <w:spacing w:line="480" w:lineRule="auto"/>
              <w:rPr>
                <w:rtl/>
              </w:rPr>
            </w:pPr>
          </w:p>
        </w:tc>
        <w:tc>
          <w:tcPr>
            <w:tcW w:w="2612" w:type="dxa"/>
            <w:hideMark/>
          </w:tcPr>
          <w:p w14:paraId="579DF209" w14:textId="028B1FFF" w:rsidR="00852165" w:rsidRPr="001107B4" w:rsidRDefault="00442F7D" w:rsidP="00734E8D">
            <w:pPr>
              <w:spacing w:line="480" w:lineRule="auto"/>
              <w:rPr>
                <w:rtl/>
              </w:rPr>
            </w:pPr>
            <w:r>
              <w:rPr>
                <w:rFonts w:hint="cs"/>
                <w:rtl/>
              </w:rPr>
              <w:t>ה</w:t>
            </w:r>
            <w:r w:rsidR="00852165">
              <w:rPr>
                <w:rFonts w:hint="cs"/>
                <w:rtl/>
              </w:rPr>
              <w:t>נשיאה</w:t>
            </w:r>
          </w:p>
          <w:p w14:paraId="615B20DA" w14:textId="1E3647EB" w:rsidR="00852165" w:rsidRPr="001107B4" w:rsidRDefault="00852165" w:rsidP="00734E8D">
            <w:pPr>
              <w:spacing w:line="480" w:lineRule="auto"/>
              <w:rPr>
                <w:rtl/>
              </w:rPr>
            </w:pPr>
            <w:r>
              <w:rPr>
                <w:rFonts w:hint="cs"/>
                <w:rtl/>
              </w:rPr>
              <w:t>המשנה לנשיאה</w:t>
            </w:r>
          </w:p>
          <w:p w14:paraId="00084662" w14:textId="2371C968" w:rsidR="00852165" w:rsidRPr="001107B4" w:rsidRDefault="00852165" w:rsidP="00734E8D">
            <w:pPr>
              <w:spacing w:line="480" w:lineRule="auto"/>
              <w:rPr>
                <w:rtl/>
              </w:rPr>
            </w:pPr>
            <w:r w:rsidRPr="001107B4">
              <w:rPr>
                <w:rFonts w:hint="cs"/>
                <w:rtl/>
              </w:rPr>
              <w:t>שופט</w:t>
            </w:r>
            <w:r>
              <w:rPr>
                <w:rFonts w:hint="cs"/>
                <w:rtl/>
              </w:rPr>
              <w:t>ת</w:t>
            </w:r>
          </w:p>
          <w:p w14:paraId="5880C264" w14:textId="77777777" w:rsidR="00852165" w:rsidRPr="001107B4" w:rsidRDefault="00852165" w:rsidP="00734E8D">
            <w:pPr>
              <w:spacing w:line="480" w:lineRule="auto"/>
              <w:rPr>
                <w:rtl/>
              </w:rPr>
            </w:pPr>
          </w:p>
        </w:tc>
      </w:tr>
    </w:tbl>
    <w:p w14:paraId="615774A4" w14:textId="77777777" w:rsidR="00852165" w:rsidRPr="001107B4" w:rsidRDefault="00852165" w:rsidP="00852165">
      <w:pPr>
        <w:spacing w:after="120"/>
        <w:rPr>
          <w:rtl/>
        </w:rPr>
      </w:pPr>
      <w:r w:rsidRPr="001107B4">
        <w:rPr>
          <w:rtl/>
        </w:rPr>
        <w:t>בעניין:</w:t>
      </w:r>
    </w:p>
    <w:p w14:paraId="7322B1B5" w14:textId="32543587" w:rsidR="00852165" w:rsidRPr="001107B4" w:rsidRDefault="00EF1103" w:rsidP="00676B42">
      <w:pPr>
        <w:spacing w:before="100" w:beforeAutospacing="1" w:after="120" w:line="240" w:lineRule="auto"/>
        <w:jc w:val="center"/>
        <w:rPr>
          <w:rtl/>
        </w:rPr>
      </w:pPr>
      <w:r>
        <w:rPr>
          <w:rFonts w:hint="cs"/>
          <w:b/>
          <w:bCs/>
          <w:rtl/>
        </w:rPr>
        <w:t>***</w:t>
      </w:r>
      <w:r w:rsidR="00852165" w:rsidRPr="00852165">
        <w:rPr>
          <w:b/>
          <w:bCs/>
          <w:rtl/>
        </w:rPr>
        <w:t xml:space="preserve"> סגן ר</w:t>
      </w:r>
      <w:r>
        <w:rPr>
          <w:rFonts w:hint="cs"/>
          <w:b/>
          <w:bCs/>
          <w:rtl/>
        </w:rPr>
        <w:t>'</w:t>
      </w:r>
      <w:r w:rsidR="00852165" w:rsidRPr="00852165">
        <w:rPr>
          <w:b/>
          <w:bCs/>
          <w:rtl/>
        </w:rPr>
        <w:t xml:space="preserve"> כ</w:t>
      </w:r>
      <w:r>
        <w:rPr>
          <w:rFonts w:hint="cs"/>
          <w:b/>
          <w:bCs/>
          <w:rtl/>
        </w:rPr>
        <w:t>'</w:t>
      </w:r>
      <w:r w:rsidR="00852165" w:rsidRPr="00852165">
        <w:rPr>
          <w:b/>
          <w:bCs/>
          <w:rtl/>
        </w:rPr>
        <w:t xml:space="preserve"> </w:t>
      </w:r>
      <w:r w:rsidR="00852165" w:rsidRPr="001107B4">
        <w:rPr>
          <w:b/>
          <w:bCs/>
          <w:rtl/>
        </w:rPr>
        <w:t>–</w:t>
      </w:r>
      <w:r w:rsidR="00852165" w:rsidRPr="001107B4">
        <w:rPr>
          <w:rtl/>
        </w:rPr>
        <w:t xml:space="preserve"> המערער (ע"י ב"כ, </w:t>
      </w:r>
      <w:r w:rsidR="00852165">
        <w:rPr>
          <w:rFonts w:ascii="Tahoma" w:hAnsi="Tahoma" w:hint="cs"/>
          <w:rtl/>
        </w:rPr>
        <w:t>עו"ד שי רודה</w:t>
      </w:r>
      <w:r w:rsidR="00852165" w:rsidRPr="001107B4">
        <w:rPr>
          <w:rtl/>
        </w:rPr>
        <w:t>)</w:t>
      </w:r>
    </w:p>
    <w:p w14:paraId="15086FCE" w14:textId="77777777" w:rsidR="00852165" w:rsidRPr="001107B4" w:rsidRDefault="00852165" w:rsidP="00676B42">
      <w:pPr>
        <w:spacing w:before="100" w:beforeAutospacing="1" w:after="120" w:line="240" w:lineRule="auto"/>
        <w:jc w:val="center"/>
        <w:rPr>
          <w:b/>
          <w:bCs/>
          <w:rtl/>
        </w:rPr>
      </w:pPr>
      <w:r w:rsidRPr="001107B4">
        <w:rPr>
          <w:b/>
          <w:bCs/>
          <w:rtl/>
        </w:rPr>
        <w:t>נ ג ד</w:t>
      </w:r>
    </w:p>
    <w:p w14:paraId="042491F5" w14:textId="34C9BB3F" w:rsidR="00852165" w:rsidRDefault="00852165" w:rsidP="00676B42">
      <w:pPr>
        <w:spacing w:before="100" w:beforeAutospacing="1" w:after="120" w:line="240" w:lineRule="auto"/>
        <w:jc w:val="center"/>
        <w:rPr>
          <w:rFonts w:ascii="Tahoma" w:hAnsi="Tahoma"/>
          <w:rtl/>
        </w:rPr>
      </w:pPr>
      <w:r w:rsidRPr="001107B4">
        <w:rPr>
          <w:b/>
          <w:bCs/>
          <w:rtl/>
        </w:rPr>
        <w:t>התובע הצבאי הראשי –</w:t>
      </w:r>
      <w:r w:rsidRPr="001107B4">
        <w:rPr>
          <w:rtl/>
        </w:rPr>
        <w:t xml:space="preserve"> המשיב (ע"י ב"כ, </w:t>
      </w:r>
      <w:r w:rsidR="00265741">
        <w:rPr>
          <w:rFonts w:ascii="Tahoma" w:hAnsi="Tahoma" w:hint="cs"/>
          <w:rtl/>
        </w:rPr>
        <w:t>רס"ן אליסף מלמד</w:t>
      </w:r>
      <w:r w:rsidRPr="001107B4">
        <w:rPr>
          <w:rtl/>
        </w:rPr>
        <w:t>)</w:t>
      </w:r>
    </w:p>
    <w:p w14:paraId="3A212B31" w14:textId="77777777" w:rsidR="00676B42" w:rsidRPr="00676B42" w:rsidRDefault="00676B42" w:rsidP="00676B42">
      <w:pPr>
        <w:spacing w:before="100" w:beforeAutospacing="1" w:after="120" w:line="240" w:lineRule="auto"/>
        <w:jc w:val="center"/>
        <w:rPr>
          <w:rFonts w:ascii="Tahoma" w:hAnsi="Tahoma"/>
          <w:sz w:val="20"/>
          <w:szCs w:val="20"/>
          <w:rtl/>
        </w:rPr>
      </w:pPr>
    </w:p>
    <w:p w14:paraId="0A0015FC" w14:textId="186C85B8" w:rsidR="00852165" w:rsidRPr="001107B4" w:rsidRDefault="00852165" w:rsidP="00852165">
      <w:pPr>
        <w:spacing w:before="120"/>
        <w:rPr>
          <w:rtl/>
        </w:rPr>
      </w:pPr>
      <w:r w:rsidRPr="001107B4">
        <w:rPr>
          <w:rtl/>
        </w:rPr>
        <w:t>ערעור על פסק</w:t>
      </w:r>
      <w:r w:rsidRPr="001107B4">
        <w:t>-</w:t>
      </w:r>
      <w:r w:rsidRPr="001107B4">
        <w:rPr>
          <w:rtl/>
        </w:rPr>
        <w:t xml:space="preserve">דין של בית הדין הצבאי המחוזי במחוז שיפוטי </w:t>
      </w:r>
      <w:r w:rsidRPr="001107B4">
        <w:rPr>
          <w:rFonts w:hint="cs"/>
          <w:rtl/>
        </w:rPr>
        <w:t>ה</w:t>
      </w:r>
      <w:r>
        <w:rPr>
          <w:rFonts w:hint="cs"/>
          <w:rtl/>
        </w:rPr>
        <w:t>דרום</w:t>
      </w:r>
      <w:r w:rsidRPr="001107B4">
        <w:rPr>
          <w:rtl/>
        </w:rPr>
        <w:t xml:space="preserve"> שניתן בתיק </w:t>
      </w:r>
      <w:r>
        <w:rPr>
          <w:rFonts w:hint="cs"/>
          <w:rtl/>
        </w:rPr>
        <w:t>דרום</w:t>
      </w:r>
      <w:r w:rsidRPr="001107B4">
        <w:rPr>
          <w:rtl/>
        </w:rPr>
        <w:t xml:space="preserve"> (מחוזי) </w:t>
      </w:r>
      <w:r w:rsidR="00265741">
        <w:rPr>
          <w:rFonts w:hint="cs"/>
          <w:rtl/>
        </w:rPr>
        <w:t>88</w:t>
      </w:r>
      <w:r w:rsidRPr="001107B4">
        <w:rPr>
          <w:rtl/>
        </w:rPr>
        <w:t>/</w:t>
      </w:r>
      <w:r>
        <w:rPr>
          <w:rFonts w:hint="cs"/>
          <w:rtl/>
        </w:rPr>
        <w:t>2</w:t>
      </w:r>
      <w:r w:rsidR="00265741">
        <w:rPr>
          <w:rFonts w:hint="cs"/>
          <w:rtl/>
        </w:rPr>
        <w:t>2</w:t>
      </w:r>
      <w:r w:rsidRPr="001107B4">
        <w:rPr>
          <w:rtl/>
        </w:rPr>
        <w:t xml:space="preserve"> (סא"ל </w:t>
      </w:r>
      <w:r>
        <w:rPr>
          <w:rFonts w:hint="cs"/>
          <w:rtl/>
        </w:rPr>
        <w:t>טובי הארט</w:t>
      </w:r>
      <w:r w:rsidRPr="001107B4">
        <w:rPr>
          <w:rtl/>
        </w:rPr>
        <w:t xml:space="preserve"> –</w:t>
      </w:r>
      <w:r w:rsidR="00D9107F">
        <w:rPr>
          <w:rFonts w:hint="cs"/>
          <w:rtl/>
        </w:rPr>
        <w:t>אב"ד; רס"ן עאטף סואעד  -שופט; סרן יותם חכים - שופט</w:t>
      </w:r>
      <w:r w:rsidR="00265741">
        <w:rPr>
          <w:rFonts w:hint="cs"/>
          <w:rtl/>
        </w:rPr>
        <w:t xml:space="preserve">) </w:t>
      </w:r>
      <w:r w:rsidRPr="001107B4">
        <w:rPr>
          <w:rtl/>
        </w:rPr>
        <w:t xml:space="preserve">ביום </w:t>
      </w:r>
      <w:r w:rsidR="00265741">
        <w:rPr>
          <w:rFonts w:hint="cs"/>
          <w:rtl/>
        </w:rPr>
        <w:t>3 במאי 2022</w:t>
      </w:r>
      <w:r w:rsidRPr="001107B4">
        <w:rPr>
          <w:rtl/>
        </w:rPr>
        <w:t>. הערעור</w:t>
      </w:r>
      <w:r>
        <w:rPr>
          <w:rFonts w:hint="cs"/>
          <w:rtl/>
        </w:rPr>
        <w:t xml:space="preserve"> (חומרת העונש)</w:t>
      </w:r>
      <w:r w:rsidRPr="001107B4">
        <w:rPr>
          <w:rtl/>
        </w:rPr>
        <w:t xml:space="preserve"> </w:t>
      </w:r>
      <w:r w:rsidR="00265741">
        <w:rPr>
          <w:rFonts w:hint="cs"/>
          <w:rtl/>
        </w:rPr>
        <w:t>התקבל חלקית</w:t>
      </w:r>
      <w:r w:rsidRPr="001107B4">
        <w:rPr>
          <w:rtl/>
        </w:rPr>
        <w:t>.</w:t>
      </w:r>
    </w:p>
    <w:p w14:paraId="41C0F292" w14:textId="40581DF1" w:rsidR="000B2D46" w:rsidRPr="00CE7F25" w:rsidRDefault="000B2D46" w:rsidP="00B42A4B">
      <w:pPr>
        <w:spacing w:line="348" w:lineRule="auto"/>
        <w:jc w:val="center"/>
        <w:rPr>
          <w:b/>
          <w:bCs/>
          <w:sz w:val="20"/>
          <w:szCs w:val="20"/>
          <w:u w:val="single"/>
          <w:rtl/>
        </w:rPr>
      </w:pPr>
    </w:p>
    <w:p w14:paraId="22269B70" w14:textId="0966C370" w:rsidR="005E2612" w:rsidRDefault="00D3061E" w:rsidP="00676B42">
      <w:pPr>
        <w:spacing w:line="276" w:lineRule="auto"/>
        <w:jc w:val="center"/>
        <w:rPr>
          <w:b/>
          <w:bCs/>
          <w:u w:val="single"/>
          <w:rtl/>
        </w:rPr>
      </w:pPr>
      <w:r>
        <w:rPr>
          <w:rFonts w:hint="cs"/>
          <w:b/>
          <w:bCs/>
          <w:u w:val="single"/>
          <w:rtl/>
        </w:rPr>
        <w:t>פ</w:t>
      </w:r>
      <w:r w:rsidR="00265741">
        <w:rPr>
          <w:rFonts w:hint="cs"/>
          <w:b/>
          <w:bCs/>
          <w:u w:val="single"/>
          <w:rtl/>
        </w:rPr>
        <w:t xml:space="preserve"> </w:t>
      </w:r>
      <w:r>
        <w:rPr>
          <w:rFonts w:hint="cs"/>
          <w:b/>
          <w:bCs/>
          <w:u w:val="single"/>
          <w:rtl/>
        </w:rPr>
        <w:t>ס</w:t>
      </w:r>
      <w:r w:rsidR="00265741">
        <w:rPr>
          <w:rFonts w:hint="cs"/>
          <w:b/>
          <w:bCs/>
          <w:u w:val="single"/>
          <w:rtl/>
        </w:rPr>
        <w:t xml:space="preserve"> </w:t>
      </w:r>
      <w:r>
        <w:rPr>
          <w:rFonts w:hint="cs"/>
          <w:b/>
          <w:bCs/>
          <w:u w:val="single"/>
          <w:rtl/>
        </w:rPr>
        <w:t>ק</w:t>
      </w:r>
      <w:r w:rsidR="00265741">
        <w:rPr>
          <w:rFonts w:hint="cs"/>
          <w:b/>
          <w:bCs/>
          <w:u w:val="single"/>
          <w:rtl/>
        </w:rPr>
        <w:t xml:space="preserve"> </w:t>
      </w:r>
      <w:r w:rsidR="00265741">
        <w:rPr>
          <w:b/>
          <w:bCs/>
          <w:u w:val="single"/>
          <w:rtl/>
        </w:rPr>
        <w:t>–</w:t>
      </w:r>
      <w:r>
        <w:rPr>
          <w:rFonts w:hint="cs"/>
          <w:b/>
          <w:bCs/>
          <w:u w:val="single"/>
          <w:rtl/>
        </w:rPr>
        <w:t xml:space="preserve"> ד</w:t>
      </w:r>
      <w:r w:rsidR="00265741">
        <w:rPr>
          <w:rFonts w:hint="cs"/>
          <w:b/>
          <w:bCs/>
          <w:u w:val="single"/>
          <w:rtl/>
        </w:rPr>
        <w:t xml:space="preserve"> </w:t>
      </w:r>
      <w:r>
        <w:rPr>
          <w:rFonts w:hint="cs"/>
          <w:b/>
          <w:bCs/>
          <w:u w:val="single"/>
          <w:rtl/>
        </w:rPr>
        <w:t>י</w:t>
      </w:r>
      <w:r w:rsidR="00265741">
        <w:rPr>
          <w:rFonts w:hint="cs"/>
          <w:b/>
          <w:bCs/>
          <w:u w:val="single"/>
          <w:rtl/>
        </w:rPr>
        <w:t xml:space="preserve"> </w:t>
      </w:r>
      <w:r>
        <w:rPr>
          <w:rFonts w:hint="cs"/>
          <w:b/>
          <w:bCs/>
          <w:u w:val="single"/>
          <w:rtl/>
        </w:rPr>
        <w:t>ן</w:t>
      </w:r>
    </w:p>
    <w:p w14:paraId="3E25EDB5" w14:textId="77777777" w:rsidR="00AD7AB6" w:rsidRPr="00265741" w:rsidRDefault="00AD7AB6" w:rsidP="00676B42">
      <w:pPr>
        <w:spacing w:line="276" w:lineRule="auto"/>
        <w:jc w:val="center"/>
        <w:rPr>
          <w:b/>
          <w:bCs/>
          <w:sz w:val="4"/>
          <w:szCs w:val="4"/>
          <w:u w:val="single"/>
          <w:rtl/>
        </w:rPr>
      </w:pPr>
    </w:p>
    <w:p w14:paraId="501D004F" w14:textId="77777777" w:rsidR="00706D6E" w:rsidRDefault="00A37435" w:rsidP="00676B42">
      <w:pPr>
        <w:spacing w:line="276" w:lineRule="auto"/>
        <w:rPr>
          <w:b/>
          <w:bCs/>
          <w:u w:val="single"/>
          <w:rtl/>
        </w:rPr>
      </w:pPr>
      <w:r>
        <w:rPr>
          <w:rFonts w:hint="cs"/>
          <w:b/>
          <w:bCs/>
          <w:u w:val="single"/>
          <w:rtl/>
        </w:rPr>
        <w:t>כללי</w:t>
      </w:r>
      <w:r w:rsidR="00706D6E" w:rsidRPr="002364F2">
        <w:rPr>
          <w:rFonts w:hint="cs"/>
          <w:b/>
          <w:bCs/>
          <w:u w:val="single"/>
          <w:rtl/>
        </w:rPr>
        <w:t xml:space="preserve"> </w:t>
      </w:r>
    </w:p>
    <w:p w14:paraId="03A1C273" w14:textId="77777777" w:rsidR="00BC2635" w:rsidRPr="00676B42" w:rsidRDefault="00BC2635" w:rsidP="00B42A4B">
      <w:pPr>
        <w:spacing w:line="348" w:lineRule="auto"/>
        <w:rPr>
          <w:b/>
          <w:bCs/>
          <w:sz w:val="4"/>
          <w:szCs w:val="4"/>
          <w:u w:val="single"/>
          <w:rtl/>
        </w:rPr>
      </w:pPr>
    </w:p>
    <w:p w14:paraId="6FAD70E5" w14:textId="03AFD88A" w:rsidR="004B0EC0" w:rsidRDefault="004B0EC0" w:rsidP="00070BEE">
      <w:pPr>
        <w:pStyle w:val="ListParagraph"/>
        <w:numPr>
          <w:ilvl w:val="0"/>
          <w:numId w:val="20"/>
        </w:numPr>
        <w:tabs>
          <w:tab w:val="left" w:pos="276"/>
        </w:tabs>
        <w:spacing w:after="200"/>
        <w:ind w:left="-7" w:firstLine="0"/>
        <w:contextualSpacing/>
      </w:pPr>
      <w:r>
        <w:rPr>
          <w:rFonts w:hint="cs"/>
          <w:rtl/>
        </w:rPr>
        <w:t xml:space="preserve">המערער, </w:t>
      </w:r>
      <w:r w:rsidR="004133F9">
        <w:rPr>
          <w:rFonts w:hint="cs"/>
          <w:rtl/>
        </w:rPr>
        <w:t>סגן ר</w:t>
      </w:r>
      <w:r w:rsidR="00EF1103">
        <w:rPr>
          <w:rFonts w:hint="cs"/>
          <w:rtl/>
        </w:rPr>
        <w:t>'</w:t>
      </w:r>
      <w:r w:rsidR="004133F9">
        <w:rPr>
          <w:rFonts w:hint="cs"/>
          <w:rtl/>
        </w:rPr>
        <w:t xml:space="preserve"> כ</w:t>
      </w:r>
      <w:r w:rsidR="00EF1103">
        <w:rPr>
          <w:rFonts w:hint="cs"/>
          <w:rtl/>
        </w:rPr>
        <w:t>'</w:t>
      </w:r>
      <w:r w:rsidR="004133F9">
        <w:rPr>
          <w:rFonts w:hint="cs"/>
          <w:rtl/>
        </w:rPr>
        <w:t>, הורשע ע</w:t>
      </w:r>
      <w:r w:rsidR="00CA7797">
        <w:rPr>
          <w:rFonts w:hint="cs"/>
          <w:rtl/>
        </w:rPr>
        <w:t>ל</w:t>
      </w:r>
      <w:r w:rsidR="00CA7797" w:rsidRPr="00CA7797">
        <w:rPr>
          <w:rFonts w:hint="cs"/>
          <w:rtl/>
        </w:rPr>
        <w:t>-</w:t>
      </w:r>
      <w:r w:rsidR="004133F9">
        <w:rPr>
          <w:rFonts w:hint="cs"/>
          <w:rtl/>
        </w:rPr>
        <w:t>פי הודאתו</w:t>
      </w:r>
      <w:r w:rsidR="00631479">
        <w:rPr>
          <w:rFonts w:hint="cs"/>
          <w:rtl/>
        </w:rPr>
        <w:t xml:space="preserve"> </w:t>
      </w:r>
      <w:r w:rsidR="004133F9">
        <w:rPr>
          <w:rFonts w:hint="cs"/>
          <w:rtl/>
        </w:rPr>
        <w:t>בכתב אישום מתוקן בעבירות של שימוש בסם מסוכן, לפי סעיף 7(א)</w:t>
      </w:r>
      <w:r w:rsidR="00942673">
        <w:rPr>
          <w:rFonts w:hint="cs"/>
          <w:rtl/>
        </w:rPr>
        <w:t xml:space="preserve"> ו-</w:t>
      </w:r>
      <w:r w:rsidR="004133F9">
        <w:rPr>
          <w:rFonts w:hint="cs"/>
          <w:rtl/>
        </w:rPr>
        <w:t>(ג) סיפ</w:t>
      </w:r>
      <w:r w:rsidR="00942673">
        <w:rPr>
          <w:rFonts w:hint="cs"/>
          <w:rtl/>
        </w:rPr>
        <w:t>ה</w:t>
      </w:r>
      <w:r w:rsidR="004133F9">
        <w:rPr>
          <w:rFonts w:hint="cs"/>
          <w:rtl/>
        </w:rPr>
        <w:t xml:space="preserve"> לפקודת הסמים המסוכנים [נוסח חדש], התשל"ג</w:t>
      </w:r>
      <w:r w:rsidR="00631479">
        <w:rPr>
          <w:rFonts w:hint="cs"/>
          <w:rtl/>
        </w:rPr>
        <w:t>-</w:t>
      </w:r>
      <w:r w:rsidR="00265741">
        <w:rPr>
          <w:rFonts w:hint="cs"/>
          <w:rtl/>
        </w:rPr>
        <w:t>1977</w:t>
      </w:r>
      <w:r w:rsidR="004133F9">
        <w:rPr>
          <w:rFonts w:hint="cs"/>
          <w:rtl/>
        </w:rPr>
        <w:t>, סיוע להחזקת סם מ</w:t>
      </w:r>
      <w:r w:rsidR="00631479">
        <w:rPr>
          <w:rFonts w:hint="cs"/>
          <w:rtl/>
        </w:rPr>
        <w:t>ס</w:t>
      </w:r>
      <w:r w:rsidR="004133F9">
        <w:rPr>
          <w:rFonts w:hint="cs"/>
          <w:rtl/>
        </w:rPr>
        <w:t>וכן</w:t>
      </w:r>
      <w:r w:rsidR="006316AA">
        <w:rPr>
          <w:rFonts w:hint="cs"/>
          <w:rtl/>
        </w:rPr>
        <w:t>,</w:t>
      </w:r>
      <w:r w:rsidR="004133F9">
        <w:rPr>
          <w:rFonts w:hint="cs"/>
          <w:rtl/>
        </w:rPr>
        <w:t xml:space="preserve"> לפי סעיפים 7(א)</w:t>
      </w:r>
      <w:r w:rsidR="00942673">
        <w:rPr>
          <w:rFonts w:hint="cs"/>
          <w:rtl/>
        </w:rPr>
        <w:t xml:space="preserve"> ו-</w:t>
      </w:r>
      <w:r w:rsidR="004133F9">
        <w:rPr>
          <w:rFonts w:hint="cs"/>
          <w:rtl/>
        </w:rPr>
        <w:t>(ג) לפקודת הסמים המסוכנים וסעיפים 31 ו-32 לחוק העונשין, התש</w:t>
      </w:r>
      <w:r w:rsidR="00631479">
        <w:rPr>
          <w:rFonts w:hint="cs"/>
          <w:rtl/>
        </w:rPr>
        <w:t>ל"ז</w:t>
      </w:r>
      <w:r w:rsidR="00265741">
        <w:rPr>
          <w:rFonts w:hint="cs"/>
          <w:rtl/>
        </w:rPr>
        <w:t>-1977</w:t>
      </w:r>
      <w:r w:rsidR="00631479">
        <w:rPr>
          <w:rFonts w:hint="cs"/>
          <w:rtl/>
        </w:rPr>
        <w:t>,</w:t>
      </w:r>
      <w:r w:rsidR="004133F9">
        <w:rPr>
          <w:rFonts w:hint="cs"/>
          <w:rtl/>
        </w:rPr>
        <w:t xml:space="preserve"> הפ</w:t>
      </w:r>
      <w:r w:rsidR="009857EF">
        <w:rPr>
          <w:rFonts w:hint="cs"/>
          <w:rtl/>
        </w:rPr>
        <w:t>רעה לשוטר צבאי במילוי תפקידו, לפי סעיף 126 לחוק השיפוט הצבאי, התשט"ו</w:t>
      </w:r>
      <w:r w:rsidR="00631479">
        <w:rPr>
          <w:rFonts w:hint="cs"/>
          <w:rtl/>
        </w:rPr>
        <w:t>-</w:t>
      </w:r>
      <w:r w:rsidR="009857EF">
        <w:rPr>
          <w:rFonts w:hint="cs"/>
          <w:rtl/>
        </w:rPr>
        <w:t>195</w:t>
      </w:r>
      <w:r w:rsidR="00265741">
        <w:rPr>
          <w:rFonts w:hint="cs"/>
          <w:rtl/>
        </w:rPr>
        <w:t>5</w:t>
      </w:r>
      <w:r w:rsidR="009857EF">
        <w:rPr>
          <w:rFonts w:hint="cs"/>
          <w:rtl/>
        </w:rPr>
        <w:t xml:space="preserve">, </w:t>
      </w:r>
      <w:r w:rsidR="009857EF" w:rsidRPr="00CA7797">
        <w:rPr>
          <w:rFonts w:hint="cs"/>
          <w:rtl/>
        </w:rPr>
        <w:t>סירוב להיבדק לשם גילוי שימוש בסמים מסוכנים, לפי סעיפים 127א ו-250א לחוק השי</w:t>
      </w:r>
      <w:r w:rsidR="009857EF">
        <w:rPr>
          <w:rFonts w:hint="cs"/>
          <w:rtl/>
        </w:rPr>
        <w:t>פוט הצבאי והתנהגות שאינה הולמת, לפי סעיף 130 לחוק השיפוט הצבאי.</w:t>
      </w:r>
    </w:p>
    <w:p w14:paraId="6BD0E717" w14:textId="77777777" w:rsidR="00491506" w:rsidRDefault="00491506" w:rsidP="00070BEE">
      <w:pPr>
        <w:pStyle w:val="ListParagraph"/>
        <w:numPr>
          <w:ilvl w:val="0"/>
          <w:numId w:val="20"/>
        </w:numPr>
        <w:tabs>
          <w:tab w:val="left" w:pos="276"/>
        </w:tabs>
        <w:spacing w:after="200"/>
        <w:ind w:left="-7" w:firstLine="0"/>
        <w:contextualSpacing/>
      </w:pPr>
      <w:r>
        <w:rPr>
          <w:rFonts w:hint="cs"/>
          <w:rtl/>
        </w:rPr>
        <w:t xml:space="preserve">על המערער </w:t>
      </w:r>
      <w:r w:rsidR="00B017BD">
        <w:rPr>
          <w:rFonts w:hint="cs"/>
          <w:rtl/>
        </w:rPr>
        <w:t xml:space="preserve">הוטלו </w:t>
      </w:r>
      <w:r>
        <w:rPr>
          <w:rFonts w:hint="cs"/>
          <w:rtl/>
        </w:rPr>
        <w:t>120 ימי מאסר לריצוי בפועל, שמניינם החל מיום מעצרו, לצד מאסר מותנה בגין עבירות הסמים</w:t>
      </w:r>
      <w:r w:rsidR="00B017BD">
        <w:rPr>
          <w:rFonts w:hint="cs"/>
          <w:rtl/>
        </w:rPr>
        <w:t xml:space="preserve">, </w:t>
      </w:r>
      <w:r>
        <w:rPr>
          <w:rFonts w:hint="cs"/>
          <w:rtl/>
        </w:rPr>
        <w:t>עבירה של הפרעה לשוטר צבאי</w:t>
      </w:r>
      <w:r w:rsidR="00834A7E">
        <w:rPr>
          <w:rFonts w:hint="cs"/>
          <w:rtl/>
        </w:rPr>
        <w:t xml:space="preserve"> ועבירות לפי פרק ט' סימן א' לחוק העונשין</w:t>
      </w:r>
      <w:r w:rsidR="00B017BD">
        <w:rPr>
          <w:rFonts w:hint="cs"/>
          <w:rtl/>
        </w:rPr>
        <w:t>;</w:t>
      </w:r>
      <w:r>
        <w:rPr>
          <w:rFonts w:hint="cs"/>
          <w:rtl/>
        </w:rPr>
        <w:t xml:space="preserve"> הורדה לדרגת טוראי וארבעה חודשי פסילה בפועל מלקבל או </w:t>
      </w:r>
      <w:r w:rsidR="006316AA">
        <w:rPr>
          <w:rFonts w:hint="cs"/>
          <w:rtl/>
        </w:rPr>
        <w:t>מ</w:t>
      </w:r>
      <w:r>
        <w:rPr>
          <w:rFonts w:hint="cs"/>
          <w:rtl/>
        </w:rPr>
        <w:t xml:space="preserve">להחזיק רישיון נהיגה אזרחי או צבאי. </w:t>
      </w:r>
    </w:p>
    <w:p w14:paraId="483E5EC2" w14:textId="77777777" w:rsidR="004B0EC0" w:rsidRPr="004B0EC0" w:rsidRDefault="00491506" w:rsidP="00070BEE">
      <w:pPr>
        <w:pStyle w:val="ListParagraph"/>
        <w:numPr>
          <w:ilvl w:val="0"/>
          <w:numId w:val="20"/>
        </w:numPr>
        <w:tabs>
          <w:tab w:val="left" w:pos="276"/>
        </w:tabs>
        <w:spacing w:after="200"/>
        <w:ind w:left="-7" w:firstLine="0"/>
        <w:contextualSpacing/>
        <w:rPr>
          <w:rtl/>
        </w:rPr>
      </w:pPr>
      <w:r>
        <w:rPr>
          <w:rFonts w:hint="cs"/>
          <w:rtl/>
        </w:rPr>
        <w:t xml:space="preserve">המערער לא השלים עם חומרתם של רכיבי המאסר </w:t>
      </w:r>
      <w:r w:rsidR="00B017BD">
        <w:rPr>
          <w:rFonts w:hint="cs"/>
          <w:rtl/>
        </w:rPr>
        <w:t xml:space="preserve">בפועל </w:t>
      </w:r>
      <w:r>
        <w:rPr>
          <w:rFonts w:hint="cs"/>
          <w:rtl/>
        </w:rPr>
        <w:t>ו</w:t>
      </w:r>
      <w:r w:rsidR="00631479">
        <w:rPr>
          <w:rFonts w:hint="cs"/>
          <w:rtl/>
        </w:rPr>
        <w:t xml:space="preserve">פסילת הרישיונות. עוד </w:t>
      </w:r>
      <w:r>
        <w:rPr>
          <w:rFonts w:hint="cs"/>
          <w:rtl/>
        </w:rPr>
        <w:t xml:space="preserve"> ביקש </w:t>
      </w:r>
      <w:r w:rsidR="00D87A23">
        <w:rPr>
          <w:rFonts w:hint="cs"/>
          <w:rtl/>
        </w:rPr>
        <w:t>לצמצם את היק</w:t>
      </w:r>
      <w:r w:rsidR="00B017BD">
        <w:rPr>
          <w:rFonts w:hint="cs"/>
          <w:rtl/>
        </w:rPr>
        <w:t xml:space="preserve">פו </w:t>
      </w:r>
      <w:r w:rsidR="00D87A23">
        <w:rPr>
          <w:rFonts w:hint="cs"/>
          <w:rtl/>
        </w:rPr>
        <w:t>של עונש המאסר המותנה שנקבע ב</w:t>
      </w:r>
      <w:r w:rsidR="00B017BD">
        <w:rPr>
          <w:rFonts w:hint="cs"/>
          <w:rtl/>
        </w:rPr>
        <w:t>עקבות ההרשעה ב</w:t>
      </w:r>
      <w:r w:rsidR="00D87A23">
        <w:rPr>
          <w:rFonts w:hint="cs"/>
          <w:rtl/>
        </w:rPr>
        <w:t xml:space="preserve">עבירה של הפרעה לשוטר צבאי. </w:t>
      </w:r>
      <w:r w:rsidR="00631479">
        <w:rPr>
          <w:rFonts w:hint="cs"/>
          <w:rtl/>
        </w:rPr>
        <w:t xml:space="preserve"> </w:t>
      </w:r>
      <w:r>
        <w:rPr>
          <w:rFonts w:hint="cs"/>
          <w:rtl/>
        </w:rPr>
        <w:t xml:space="preserve"> </w:t>
      </w:r>
      <w:r w:rsidR="004B0EC0">
        <w:rPr>
          <w:rFonts w:hint="cs"/>
          <w:rtl/>
        </w:rPr>
        <w:t xml:space="preserve">  </w:t>
      </w:r>
    </w:p>
    <w:p w14:paraId="16F91346" w14:textId="77777777" w:rsidR="00893A01" w:rsidRDefault="00DF3750" w:rsidP="00B42A4B">
      <w:pPr>
        <w:spacing w:line="348" w:lineRule="auto"/>
        <w:rPr>
          <w:b/>
          <w:bCs/>
          <w:u w:val="single"/>
          <w:rtl/>
        </w:rPr>
      </w:pPr>
      <w:r>
        <w:rPr>
          <w:rFonts w:hint="cs"/>
          <w:b/>
          <w:bCs/>
          <w:u w:val="single"/>
          <w:rtl/>
        </w:rPr>
        <w:t>פסק הדין של בית הדין קמא</w:t>
      </w:r>
    </w:p>
    <w:p w14:paraId="6C653487" w14:textId="77777777" w:rsidR="004B0EC0" w:rsidRPr="00676B42" w:rsidRDefault="004B0EC0" w:rsidP="00B42A4B">
      <w:pPr>
        <w:spacing w:line="348" w:lineRule="auto"/>
        <w:rPr>
          <w:b/>
          <w:bCs/>
          <w:sz w:val="4"/>
          <w:szCs w:val="4"/>
          <w:u w:val="single"/>
          <w:rtl/>
        </w:rPr>
      </w:pPr>
    </w:p>
    <w:p w14:paraId="019CFF8E" w14:textId="078F8D59" w:rsidR="004B0EC0" w:rsidRDefault="004B0EC0" w:rsidP="00D9107F">
      <w:pPr>
        <w:pStyle w:val="ListParagraph"/>
        <w:numPr>
          <w:ilvl w:val="0"/>
          <w:numId w:val="20"/>
        </w:numPr>
        <w:tabs>
          <w:tab w:val="left" w:pos="276"/>
        </w:tabs>
        <w:spacing w:after="200"/>
        <w:ind w:left="-7" w:firstLine="0"/>
        <w:contextualSpacing/>
      </w:pPr>
      <w:r>
        <w:rPr>
          <w:rFonts w:hint="cs"/>
          <w:rtl/>
        </w:rPr>
        <w:t xml:space="preserve">בית הדין קמא הנכבד </w:t>
      </w:r>
      <w:r w:rsidR="00B017BD">
        <w:rPr>
          <w:rFonts w:hint="cs"/>
          <w:rtl/>
        </w:rPr>
        <w:t xml:space="preserve">עמד על נסיבות </w:t>
      </w:r>
      <w:r>
        <w:rPr>
          <w:rFonts w:hint="cs"/>
          <w:rtl/>
        </w:rPr>
        <w:t>הרשעתו של המערער</w:t>
      </w:r>
      <w:r w:rsidR="000E42F7">
        <w:rPr>
          <w:rFonts w:hint="cs"/>
          <w:rtl/>
        </w:rPr>
        <w:t>, אשר שירת בתקופה הרלוונטית כקצין קשר גדודי במוצב זרעית</w:t>
      </w:r>
      <w:r w:rsidR="00B017BD">
        <w:rPr>
          <w:rFonts w:hint="cs"/>
          <w:rtl/>
        </w:rPr>
        <w:t>, ופירט את הדברים הבאים</w:t>
      </w:r>
      <w:r>
        <w:rPr>
          <w:rFonts w:hint="cs"/>
          <w:rtl/>
        </w:rPr>
        <w:t xml:space="preserve">: </w:t>
      </w:r>
    </w:p>
    <w:p w14:paraId="7F049C43" w14:textId="77777777" w:rsidR="00F426E0" w:rsidRPr="00265741" w:rsidRDefault="00F426E0" w:rsidP="00070BEE">
      <w:pPr>
        <w:spacing w:line="240" w:lineRule="auto"/>
        <w:ind w:left="368"/>
        <w:rPr>
          <w:sz w:val="4"/>
          <w:szCs w:val="4"/>
          <w:rtl/>
        </w:rPr>
      </w:pPr>
    </w:p>
    <w:p w14:paraId="6EEBA096" w14:textId="77777777" w:rsidR="00F426E0" w:rsidRDefault="00F426E0" w:rsidP="00070BEE">
      <w:pPr>
        <w:spacing w:line="240" w:lineRule="auto"/>
        <w:ind w:left="648" w:right="432"/>
        <w:rPr>
          <w:rtl/>
        </w:rPr>
      </w:pPr>
      <w:r>
        <w:rPr>
          <w:rFonts w:hint="cs"/>
          <w:rtl/>
        </w:rPr>
        <w:t xml:space="preserve">"ביום 5.2.2022 השתמש הנאשם בסם מסוכן מסוג קנאביס ביחד עם </w:t>
      </w:r>
      <w:r w:rsidR="00C1070E">
        <w:rPr>
          <w:rFonts w:hint="cs"/>
          <w:rtl/>
        </w:rPr>
        <w:t xml:space="preserve">סמל אנטוני </w:t>
      </w:r>
      <w:r>
        <w:rPr>
          <w:rFonts w:hint="cs"/>
          <w:rtl/>
        </w:rPr>
        <w:t xml:space="preserve"> בחדרו של האחרון, באמצעות סיגריה מגולגלת (</w:t>
      </w:r>
      <w:r w:rsidR="00F6412E">
        <w:rPr>
          <w:rFonts w:hint="cs"/>
          <w:rtl/>
        </w:rPr>
        <w:t>'</w:t>
      </w:r>
      <w:r>
        <w:rPr>
          <w:rFonts w:hint="cs"/>
          <w:rtl/>
        </w:rPr>
        <w:t>ג'וינט</w:t>
      </w:r>
      <w:r w:rsidR="00F6412E">
        <w:rPr>
          <w:rFonts w:hint="cs"/>
          <w:rtl/>
        </w:rPr>
        <w:t>'</w:t>
      </w:r>
      <w:r>
        <w:rPr>
          <w:rFonts w:hint="cs"/>
          <w:rtl/>
        </w:rPr>
        <w:t>)</w:t>
      </w:r>
      <w:r>
        <w:rPr>
          <w:rFonts w:hint="cs"/>
        </w:rPr>
        <w:t xml:space="preserve"> </w:t>
      </w:r>
      <w:r>
        <w:rPr>
          <w:rFonts w:hint="cs"/>
          <w:rtl/>
        </w:rPr>
        <w:t xml:space="preserve">שאותה הכין הנאשם. </w:t>
      </w:r>
    </w:p>
    <w:p w14:paraId="607C9599" w14:textId="77777777" w:rsidR="00F426E0" w:rsidRDefault="00F426E0" w:rsidP="005A43DF">
      <w:pPr>
        <w:spacing w:line="240" w:lineRule="auto"/>
        <w:ind w:left="648" w:right="432"/>
        <w:rPr>
          <w:rtl/>
        </w:rPr>
      </w:pPr>
      <w:r>
        <w:rPr>
          <w:rFonts w:hint="cs"/>
          <w:rtl/>
        </w:rPr>
        <w:t>ביום 18.2.2022 העביר הנאשם ל</w:t>
      </w:r>
      <w:r w:rsidR="00C1070E">
        <w:rPr>
          <w:rFonts w:hint="cs"/>
          <w:rtl/>
        </w:rPr>
        <w:t xml:space="preserve">סמל אנטוני </w:t>
      </w:r>
      <w:r>
        <w:rPr>
          <w:rFonts w:hint="cs"/>
          <w:rtl/>
        </w:rPr>
        <w:t xml:space="preserve">ביחידה סם מסוכן מסוג קנאביס במשקל של כגרם אחד וקיבל ממנו 100 </w:t>
      </w:r>
      <w:r w:rsidR="00F6412E">
        <w:rPr>
          <w:rFonts w:hint="cs"/>
          <w:rtl/>
        </w:rPr>
        <w:t>ש"ח</w:t>
      </w:r>
      <w:r>
        <w:rPr>
          <w:rFonts w:hint="cs"/>
          <w:rtl/>
        </w:rPr>
        <w:t xml:space="preserve"> עבור הסם. למחרת, השתמשו השניים בסם ביחד עם </w:t>
      </w:r>
      <w:r w:rsidR="00C1070E">
        <w:rPr>
          <w:rFonts w:hint="cs"/>
          <w:rtl/>
        </w:rPr>
        <w:t>רב</w:t>
      </w:r>
      <w:r w:rsidR="007A0A30">
        <w:rPr>
          <w:rFonts w:hint="cs"/>
          <w:rtl/>
        </w:rPr>
        <w:t>"</w:t>
      </w:r>
      <w:r w:rsidR="00C1070E">
        <w:rPr>
          <w:rFonts w:hint="cs"/>
          <w:rtl/>
        </w:rPr>
        <w:t xml:space="preserve">ט נועם </w:t>
      </w:r>
      <w:r>
        <w:rPr>
          <w:rFonts w:hint="cs"/>
          <w:rtl/>
        </w:rPr>
        <w:t xml:space="preserve"> בחדרו של הנאשם. </w:t>
      </w:r>
    </w:p>
    <w:p w14:paraId="2683F935" w14:textId="77777777" w:rsidR="00F426E0" w:rsidRDefault="00F426E0" w:rsidP="005A43DF">
      <w:pPr>
        <w:spacing w:line="240" w:lineRule="auto"/>
        <w:ind w:left="648" w:right="432"/>
        <w:rPr>
          <w:rtl/>
        </w:rPr>
      </w:pPr>
      <w:r>
        <w:rPr>
          <w:rFonts w:hint="cs"/>
          <w:rtl/>
        </w:rPr>
        <w:t xml:space="preserve">ביום 4.3.2022 השתמש הנאשם פעם נוספת בסם מסוכן מסוג קנאביס ביחידתו ביחד עם </w:t>
      </w:r>
      <w:r w:rsidR="00C1070E">
        <w:rPr>
          <w:rFonts w:hint="cs"/>
          <w:rtl/>
        </w:rPr>
        <w:t xml:space="preserve">סמל אנטוני </w:t>
      </w:r>
      <w:r>
        <w:rPr>
          <w:rFonts w:hint="cs"/>
          <w:rtl/>
        </w:rPr>
        <w:t xml:space="preserve"> ו</w:t>
      </w:r>
      <w:r w:rsidR="00C1070E">
        <w:rPr>
          <w:rFonts w:hint="cs"/>
          <w:rtl/>
        </w:rPr>
        <w:t>רב</w:t>
      </w:r>
      <w:r w:rsidR="007A0A30">
        <w:rPr>
          <w:rFonts w:hint="cs"/>
          <w:rtl/>
        </w:rPr>
        <w:t>"</w:t>
      </w:r>
      <w:r w:rsidR="00C1070E">
        <w:rPr>
          <w:rFonts w:hint="cs"/>
          <w:rtl/>
        </w:rPr>
        <w:t>ט נועם</w:t>
      </w:r>
      <w:r>
        <w:rPr>
          <w:rFonts w:hint="cs"/>
          <w:rtl/>
        </w:rPr>
        <w:t xml:space="preserve">. </w:t>
      </w:r>
    </w:p>
    <w:p w14:paraId="2FFC2BF0" w14:textId="77777777" w:rsidR="00F426E0" w:rsidRDefault="00F426E0" w:rsidP="005A43DF">
      <w:pPr>
        <w:spacing w:line="240" w:lineRule="auto"/>
        <w:ind w:left="648" w:right="432"/>
        <w:rPr>
          <w:rtl/>
        </w:rPr>
      </w:pPr>
      <w:r>
        <w:rPr>
          <w:rFonts w:hint="cs"/>
          <w:rtl/>
        </w:rPr>
        <w:t xml:space="preserve">בכל ההזדמנויות האמורות השתמש הנאשם בסם כשהוא נושא נשק. </w:t>
      </w:r>
    </w:p>
    <w:p w14:paraId="782E6D2D" w14:textId="77777777" w:rsidR="00F426E0" w:rsidRDefault="00F426E0" w:rsidP="005A43DF">
      <w:pPr>
        <w:spacing w:line="240" w:lineRule="auto"/>
        <w:ind w:left="648" w:right="432"/>
        <w:rPr>
          <w:rtl/>
        </w:rPr>
      </w:pPr>
      <w:r>
        <w:rPr>
          <w:rFonts w:hint="cs"/>
          <w:rtl/>
        </w:rPr>
        <w:t xml:space="preserve">במהלך התקופה האמורה פנתה </w:t>
      </w:r>
      <w:r w:rsidR="00C1070E">
        <w:rPr>
          <w:rFonts w:hint="cs"/>
          <w:rtl/>
        </w:rPr>
        <w:t>רב</w:t>
      </w:r>
      <w:r w:rsidR="007A0A30">
        <w:rPr>
          <w:rFonts w:hint="cs"/>
          <w:rtl/>
        </w:rPr>
        <w:t>"</w:t>
      </w:r>
      <w:r w:rsidR="00C1070E">
        <w:rPr>
          <w:rFonts w:hint="cs"/>
          <w:rtl/>
        </w:rPr>
        <w:t xml:space="preserve">ט נועם </w:t>
      </w:r>
      <w:r>
        <w:rPr>
          <w:rFonts w:hint="cs"/>
          <w:rtl/>
        </w:rPr>
        <w:t xml:space="preserve">אל הנאשם וביקשה שיסייע לה להשיג סם מסוכן מסוג קנאביס עבורה ועבור חיילת נוספת ביחידה, והנאשם העביר אליה סיגריה מגולגלת המכילה את הסם האמור. </w:t>
      </w:r>
    </w:p>
    <w:p w14:paraId="281F5322" w14:textId="77777777" w:rsidR="00F426E0" w:rsidRDefault="00F426E0" w:rsidP="005A43DF">
      <w:pPr>
        <w:spacing w:line="240" w:lineRule="auto"/>
        <w:ind w:left="648" w:right="432"/>
        <w:rPr>
          <w:rtl/>
        </w:rPr>
      </w:pPr>
      <w:r>
        <w:rPr>
          <w:rFonts w:hint="cs"/>
          <w:rtl/>
        </w:rPr>
        <w:t xml:space="preserve">בחיפוש שנערך בחדרו של הנאשם ביחידה נמצאה שקית ובה שרידים של הסם האמור. </w:t>
      </w:r>
    </w:p>
    <w:p w14:paraId="54C4F586" w14:textId="77777777" w:rsidR="00F426E0" w:rsidRDefault="00F426E0" w:rsidP="005A43DF">
      <w:pPr>
        <w:spacing w:line="240" w:lineRule="auto"/>
        <w:ind w:left="648" w:right="432"/>
        <w:rPr>
          <w:rtl/>
        </w:rPr>
      </w:pPr>
      <w:r>
        <w:rPr>
          <w:rFonts w:hint="cs"/>
          <w:rtl/>
        </w:rPr>
        <w:t xml:space="preserve">חקירתו של הנאשם במצ"ח החלה לאחר קבלת דיווח מיחידתו שהעלה חשד לביצוע עבירות סמים. </w:t>
      </w:r>
    </w:p>
    <w:p w14:paraId="230BFC09" w14:textId="77777777" w:rsidR="00F426E0" w:rsidRDefault="00F426E0" w:rsidP="005A43DF">
      <w:pPr>
        <w:spacing w:line="240" w:lineRule="auto"/>
        <w:ind w:left="648" w:right="432"/>
        <w:rPr>
          <w:rtl/>
        </w:rPr>
      </w:pPr>
      <w:r>
        <w:rPr>
          <w:rFonts w:hint="cs"/>
          <w:rtl/>
        </w:rPr>
        <w:t xml:space="preserve">לאחר חקירתו הראשונה, בעת שנותר לבד ברכב משטרתי עם </w:t>
      </w:r>
      <w:r w:rsidR="00C1070E">
        <w:rPr>
          <w:rFonts w:hint="cs"/>
          <w:rtl/>
        </w:rPr>
        <w:t>רב</w:t>
      </w:r>
      <w:r w:rsidR="00350BFE">
        <w:rPr>
          <w:rFonts w:hint="cs"/>
          <w:rtl/>
        </w:rPr>
        <w:t>"</w:t>
      </w:r>
      <w:r w:rsidR="00C1070E">
        <w:rPr>
          <w:rFonts w:hint="cs"/>
          <w:rtl/>
        </w:rPr>
        <w:t>ט נועם</w:t>
      </w:r>
      <w:r>
        <w:rPr>
          <w:rFonts w:hint="cs"/>
          <w:rtl/>
        </w:rPr>
        <w:t xml:space="preserve">, שוחחו השניים על חקירתם. הנאשם שאל את </w:t>
      </w:r>
      <w:r w:rsidR="00C1070E">
        <w:rPr>
          <w:rFonts w:hint="cs"/>
          <w:rtl/>
        </w:rPr>
        <w:t>רב</w:t>
      </w:r>
      <w:r w:rsidR="007A0A30">
        <w:rPr>
          <w:rFonts w:hint="cs"/>
          <w:rtl/>
        </w:rPr>
        <w:t>"</w:t>
      </w:r>
      <w:r w:rsidR="00C1070E">
        <w:rPr>
          <w:rFonts w:hint="cs"/>
          <w:rtl/>
        </w:rPr>
        <w:t>ט נועם</w:t>
      </w:r>
      <w:r>
        <w:rPr>
          <w:rFonts w:hint="cs"/>
          <w:rtl/>
        </w:rPr>
        <w:t xml:space="preserve"> אם הכחישה את המיוחס לה, וכשהשיבה בחיוב, מסר לה שגם הוא הכחיש את המיוחס לו ואמר לה להוסיף ולעמוד על הכחשתה, תוך שציין כי "הרס"ר ואלי" משקרים. </w:t>
      </w:r>
      <w:r w:rsidR="00C1070E">
        <w:rPr>
          <w:rFonts w:hint="cs"/>
          <w:rtl/>
        </w:rPr>
        <w:t>רב</w:t>
      </w:r>
      <w:r w:rsidR="00350BFE">
        <w:rPr>
          <w:rFonts w:hint="cs"/>
          <w:rtl/>
        </w:rPr>
        <w:t>"</w:t>
      </w:r>
      <w:r w:rsidR="00C1070E">
        <w:rPr>
          <w:rFonts w:hint="cs"/>
          <w:rtl/>
        </w:rPr>
        <w:t xml:space="preserve">ט נועם </w:t>
      </w:r>
      <w:r>
        <w:rPr>
          <w:rFonts w:hint="cs"/>
          <w:rtl/>
        </w:rPr>
        <w:t xml:space="preserve"> אישרה את הצעתו. </w:t>
      </w:r>
    </w:p>
    <w:p w14:paraId="1DD09D65" w14:textId="77777777" w:rsidR="00F426E0" w:rsidRDefault="00F426E0" w:rsidP="005A43DF">
      <w:pPr>
        <w:spacing w:line="240" w:lineRule="auto"/>
        <w:ind w:left="648" w:right="432"/>
        <w:rPr>
          <w:rtl/>
        </w:rPr>
      </w:pPr>
      <w:r>
        <w:rPr>
          <w:rFonts w:hint="cs"/>
          <w:rtl/>
        </w:rPr>
        <w:t xml:space="preserve">בהמשך חקירתו, סירב הנאשם למסור דגימת שתן לשם גילוי שימוש בסמים מסוכנים, אף לאחר שנצטווה לעשות כן על ידי קש"ב במשטרה הצבאית. </w:t>
      </w:r>
    </w:p>
    <w:p w14:paraId="6732E10A" w14:textId="2E43A16B" w:rsidR="00F426E0" w:rsidRDefault="00F426E0" w:rsidP="005A43DF">
      <w:pPr>
        <w:spacing w:line="240" w:lineRule="auto"/>
        <w:ind w:left="648" w:right="432"/>
        <w:rPr>
          <w:rtl/>
        </w:rPr>
      </w:pPr>
      <w:r>
        <w:rPr>
          <w:rFonts w:hint="cs"/>
          <w:rtl/>
        </w:rPr>
        <w:t xml:space="preserve">בנוסף, סירב הנאשם לאפשר לחוקרי מצ"ח לעיין במכשיר הטלפון הנייד שלו. </w:t>
      </w:r>
      <w:r w:rsidR="00C1070E">
        <w:rPr>
          <w:rFonts w:hint="cs"/>
          <w:rtl/>
        </w:rPr>
        <w:t>רב</w:t>
      </w:r>
      <w:r w:rsidR="007A0A30">
        <w:rPr>
          <w:rFonts w:hint="cs"/>
          <w:rtl/>
        </w:rPr>
        <w:t>"</w:t>
      </w:r>
      <w:r w:rsidR="00C1070E">
        <w:rPr>
          <w:rFonts w:hint="cs"/>
          <w:rtl/>
        </w:rPr>
        <w:t xml:space="preserve">ט נועם </w:t>
      </w:r>
      <w:r>
        <w:rPr>
          <w:rFonts w:hint="cs"/>
          <w:rtl/>
        </w:rPr>
        <w:t xml:space="preserve">מצידה ניסתה לשבור את מכשיר הטלפון הנייד שלה, אולם לבסוף עלה בידי חוקרי מצ"ח לערוך </w:t>
      </w:r>
      <w:r w:rsidR="00E01372">
        <w:rPr>
          <w:rFonts w:hint="cs"/>
          <w:rtl/>
        </w:rPr>
        <w:t>חיפוש במכשיר</w:t>
      </w:r>
      <w:r>
        <w:rPr>
          <w:rFonts w:hint="cs"/>
          <w:rtl/>
        </w:rPr>
        <w:t xml:space="preserve">, ואז נמצאו בו פלטים רבים הקושרים את הנאשם לעולם הסמים". </w:t>
      </w:r>
    </w:p>
    <w:p w14:paraId="7394639B" w14:textId="77777777" w:rsidR="00D9107F" w:rsidRDefault="00D9107F" w:rsidP="005A43DF">
      <w:pPr>
        <w:spacing w:line="240" w:lineRule="auto"/>
        <w:ind w:left="648" w:right="432"/>
      </w:pPr>
    </w:p>
    <w:p w14:paraId="25F02310" w14:textId="77777777" w:rsidR="00834F33" w:rsidRPr="00265741" w:rsidRDefault="00834F33" w:rsidP="00B42A4B">
      <w:pPr>
        <w:spacing w:line="348" w:lineRule="auto"/>
        <w:rPr>
          <w:sz w:val="4"/>
          <w:szCs w:val="4"/>
          <w:u w:val="single"/>
          <w:rtl/>
        </w:rPr>
      </w:pPr>
    </w:p>
    <w:p w14:paraId="087DDBE8" w14:textId="6DEBA295" w:rsidR="000A2F16" w:rsidRDefault="000E42F7" w:rsidP="00070BEE">
      <w:pPr>
        <w:pStyle w:val="ListParagraph"/>
        <w:numPr>
          <w:ilvl w:val="0"/>
          <w:numId w:val="20"/>
        </w:numPr>
        <w:tabs>
          <w:tab w:val="left" w:pos="276"/>
        </w:tabs>
        <w:spacing w:after="200"/>
        <w:ind w:left="-7" w:firstLine="0"/>
        <w:contextualSpacing/>
      </w:pPr>
      <w:r>
        <w:rPr>
          <w:rFonts w:hint="cs"/>
          <w:rtl/>
        </w:rPr>
        <w:t xml:space="preserve">בית הדין </w:t>
      </w:r>
      <w:r w:rsidR="004342D0">
        <w:rPr>
          <w:rFonts w:hint="cs"/>
          <w:rtl/>
        </w:rPr>
        <w:t xml:space="preserve">קמא </w:t>
      </w:r>
      <w:r w:rsidR="00313817">
        <w:rPr>
          <w:rFonts w:hint="cs"/>
          <w:rtl/>
        </w:rPr>
        <w:t xml:space="preserve">ציין את </w:t>
      </w:r>
      <w:r>
        <w:rPr>
          <w:rFonts w:hint="cs"/>
          <w:rtl/>
        </w:rPr>
        <w:t>האחריות המיוחדת המוטלת על קצינים ומפקדים במסגרת מלחמ</w:t>
      </w:r>
      <w:r w:rsidR="00313817">
        <w:rPr>
          <w:rFonts w:hint="cs"/>
          <w:rtl/>
        </w:rPr>
        <w:t>תו של צ</w:t>
      </w:r>
      <w:r w:rsidR="004D0C3D">
        <w:rPr>
          <w:rFonts w:hint="cs"/>
          <w:rtl/>
        </w:rPr>
        <w:t>ה</w:t>
      </w:r>
      <w:r w:rsidR="00313817">
        <w:rPr>
          <w:rFonts w:hint="cs"/>
          <w:rtl/>
        </w:rPr>
        <w:t xml:space="preserve">"ל </w:t>
      </w:r>
      <w:r>
        <w:rPr>
          <w:rFonts w:hint="cs"/>
          <w:rtl/>
        </w:rPr>
        <w:t>בנגע הסמים ו</w:t>
      </w:r>
      <w:r w:rsidR="00F55115">
        <w:rPr>
          <w:rFonts w:hint="cs"/>
          <w:rtl/>
        </w:rPr>
        <w:t>את</w:t>
      </w:r>
      <w:r>
        <w:rPr>
          <w:rFonts w:hint="cs"/>
          <w:rtl/>
        </w:rPr>
        <w:t xml:space="preserve"> החומרה הרבה הגלומה בשימוש בסם בתוככי היחידה הצבאית</w:t>
      </w:r>
      <w:r w:rsidR="00313817">
        <w:rPr>
          <w:rFonts w:hint="cs"/>
          <w:rtl/>
        </w:rPr>
        <w:t xml:space="preserve">, ועמד על </w:t>
      </w:r>
      <w:r>
        <w:rPr>
          <w:rFonts w:hint="cs"/>
          <w:rtl/>
        </w:rPr>
        <w:t xml:space="preserve">נסיבות החומרה הרבות </w:t>
      </w:r>
      <w:r w:rsidR="00313817">
        <w:rPr>
          <w:rFonts w:hint="cs"/>
          <w:rtl/>
        </w:rPr>
        <w:t>הכרוכות ב</w:t>
      </w:r>
      <w:r>
        <w:rPr>
          <w:rFonts w:hint="cs"/>
          <w:rtl/>
        </w:rPr>
        <w:t xml:space="preserve">עבירות </w:t>
      </w:r>
      <w:r w:rsidR="00862040">
        <w:rPr>
          <w:rFonts w:hint="cs"/>
          <w:rtl/>
        </w:rPr>
        <w:t>ש</w:t>
      </w:r>
      <w:r>
        <w:rPr>
          <w:rFonts w:hint="cs"/>
          <w:rtl/>
        </w:rPr>
        <w:t>בהן נכשל המערער</w:t>
      </w:r>
      <w:r w:rsidR="00350BFE">
        <w:rPr>
          <w:rFonts w:hint="cs"/>
          <w:rtl/>
        </w:rPr>
        <w:t xml:space="preserve">, כמפורט לעיל. </w:t>
      </w:r>
      <w:r w:rsidR="000A2F16">
        <w:rPr>
          <w:rFonts w:hint="cs"/>
          <w:rtl/>
        </w:rPr>
        <w:t>ל</w:t>
      </w:r>
      <w:r w:rsidR="00313817">
        <w:rPr>
          <w:rFonts w:hint="cs"/>
          <w:rtl/>
        </w:rPr>
        <w:t>נוכח צבר היבטי החומרה</w:t>
      </w:r>
      <w:r w:rsidR="004342D0">
        <w:rPr>
          <w:rFonts w:hint="cs"/>
          <w:rtl/>
        </w:rPr>
        <w:t>,</w:t>
      </w:r>
      <w:r w:rsidR="000A2F16">
        <w:rPr>
          <w:rFonts w:hint="cs"/>
          <w:rtl/>
        </w:rPr>
        <w:t xml:space="preserve"> סבר בית הדין כי מע</w:t>
      </w:r>
      <w:r w:rsidR="00313817">
        <w:rPr>
          <w:rFonts w:hint="cs"/>
          <w:rtl/>
        </w:rPr>
        <w:t xml:space="preserve">ורבותו של המערער בעבירות הסמים ביחידה </w:t>
      </w:r>
      <w:r w:rsidR="000A2F16">
        <w:rPr>
          <w:rFonts w:hint="cs"/>
          <w:rtl/>
        </w:rPr>
        <w:t>מצדיק</w:t>
      </w:r>
      <w:r w:rsidR="00313817">
        <w:rPr>
          <w:rFonts w:hint="cs"/>
          <w:rtl/>
        </w:rPr>
        <w:t>ה</w:t>
      </w:r>
      <w:r w:rsidR="000A2F16">
        <w:rPr>
          <w:rFonts w:hint="cs"/>
          <w:rtl/>
        </w:rPr>
        <w:t xml:space="preserve"> ענישה הגוררת אחריה "רישום פלילי מלא"</w:t>
      </w:r>
      <w:r w:rsidR="00313817">
        <w:rPr>
          <w:rFonts w:hint="cs"/>
          <w:rtl/>
        </w:rPr>
        <w:t>, וכי הדברים מתחייב</w:t>
      </w:r>
      <w:r w:rsidR="004D0C3D">
        <w:rPr>
          <w:rFonts w:hint="cs"/>
          <w:rtl/>
        </w:rPr>
        <w:t>י</w:t>
      </w:r>
      <w:r w:rsidR="00313817">
        <w:rPr>
          <w:rFonts w:hint="cs"/>
          <w:rtl/>
        </w:rPr>
        <w:t xml:space="preserve">ם אף לנוכח </w:t>
      </w:r>
      <w:r w:rsidR="000523BF">
        <w:rPr>
          <w:rFonts w:hint="cs"/>
          <w:rtl/>
        </w:rPr>
        <w:t xml:space="preserve">התנהלותו </w:t>
      </w:r>
      <w:r w:rsidR="00313817">
        <w:rPr>
          <w:rFonts w:hint="cs"/>
          <w:rtl/>
        </w:rPr>
        <w:t xml:space="preserve">של המערער </w:t>
      </w:r>
      <w:r w:rsidR="000523BF">
        <w:rPr>
          <w:rFonts w:hint="cs"/>
          <w:rtl/>
        </w:rPr>
        <w:t xml:space="preserve">במהלך החקירה, </w:t>
      </w:r>
      <w:r w:rsidR="00313817">
        <w:rPr>
          <w:rFonts w:hint="cs"/>
          <w:rtl/>
        </w:rPr>
        <w:t>ובתוך כך</w:t>
      </w:r>
      <w:r w:rsidR="007019EB">
        <w:rPr>
          <w:rFonts w:hint="cs"/>
          <w:rtl/>
        </w:rPr>
        <w:t xml:space="preserve"> </w:t>
      </w:r>
      <w:r w:rsidR="007019EB" w:rsidRPr="001107B4">
        <w:rPr>
          <w:b/>
          <w:bCs/>
          <w:rtl/>
        </w:rPr>
        <w:t>–</w:t>
      </w:r>
      <w:r w:rsidR="007019EB">
        <w:rPr>
          <w:rFonts w:hint="cs"/>
          <w:rtl/>
        </w:rPr>
        <w:t xml:space="preserve"> </w:t>
      </w:r>
      <w:r w:rsidR="00313817">
        <w:rPr>
          <w:rFonts w:hint="cs"/>
          <w:rtl/>
        </w:rPr>
        <w:t xml:space="preserve">סירוב </w:t>
      </w:r>
      <w:r w:rsidR="000523BF">
        <w:rPr>
          <w:rFonts w:hint="cs"/>
          <w:rtl/>
        </w:rPr>
        <w:t>למתן דגימ</w:t>
      </w:r>
      <w:r w:rsidR="00313817">
        <w:rPr>
          <w:rFonts w:hint="cs"/>
          <w:rtl/>
        </w:rPr>
        <w:t xml:space="preserve">ת </w:t>
      </w:r>
      <w:r w:rsidR="000523BF">
        <w:rPr>
          <w:rFonts w:hint="cs"/>
          <w:rtl/>
        </w:rPr>
        <w:t>שתן ו</w:t>
      </w:r>
      <w:r w:rsidR="00313817">
        <w:rPr>
          <w:rFonts w:hint="cs"/>
          <w:rtl/>
        </w:rPr>
        <w:t xml:space="preserve">דברים שמסר בשיחה עם רב"ט נועם, </w:t>
      </w:r>
      <w:r w:rsidR="00C92EDB">
        <w:rPr>
          <w:rFonts w:hint="cs"/>
          <w:rtl/>
        </w:rPr>
        <w:t xml:space="preserve">ואשר גיבשו את העבירה של </w:t>
      </w:r>
      <w:r w:rsidR="000523BF">
        <w:rPr>
          <w:rFonts w:hint="cs"/>
          <w:rtl/>
        </w:rPr>
        <w:t>הפרעה לשוטרים הצבאיים</w:t>
      </w:r>
      <w:r w:rsidR="00C92EDB">
        <w:rPr>
          <w:rFonts w:hint="cs"/>
          <w:rtl/>
        </w:rPr>
        <w:t xml:space="preserve"> בעת מילוי תפקידם</w:t>
      </w:r>
      <w:r w:rsidR="000523BF">
        <w:rPr>
          <w:rFonts w:hint="cs"/>
          <w:rtl/>
        </w:rPr>
        <w:t>. על כן מצא בית הדין לאמ</w:t>
      </w:r>
      <w:r w:rsidR="00A00179">
        <w:rPr>
          <w:rFonts w:hint="cs"/>
          <w:rtl/>
        </w:rPr>
        <w:t>ץ את מתחם הע</w:t>
      </w:r>
      <w:r w:rsidR="00C92EDB">
        <w:rPr>
          <w:rFonts w:hint="cs"/>
          <w:rtl/>
        </w:rPr>
        <w:t>ו</w:t>
      </w:r>
      <w:r w:rsidR="00A00179">
        <w:rPr>
          <w:rFonts w:hint="cs"/>
          <w:rtl/>
        </w:rPr>
        <w:t>נש</w:t>
      </w:r>
      <w:r w:rsidR="00C92EDB">
        <w:rPr>
          <w:rFonts w:hint="cs"/>
          <w:rtl/>
        </w:rPr>
        <w:t xml:space="preserve"> </w:t>
      </w:r>
      <w:r w:rsidR="00A00179">
        <w:rPr>
          <w:rFonts w:hint="cs"/>
          <w:rtl/>
        </w:rPr>
        <w:t>ה</w:t>
      </w:r>
      <w:r w:rsidR="00C92EDB">
        <w:rPr>
          <w:rFonts w:hint="cs"/>
          <w:rtl/>
        </w:rPr>
        <w:t>הולם</w:t>
      </w:r>
      <w:r w:rsidR="00A00179">
        <w:rPr>
          <w:rFonts w:hint="cs"/>
          <w:rtl/>
        </w:rPr>
        <w:t xml:space="preserve"> שהוצע על</w:t>
      </w:r>
      <w:r w:rsidR="00CA7797">
        <w:rPr>
          <w:rFonts w:hint="cs"/>
          <w:rtl/>
        </w:rPr>
        <w:t>-</w:t>
      </w:r>
      <w:r w:rsidR="00A00179">
        <w:rPr>
          <w:rFonts w:hint="cs"/>
          <w:rtl/>
        </w:rPr>
        <w:t xml:space="preserve">ידי התביעה ולקבוע אותו בטווח שבין 90 ל-150 ימי מאסר בפועל, וזאת לצד עונשי מאסר על תנאי, הורדה בדרגה ופסילת רישיון נהיגה למספר חודשים "אשר נועדה למלא הן תכלית מניעתית והן חלק מתמהיל הענישה הכולל". </w:t>
      </w:r>
    </w:p>
    <w:p w14:paraId="5F6A0482" w14:textId="5673B687" w:rsidR="00DF486F" w:rsidRDefault="00A00179" w:rsidP="00070BEE">
      <w:pPr>
        <w:pStyle w:val="ListParagraph"/>
        <w:numPr>
          <w:ilvl w:val="0"/>
          <w:numId w:val="20"/>
        </w:numPr>
        <w:tabs>
          <w:tab w:val="left" w:pos="276"/>
        </w:tabs>
        <w:spacing w:after="200"/>
        <w:ind w:left="-7" w:firstLine="0"/>
        <w:contextualSpacing/>
      </w:pPr>
      <w:r>
        <w:rPr>
          <w:rFonts w:hint="cs"/>
          <w:rtl/>
        </w:rPr>
        <w:t>ב</w:t>
      </w:r>
      <w:r w:rsidR="004B0EC0">
        <w:rPr>
          <w:rFonts w:hint="cs"/>
          <w:rtl/>
        </w:rPr>
        <w:t>עת קביעת העונש הראוי למערער בתוך מתחם הע</w:t>
      </w:r>
      <w:r w:rsidR="00C92EDB">
        <w:rPr>
          <w:rFonts w:hint="cs"/>
          <w:rtl/>
        </w:rPr>
        <w:t>ו</w:t>
      </w:r>
      <w:r w:rsidR="004B0EC0">
        <w:rPr>
          <w:rFonts w:hint="cs"/>
          <w:rtl/>
        </w:rPr>
        <w:t>נש</w:t>
      </w:r>
      <w:r w:rsidR="00C92EDB">
        <w:rPr>
          <w:rFonts w:hint="cs"/>
          <w:rtl/>
        </w:rPr>
        <w:t xml:space="preserve"> ההולם</w:t>
      </w:r>
      <w:r w:rsidR="004B0EC0">
        <w:rPr>
          <w:rFonts w:hint="cs"/>
          <w:rtl/>
        </w:rPr>
        <w:t xml:space="preserve">, </w:t>
      </w:r>
      <w:r>
        <w:rPr>
          <w:rFonts w:hint="cs"/>
          <w:rtl/>
        </w:rPr>
        <w:t xml:space="preserve">התחשב בית הדין  בשירותו </w:t>
      </w:r>
      <w:r w:rsidR="00C92EDB">
        <w:rPr>
          <w:rFonts w:hint="cs"/>
          <w:rtl/>
        </w:rPr>
        <w:t xml:space="preserve">הצבאי </w:t>
      </w:r>
      <w:r>
        <w:rPr>
          <w:rFonts w:hint="cs"/>
          <w:rtl/>
        </w:rPr>
        <w:t>ה</w:t>
      </w:r>
      <w:r w:rsidR="00C92EDB">
        <w:rPr>
          <w:rFonts w:hint="cs"/>
          <w:rtl/>
        </w:rPr>
        <w:t xml:space="preserve">תורם </w:t>
      </w:r>
      <w:r>
        <w:rPr>
          <w:rFonts w:hint="cs"/>
          <w:rtl/>
        </w:rPr>
        <w:t>של המערער, כעולה מחוות</w:t>
      </w:r>
      <w:r w:rsidR="00D9107F">
        <w:rPr>
          <w:rFonts w:hint="cs"/>
          <w:rtl/>
        </w:rPr>
        <w:t>-</w:t>
      </w:r>
      <w:r>
        <w:rPr>
          <w:rFonts w:hint="cs"/>
          <w:rtl/>
        </w:rPr>
        <w:t>דעת מפקדו, ב</w:t>
      </w:r>
      <w:r w:rsidR="00C92EDB">
        <w:rPr>
          <w:rFonts w:hint="cs"/>
          <w:rtl/>
        </w:rPr>
        <w:t>עובדה כי הוא נ</w:t>
      </w:r>
      <w:r>
        <w:rPr>
          <w:rFonts w:hint="cs"/>
          <w:rtl/>
        </w:rPr>
        <w:t>עדר עבר פלילי ובהודאתו באשמה תוך הבעת חרטה וחיסכון בזמן השיפוטי. עוד התחשב בית הדין קמא ב</w:t>
      </w:r>
      <w:r w:rsidR="00C92EDB">
        <w:rPr>
          <w:rFonts w:hint="cs"/>
          <w:rtl/>
        </w:rPr>
        <w:t>השלכות העונש על המערער ובפרט, ב</w:t>
      </w:r>
      <w:r>
        <w:rPr>
          <w:rFonts w:hint="cs"/>
          <w:rtl/>
        </w:rPr>
        <w:t>שלילת דרגות הקצונה של</w:t>
      </w:r>
      <w:r w:rsidR="00C92EDB">
        <w:rPr>
          <w:rFonts w:hint="cs"/>
          <w:rtl/>
        </w:rPr>
        <w:t xml:space="preserve">ו </w:t>
      </w:r>
      <w:r>
        <w:rPr>
          <w:rFonts w:hint="cs"/>
          <w:rtl/>
        </w:rPr>
        <w:t>ובכך ששהה במעצר בתקופת החגים. לצד זאת</w:t>
      </w:r>
      <w:r w:rsidR="00C92EDB">
        <w:rPr>
          <w:rFonts w:hint="cs"/>
          <w:rtl/>
        </w:rPr>
        <w:t>,</w:t>
      </w:r>
      <w:r>
        <w:rPr>
          <w:rFonts w:hint="cs"/>
          <w:rtl/>
        </w:rPr>
        <w:t xml:space="preserve"> </w:t>
      </w:r>
      <w:r w:rsidR="00DF486F">
        <w:rPr>
          <w:rFonts w:hint="cs"/>
          <w:rtl/>
        </w:rPr>
        <w:t xml:space="preserve">סבר בית הדין קמא כי יש לתת ביטוי משמעותי להעדר שיתוף הפעולה של המערער עם גורמי החקירה ולשיקולי הרתעת היחיד והרבים. </w:t>
      </w:r>
    </w:p>
    <w:p w14:paraId="013BD608" w14:textId="290B4406" w:rsidR="004B0EC0" w:rsidRDefault="00DF486F" w:rsidP="00070BEE">
      <w:pPr>
        <w:pStyle w:val="ListParagraph"/>
        <w:numPr>
          <w:ilvl w:val="0"/>
          <w:numId w:val="20"/>
        </w:numPr>
        <w:tabs>
          <w:tab w:val="left" w:pos="276"/>
        </w:tabs>
        <w:spacing w:after="200"/>
        <w:ind w:left="-7" w:firstLine="0"/>
        <w:contextualSpacing/>
      </w:pPr>
      <w:r>
        <w:rPr>
          <w:rFonts w:hint="cs"/>
          <w:rtl/>
        </w:rPr>
        <w:t xml:space="preserve">בית הדין בחן גם את </w:t>
      </w:r>
      <w:r w:rsidR="00C92EDB">
        <w:rPr>
          <w:rFonts w:hint="cs"/>
          <w:rtl/>
        </w:rPr>
        <w:t xml:space="preserve">העונשים שהוטלו על </w:t>
      </w:r>
      <w:r w:rsidR="00C1070E">
        <w:rPr>
          <w:rFonts w:hint="cs"/>
          <w:rtl/>
        </w:rPr>
        <w:t>סמל אנטוני</w:t>
      </w:r>
      <w:r>
        <w:rPr>
          <w:rFonts w:hint="cs"/>
          <w:rtl/>
        </w:rPr>
        <w:t xml:space="preserve"> ו</w:t>
      </w:r>
      <w:r w:rsidR="00C1070E">
        <w:rPr>
          <w:rFonts w:hint="cs"/>
          <w:rtl/>
        </w:rPr>
        <w:t xml:space="preserve">רב"ט נועם, </w:t>
      </w:r>
      <w:r>
        <w:rPr>
          <w:rFonts w:hint="cs"/>
          <w:rtl/>
        </w:rPr>
        <w:t>אשר הודו באשמ</w:t>
      </w:r>
      <w:r w:rsidR="00C92EDB">
        <w:rPr>
          <w:rFonts w:hint="cs"/>
          <w:rtl/>
        </w:rPr>
        <w:t xml:space="preserve">ות שיוחסו להם </w:t>
      </w:r>
      <w:r>
        <w:rPr>
          <w:rFonts w:hint="cs"/>
          <w:rtl/>
        </w:rPr>
        <w:t>במסגרת הסדר</w:t>
      </w:r>
      <w:r w:rsidR="00C92EDB">
        <w:rPr>
          <w:rFonts w:hint="cs"/>
          <w:rtl/>
        </w:rPr>
        <w:t>י</w:t>
      </w:r>
      <w:r>
        <w:rPr>
          <w:rFonts w:hint="cs"/>
          <w:rtl/>
        </w:rPr>
        <w:t xml:space="preserve"> טיעון</w:t>
      </w:r>
      <w:r w:rsidR="007019EB">
        <w:rPr>
          <w:rFonts w:hint="cs"/>
          <w:rtl/>
        </w:rPr>
        <w:t xml:space="preserve"> </w:t>
      </w:r>
      <w:r w:rsidR="007019EB" w:rsidRPr="001107B4">
        <w:rPr>
          <w:b/>
          <w:bCs/>
          <w:rtl/>
        </w:rPr>
        <w:t>–</w:t>
      </w:r>
      <w:r w:rsidR="007019EB">
        <w:rPr>
          <w:rFonts w:hint="cs"/>
          <w:rtl/>
        </w:rPr>
        <w:t xml:space="preserve"> </w:t>
      </w:r>
      <w:r>
        <w:rPr>
          <w:rFonts w:hint="cs"/>
          <w:rtl/>
        </w:rPr>
        <w:t xml:space="preserve">על </w:t>
      </w:r>
      <w:r w:rsidR="00C1070E">
        <w:rPr>
          <w:rFonts w:hint="cs"/>
          <w:rtl/>
        </w:rPr>
        <w:t xml:space="preserve">סמל אנטוני </w:t>
      </w:r>
      <w:r>
        <w:rPr>
          <w:rFonts w:hint="cs"/>
          <w:rtl/>
        </w:rPr>
        <w:t xml:space="preserve">שהורשע </w:t>
      </w:r>
      <w:r w:rsidR="00C1070E">
        <w:rPr>
          <w:rFonts w:hint="cs"/>
          <w:rtl/>
        </w:rPr>
        <w:t>בשתי עבירות של שימוש</w:t>
      </w:r>
      <w:r>
        <w:rPr>
          <w:rFonts w:hint="cs"/>
          <w:rtl/>
        </w:rPr>
        <w:t xml:space="preserve"> בסם </w:t>
      </w:r>
      <w:r w:rsidR="00C92EDB">
        <w:rPr>
          <w:rFonts w:hint="cs"/>
          <w:rtl/>
        </w:rPr>
        <w:t xml:space="preserve">ביחידה, </w:t>
      </w:r>
      <w:r>
        <w:rPr>
          <w:rFonts w:hint="cs"/>
          <w:rtl/>
        </w:rPr>
        <w:t xml:space="preserve">הוטל עונש של 75 ימי מאסר </w:t>
      </w:r>
      <w:r w:rsidR="00C92EDB">
        <w:rPr>
          <w:rFonts w:hint="cs"/>
          <w:rtl/>
        </w:rPr>
        <w:t xml:space="preserve">בפועל, </w:t>
      </w:r>
      <w:r>
        <w:rPr>
          <w:rFonts w:hint="cs"/>
          <w:rtl/>
        </w:rPr>
        <w:t>מתוכו 30 ימי מאסר לריצוי בדרך של עבודה צבאית</w:t>
      </w:r>
      <w:r w:rsidR="006316AA">
        <w:rPr>
          <w:rFonts w:hint="cs"/>
          <w:rtl/>
        </w:rPr>
        <w:t xml:space="preserve">, </w:t>
      </w:r>
      <w:r>
        <w:rPr>
          <w:rFonts w:hint="cs"/>
          <w:rtl/>
        </w:rPr>
        <w:t>ו</w:t>
      </w:r>
      <w:r w:rsidR="00C92EDB">
        <w:rPr>
          <w:rFonts w:hint="cs"/>
          <w:rtl/>
        </w:rPr>
        <w:t xml:space="preserve">כן </w:t>
      </w:r>
      <w:r>
        <w:rPr>
          <w:rFonts w:hint="cs"/>
          <w:rtl/>
        </w:rPr>
        <w:t>10 חודשי פסילת רישיו</w:t>
      </w:r>
      <w:r w:rsidR="00C92EDB">
        <w:rPr>
          <w:rFonts w:hint="cs"/>
          <w:rtl/>
        </w:rPr>
        <w:t>נות נהיגה בפועל</w:t>
      </w:r>
      <w:r>
        <w:rPr>
          <w:rFonts w:hint="cs"/>
          <w:rtl/>
        </w:rPr>
        <w:t xml:space="preserve">; על </w:t>
      </w:r>
      <w:r w:rsidR="00C1070E">
        <w:rPr>
          <w:rFonts w:hint="cs"/>
          <w:rtl/>
        </w:rPr>
        <w:t xml:space="preserve">רב"ט נועם </w:t>
      </w:r>
      <w:r>
        <w:rPr>
          <w:rFonts w:hint="cs"/>
          <w:rtl/>
        </w:rPr>
        <w:t>שהורשעה ב</w:t>
      </w:r>
      <w:r w:rsidR="00C1070E">
        <w:rPr>
          <w:rFonts w:hint="cs"/>
          <w:rtl/>
        </w:rPr>
        <w:t xml:space="preserve">מעשי </w:t>
      </w:r>
      <w:r>
        <w:rPr>
          <w:rFonts w:hint="cs"/>
          <w:rtl/>
        </w:rPr>
        <w:t xml:space="preserve">שימוש בסם </w:t>
      </w:r>
      <w:r w:rsidR="00C92EDB">
        <w:rPr>
          <w:rFonts w:hint="cs"/>
          <w:rtl/>
        </w:rPr>
        <w:t xml:space="preserve">ביחידה, </w:t>
      </w:r>
      <w:r>
        <w:rPr>
          <w:rFonts w:hint="cs"/>
          <w:rtl/>
        </w:rPr>
        <w:t>בארבע הזדמנויות שונות</w:t>
      </w:r>
      <w:r w:rsidR="00797792">
        <w:rPr>
          <w:rFonts w:hint="cs"/>
          <w:rtl/>
        </w:rPr>
        <w:t>, בעבירה של התנהגות מבישה</w:t>
      </w:r>
      <w:r>
        <w:rPr>
          <w:rFonts w:hint="cs"/>
          <w:rtl/>
        </w:rPr>
        <w:t xml:space="preserve"> וב</w:t>
      </w:r>
      <w:r w:rsidR="00C92EDB">
        <w:rPr>
          <w:rFonts w:hint="cs"/>
          <w:rtl/>
        </w:rPr>
        <w:t xml:space="preserve">עבירה של </w:t>
      </w:r>
      <w:r>
        <w:rPr>
          <w:rFonts w:hint="cs"/>
          <w:rtl/>
        </w:rPr>
        <w:t>הפרעה לשוטר צבאי</w:t>
      </w:r>
      <w:r w:rsidR="00797792">
        <w:rPr>
          <w:rFonts w:hint="cs"/>
          <w:rtl/>
        </w:rPr>
        <w:t>,</w:t>
      </w:r>
      <w:r>
        <w:rPr>
          <w:rFonts w:hint="cs"/>
          <w:rtl/>
        </w:rPr>
        <w:t xml:space="preserve"> הוטל עונש של 84 ימי מאסר בפועל, מתוכו 30 ימי מאסר בדרך של עבודה צבאית</w:t>
      </w:r>
      <w:r w:rsidR="006316AA">
        <w:rPr>
          <w:rFonts w:hint="cs"/>
          <w:rtl/>
        </w:rPr>
        <w:t xml:space="preserve">, </w:t>
      </w:r>
      <w:r>
        <w:rPr>
          <w:rFonts w:hint="cs"/>
          <w:rtl/>
        </w:rPr>
        <w:t>ו</w:t>
      </w:r>
      <w:r w:rsidR="00C92EDB">
        <w:rPr>
          <w:rFonts w:hint="cs"/>
          <w:rtl/>
        </w:rPr>
        <w:t xml:space="preserve">כן </w:t>
      </w:r>
      <w:r>
        <w:rPr>
          <w:rFonts w:hint="cs"/>
          <w:rtl/>
        </w:rPr>
        <w:t>89 ימי פסילת רישיו</w:t>
      </w:r>
      <w:r w:rsidR="00C92EDB">
        <w:rPr>
          <w:rFonts w:hint="cs"/>
          <w:rtl/>
        </w:rPr>
        <w:t>נות נהיגה</w:t>
      </w:r>
      <w:r w:rsidR="00C1070E">
        <w:rPr>
          <w:rFonts w:hint="cs"/>
          <w:rtl/>
        </w:rPr>
        <w:t xml:space="preserve">. </w:t>
      </w:r>
      <w:r w:rsidR="00D87A23">
        <w:rPr>
          <w:rFonts w:hint="cs"/>
          <w:rtl/>
        </w:rPr>
        <w:t>לאחר בחינה זו קבע</w:t>
      </w:r>
      <w:r w:rsidR="009D3C0E">
        <w:rPr>
          <w:rFonts w:hint="cs"/>
          <w:rtl/>
        </w:rPr>
        <w:t xml:space="preserve"> בית הדין</w:t>
      </w:r>
      <w:r w:rsidR="00D87A23">
        <w:rPr>
          <w:rFonts w:hint="cs"/>
          <w:rtl/>
        </w:rPr>
        <w:t xml:space="preserve">, כי </w:t>
      </w:r>
      <w:r w:rsidR="009D3C0E">
        <w:rPr>
          <w:rFonts w:hint="cs"/>
          <w:rtl/>
        </w:rPr>
        <w:t xml:space="preserve">על העונש </w:t>
      </w:r>
      <w:r>
        <w:rPr>
          <w:rFonts w:hint="cs"/>
          <w:rtl/>
        </w:rPr>
        <w:t xml:space="preserve">בעניינו של המערער לבטא היבטי חומרה שאינם </w:t>
      </w:r>
      <w:r w:rsidR="009D3C0E">
        <w:rPr>
          <w:rFonts w:hint="cs"/>
          <w:rtl/>
        </w:rPr>
        <w:t>מת</w:t>
      </w:r>
      <w:r>
        <w:rPr>
          <w:rFonts w:hint="cs"/>
          <w:rtl/>
        </w:rPr>
        <w:t>קיימים בעניינם</w:t>
      </w:r>
      <w:r w:rsidR="00D87A23">
        <w:rPr>
          <w:rFonts w:hint="cs"/>
          <w:rtl/>
        </w:rPr>
        <w:t xml:space="preserve"> של השניים האחרים</w:t>
      </w:r>
      <w:r>
        <w:rPr>
          <w:rFonts w:hint="cs"/>
          <w:rtl/>
        </w:rPr>
        <w:t>: דרגתו הפיקודית של המערער, העובדה כי המערער הכניס את הסם לבסיס וסיפק אותו לחיילים</w:t>
      </w:r>
      <w:r w:rsidR="009D3C0E">
        <w:rPr>
          <w:rFonts w:hint="cs"/>
          <w:rtl/>
        </w:rPr>
        <w:t>,</w:t>
      </w:r>
      <w:r>
        <w:rPr>
          <w:rFonts w:hint="cs"/>
          <w:rtl/>
        </w:rPr>
        <w:t xml:space="preserve"> והתנהלותו בחקירה. צוין, כי </w:t>
      </w:r>
      <w:r w:rsidR="00C1070E">
        <w:rPr>
          <w:rFonts w:hint="cs"/>
          <w:rtl/>
        </w:rPr>
        <w:t xml:space="preserve">סמל אנטוני </w:t>
      </w:r>
      <w:r>
        <w:rPr>
          <w:rFonts w:hint="cs"/>
          <w:rtl/>
        </w:rPr>
        <w:t xml:space="preserve">שיתף פעולה בחקירתו וכי בעניינה של </w:t>
      </w:r>
      <w:r w:rsidR="00C1070E">
        <w:rPr>
          <w:rFonts w:hint="cs"/>
          <w:rtl/>
        </w:rPr>
        <w:t>רב</w:t>
      </w:r>
      <w:r w:rsidR="00D87A23">
        <w:rPr>
          <w:rFonts w:hint="cs"/>
          <w:rtl/>
        </w:rPr>
        <w:t>"</w:t>
      </w:r>
      <w:r w:rsidR="00C1070E">
        <w:rPr>
          <w:rFonts w:hint="cs"/>
          <w:rtl/>
        </w:rPr>
        <w:t xml:space="preserve">ט נועם </w:t>
      </w:r>
      <w:r>
        <w:rPr>
          <w:rFonts w:hint="cs"/>
          <w:rtl/>
        </w:rPr>
        <w:t>הובהר כי ביסוד הסדר הטיעון עמדו טעמים ראייתיים. לפיכך מצא בית הדין לקבל את עתירת התביעה ולמקם את עונש</w:t>
      </w:r>
      <w:r w:rsidR="009D3C0E">
        <w:rPr>
          <w:rFonts w:hint="cs"/>
          <w:rtl/>
        </w:rPr>
        <w:t xml:space="preserve"> המאסר בפועל</w:t>
      </w:r>
      <w:r>
        <w:rPr>
          <w:rFonts w:hint="cs"/>
          <w:rtl/>
        </w:rPr>
        <w:t xml:space="preserve"> </w:t>
      </w:r>
      <w:r w:rsidR="009D3C0E">
        <w:rPr>
          <w:rFonts w:hint="cs"/>
          <w:rtl/>
        </w:rPr>
        <w:t xml:space="preserve">בעניינו של </w:t>
      </w:r>
      <w:r>
        <w:rPr>
          <w:rFonts w:hint="cs"/>
          <w:rtl/>
        </w:rPr>
        <w:t>המערער באמצעו של מתחם הע</w:t>
      </w:r>
      <w:r w:rsidR="009D3C0E">
        <w:rPr>
          <w:rFonts w:hint="cs"/>
          <w:rtl/>
        </w:rPr>
        <w:t>ו</w:t>
      </w:r>
      <w:r>
        <w:rPr>
          <w:rFonts w:hint="cs"/>
          <w:rtl/>
        </w:rPr>
        <w:t>נש</w:t>
      </w:r>
      <w:r w:rsidR="009D3C0E">
        <w:rPr>
          <w:rFonts w:hint="cs"/>
          <w:rtl/>
        </w:rPr>
        <w:t xml:space="preserve"> </w:t>
      </w:r>
      <w:r>
        <w:rPr>
          <w:rFonts w:hint="cs"/>
          <w:rtl/>
        </w:rPr>
        <w:t>ה</w:t>
      </w:r>
      <w:r w:rsidR="009D3C0E">
        <w:rPr>
          <w:rFonts w:hint="cs"/>
          <w:rtl/>
        </w:rPr>
        <w:t>הולם</w:t>
      </w:r>
      <w:r>
        <w:rPr>
          <w:rFonts w:hint="cs"/>
          <w:rtl/>
        </w:rPr>
        <w:t xml:space="preserve">. </w:t>
      </w:r>
    </w:p>
    <w:p w14:paraId="2FF3ABE4" w14:textId="77777777" w:rsidR="00CE7F25" w:rsidRPr="00CE7F25" w:rsidRDefault="00CE7F25" w:rsidP="00442F7D">
      <w:pPr>
        <w:tabs>
          <w:tab w:val="left" w:pos="226"/>
        </w:tabs>
        <w:spacing w:line="348" w:lineRule="auto"/>
        <w:rPr>
          <w:b/>
          <w:bCs/>
          <w:sz w:val="2"/>
          <w:szCs w:val="2"/>
          <w:u w:val="single"/>
          <w:rtl/>
        </w:rPr>
      </w:pPr>
    </w:p>
    <w:p w14:paraId="4F7B874F" w14:textId="553A12E5" w:rsidR="001678ED" w:rsidRDefault="004D79DD" w:rsidP="00442F7D">
      <w:pPr>
        <w:tabs>
          <w:tab w:val="left" w:pos="226"/>
        </w:tabs>
        <w:spacing w:line="348" w:lineRule="auto"/>
        <w:rPr>
          <w:rtl/>
        </w:rPr>
      </w:pPr>
      <w:r w:rsidRPr="004D79DD">
        <w:rPr>
          <w:rFonts w:hint="cs"/>
          <w:b/>
          <w:bCs/>
          <w:u w:val="single"/>
          <w:rtl/>
        </w:rPr>
        <w:t>ערעו</w:t>
      </w:r>
      <w:r w:rsidR="004B0EC0">
        <w:rPr>
          <w:rFonts w:hint="cs"/>
          <w:b/>
          <w:bCs/>
          <w:u w:val="single"/>
          <w:rtl/>
        </w:rPr>
        <w:t>ר</w:t>
      </w:r>
      <w:r w:rsidR="00DF486F">
        <w:rPr>
          <w:rFonts w:hint="cs"/>
          <w:b/>
          <w:bCs/>
          <w:u w:val="single"/>
          <w:rtl/>
        </w:rPr>
        <w:t xml:space="preserve"> ההגנה וטיעוני הצדדים</w:t>
      </w:r>
      <w:r w:rsidR="004B0EC0">
        <w:rPr>
          <w:rFonts w:hint="cs"/>
          <w:b/>
          <w:bCs/>
          <w:u w:val="single"/>
          <w:rtl/>
        </w:rPr>
        <w:t xml:space="preserve"> </w:t>
      </w:r>
    </w:p>
    <w:p w14:paraId="5102AF8D" w14:textId="72D34B1D" w:rsidR="004B0EC0" w:rsidRPr="00676B42" w:rsidRDefault="00676B42" w:rsidP="00676B42">
      <w:pPr>
        <w:tabs>
          <w:tab w:val="left" w:pos="1616"/>
        </w:tabs>
        <w:spacing w:line="348" w:lineRule="auto"/>
        <w:ind w:left="-58"/>
        <w:rPr>
          <w:sz w:val="4"/>
          <w:szCs w:val="4"/>
        </w:rPr>
      </w:pPr>
      <w:r>
        <w:rPr>
          <w:sz w:val="20"/>
          <w:szCs w:val="20"/>
          <w:rtl/>
        </w:rPr>
        <w:tab/>
      </w:r>
    </w:p>
    <w:p w14:paraId="6F15837F" w14:textId="7F2FDD2B" w:rsidR="005634E3" w:rsidRDefault="00D01DD8" w:rsidP="00070BEE">
      <w:pPr>
        <w:pStyle w:val="ListParagraph"/>
        <w:numPr>
          <w:ilvl w:val="0"/>
          <w:numId w:val="20"/>
        </w:numPr>
        <w:tabs>
          <w:tab w:val="left" w:pos="276"/>
        </w:tabs>
        <w:spacing w:after="200"/>
        <w:ind w:left="-7" w:firstLine="0"/>
        <w:contextualSpacing/>
      </w:pPr>
      <w:r>
        <w:rPr>
          <w:rFonts w:hint="cs"/>
          <w:rtl/>
        </w:rPr>
        <w:t xml:space="preserve">בפתח הדברים טענה </w:t>
      </w:r>
      <w:r w:rsidR="004B0EC0">
        <w:rPr>
          <w:rFonts w:hint="cs"/>
          <w:b/>
          <w:bCs/>
          <w:rtl/>
        </w:rPr>
        <w:t xml:space="preserve">ההגנה </w:t>
      </w:r>
      <w:r w:rsidRPr="004D0C3D">
        <w:rPr>
          <w:rFonts w:hint="cs"/>
          <w:rtl/>
        </w:rPr>
        <w:t>ב</w:t>
      </w:r>
      <w:r w:rsidR="00E664EC">
        <w:rPr>
          <w:rFonts w:hint="cs"/>
          <w:rtl/>
        </w:rPr>
        <w:t xml:space="preserve">ערעורה, </w:t>
      </w:r>
      <w:r>
        <w:rPr>
          <w:rFonts w:hint="cs"/>
          <w:rtl/>
        </w:rPr>
        <w:t xml:space="preserve">כי גזר הדין </w:t>
      </w:r>
      <w:r w:rsidR="009D3C0E">
        <w:rPr>
          <w:rFonts w:hint="cs"/>
          <w:rtl/>
        </w:rPr>
        <w:t xml:space="preserve">הוקרא </w:t>
      </w:r>
      <w:r>
        <w:rPr>
          <w:rFonts w:hint="cs"/>
          <w:rtl/>
        </w:rPr>
        <w:t>על</w:t>
      </w:r>
      <w:r w:rsidR="00D9107F">
        <w:rPr>
          <w:rFonts w:hint="cs"/>
          <w:rtl/>
        </w:rPr>
        <w:t>-י</w:t>
      </w:r>
      <w:r>
        <w:rPr>
          <w:rFonts w:hint="cs"/>
          <w:rtl/>
        </w:rPr>
        <w:t xml:space="preserve">די </w:t>
      </w:r>
      <w:r w:rsidR="009D3C0E">
        <w:rPr>
          <w:rFonts w:hint="cs"/>
          <w:rtl/>
        </w:rPr>
        <w:t xml:space="preserve">ראש ההרכב, </w:t>
      </w:r>
      <w:r>
        <w:rPr>
          <w:rFonts w:hint="cs"/>
          <w:rtl/>
        </w:rPr>
        <w:t xml:space="preserve">האב"ד, </w:t>
      </w:r>
      <w:r w:rsidR="009D3C0E">
        <w:rPr>
          <w:rFonts w:hint="cs"/>
          <w:rtl/>
        </w:rPr>
        <w:t xml:space="preserve">בלבד, </w:t>
      </w:r>
      <w:r w:rsidR="00D87A23">
        <w:rPr>
          <w:rFonts w:hint="cs"/>
          <w:rtl/>
        </w:rPr>
        <w:t>מבלי</w:t>
      </w:r>
      <w:r>
        <w:rPr>
          <w:rFonts w:hint="cs"/>
          <w:rtl/>
        </w:rPr>
        <w:t xml:space="preserve"> שההגנה הסכימה לכך, </w:t>
      </w:r>
      <w:r w:rsidR="00D87A23">
        <w:rPr>
          <w:rFonts w:hint="cs"/>
          <w:rtl/>
        </w:rPr>
        <w:t>ו</w:t>
      </w:r>
      <w:r>
        <w:rPr>
          <w:rFonts w:hint="cs"/>
          <w:rtl/>
        </w:rPr>
        <w:t>באופן המעורר חשש כי לא נערכה התייעצות של כלל חברי ההרכב</w:t>
      </w:r>
      <w:r w:rsidR="009D3C0E">
        <w:rPr>
          <w:rFonts w:hint="cs"/>
          <w:rtl/>
        </w:rPr>
        <w:t>, לפני כן</w:t>
      </w:r>
      <w:r>
        <w:rPr>
          <w:rFonts w:hint="cs"/>
          <w:rtl/>
        </w:rPr>
        <w:t>. לפיכך</w:t>
      </w:r>
      <w:r w:rsidR="009D3C0E">
        <w:rPr>
          <w:rFonts w:hint="cs"/>
          <w:rtl/>
        </w:rPr>
        <w:t>,</w:t>
      </w:r>
      <w:r>
        <w:rPr>
          <w:rFonts w:hint="cs"/>
          <w:rtl/>
        </w:rPr>
        <w:t xml:space="preserve"> נטען </w:t>
      </w:r>
      <w:r w:rsidR="009D3C0E">
        <w:rPr>
          <w:rFonts w:hint="cs"/>
          <w:rtl/>
        </w:rPr>
        <w:t>על</w:t>
      </w:r>
      <w:r w:rsidR="00D9107F">
        <w:rPr>
          <w:rFonts w:hint="cs"/>
          <w:rtl/>
        </w:rPr>
        <w:t>-</w:t>
      </w:r>
      <w:r w:rsidR="009D3C0E">
        <w:rPr>
          <w:rFonts w:hint="cs"/>
          <w:rtl/>
        </w:rPr>
        <w:t xml:space="preserve">ידי הסנגור, </w:t>
      </w:r>
      <w:r>
        <w:rPr>
          <w:rFonts w:hint="cs"/>
          <w:rtl/>
        </w:rPr>
        <w:t xml:space="preserve">כי גזר הדין ניתן שלא בסמכות. </w:t>
      </w:r>
    </w:p>
    <w:p w14:paraId="27627FB9" w14:textId="6AA31841" w:rsidR="00D01DD8" w:rsidRDefault="00D01DD8" w:rsidP="00070BEE">
      <w:pPr>
        <w:pStyle w:val="ListParagraph"/>
        <w:numPr>
          <w:ilvl w:val="0"/>
          <w:numId w:val="20"/>
        </w:numPr>
        <w:tabs>
          <w:tab w:val="left" w:pos="276"/>
        </w:tabs>
        <w:spacing w:after="200"/>
        <w:ind w:left="-7" w:firstLine="0"/>
        <w:contextualSpacing/>
      </w:pPr>
      <w:r>
        <w:rPr>
          <w:rFonts w:hint="cs"/>
          <w:rtl/>
        </w:rPr>
        <w:t xml:space="preserve">לגופו של עניין טענה ההגנה, </w:t>
      </w:r>
      <w:r w:rsidR="00E664EC">
        <w:rPr>
          <w:rFonts w:hint="cs"/>
          <w:rtl/>
        </w:rPr>
        <w:t xml:space="preserve">כי שגה בית הדין קמא, כאשר </w:t>
      </w:r>
      <w:r>
        <w:rPr>
          <w:rFonts w:hint="cs"/>
          <w:rtl/>
        </w:rPr>
        <w:t>לא התחשב בכלל אחידות הענישה, ו</w:t>
      </w:r>
      <w:r w:rsidR="00E664EC">
        <w:rPr>
          <w:rFonts w:hint="cs"/>
          <w:rtl/>
        </w:rPr>
        <w:t xml:space="preserve">השית על המערער עונש חמור </w:t>
      </w:r>
      <w:r w:rsidR="009D3C0E">
        <w:rPr>
          <w:rFonts w:hint="cs"/>
          <w:rtl/>
        </w:rPr>
        <w:t xml:space="preserve">בהרבה </w:t>
      </w:r>
      <w:r w:rsidR="00E664EC">
        <w:rPr>
          <w:rFonts w:hint="cs"/>
          <w:rtl/>
        </w:rPr>
        <w:t>מזה שהוטל על המעורבים הנוספים בפרשה</w:t>
      </w:r>
      <w:r w:rsidR="00865370">
        <w:rPr>
          <w:rFonts w:hint="cs"/>
          <w:rtl/>
        </w:rPr>
        <w:t>, שגם בעניינם היבטי חומרה שונים</w:t>
      </w:r>
      <w:r>
        <w:rPr>
          <w:rFonts w:hint="cs"/>
          <w:rtl/>
        </w:rPr>
        <w:t>.</w:t>
      </w:r>
      <w:r w:rsidR="00865370">
        <w:rPr>
          <w:rFonts w:hint="cs"/>
          <w:rtl/>
        </w:rPr>
        <w:t xml:space="preserve"> בעיקר נטענו הדברים ביחס ל</w:t>
      </w:r>
      <w:r w:rsidR="009D3C0E">
        <w:rPr>
          <w:rFonts w:hint="cs"/>
          <w:rtl/>
        </w:rPr>
        <w:t xml:space="preserve">עונש שהושת בעניינה של </w:t>
      </w:r>
      <w:r w:rsidR="00C1070E">
        <w:rPr>
          <w:rFonts w:hint="cs"/>
          <w:rtl/>
        </w:rPr>
        <w:t>רב</w:t>
      </w:r>
      <w:r w:rsidR="00D87A23">
        <w:rPr>
          <w:rFonts w:hint="cs"/>
          <w:rtl/>
        </w:rPr>
        <w:t>"</w:t>
      </w:r>
      <w:r w:rsidR="00C1070E">
        <w:rPr>
          <w:rFonts w:hint="cs"/>
          <w:rtl/>
        </w:rPr>
        <w:t>ט נועם</w:t>
      </w:r>
      <w:r w:rsidR="009D3C0E">
        <w:rPr>
          <w:rFonts w:hint="cs"/>
          <w:rtl/>
        </w:rPr>
        <w:t xml:space="preserve">. לדידו של הסנגור </w:t>
      </w:r>
      <w:r w:rsidR="00865370">
        <w:rPr>
          <w:rFonts w:hint="cs"/>
          <w:rtl/>
        </w:rPr>
        <w:t xml:space="preserve">מעשיה </w:t>
      </w:r>
      <w:r w:rsidR="009D3C0E">
        <w:rPr>
          <w:rFonts w:hint="cs"/>
          <w:rtl/>
        </w:rPr>
        <w:t xml:space="preserve">של רב"ט נועם </w:t>
      </w:r>
      <w:r w:rsidR="00865370">
        <w:rPr>
          <w:rFonts w:hint="cs"/>
          <w:rtl/>
        </w:rPr>
        <w:t>חמורים "עשרות מונים" מאלה של המערער</w:t>
      </w:r>
      <w:r>
        <w:rPr>
          <w:rFonts w:hint="cs"/>
          <w:rtl/>
        </w:rPr>
        <w:t xml:space="preserve">; </w:t>
      </w:r>
      <w:r w:rsidR="00D87A23">
        <w:rPr>
          <w:rFonts w:hint="cs"/>
          <w:rtl/>
        </w:rPr>
        <w:t>ו</w:t>
      </w:r>
      <w:r>
        <w:rPr>
          <w:rFonts w:hint="cs"/>
          <w:rtl/>
        </w:rPr>
        <w:t>ל</w:t>
      </w:r>
      <w:r w:rsidR="009D3C0E">
        <w:rPr>
          <w:rFonts w:hint="cs"/>
          <w:rtl/>
        </w:rPr>
        <w:t xml:space="preserve">שיטתו, </w:t>
      </w:r>
      <w:r>
        <w:rPr>
          <w:rFonts w:hint="cs"/>
          <w:rtl/>
        </w:rPr>
        <w:t xml:space="preserve">לא היה מקום להחמיר באופן כה משמעותי בעניינו של המערער רק בשל היותו נושא דרגות קצונה. </w:t>
      </w:r>
      <w:r w:rsidR="00865370">
        <w:rPr>
          <w:rFonts w:hint="cs"/>
          <w:rtl/>
        </w:rPr>
        <w:t>כן נטען, כי בית הדין גזר את עונשו של המערער על סמך עובדות שלא נזכרו בכתב האישום</w:t>
      </w:r>
      <w:r w:rsidR="009D3C0E">
        <w:rPr>
          <w:rFonts w:hint="cs"/>
          <w:rtl/>
        </w:rPr>
        <w:t xml:space="preserve"> המתוקן, שלפיו הורשע</w:t>
      </w:r>
      <w:r>
        <w:rPr>
          <w:rFonts w:hint="cs"/>
          <w:rtl/>
        </w:rPr>
        <w:t xml:space="preserve">. כך למשל ביחס לקביעתו של בית הדין קמא כי המערער </w:t>
      </w:r>
      <w:r w:rsidR="009D3C0E">
        <w:rPr>
          <w:rFonts w:hint="cs"/>
          <w:rtl/>
        </w:rPr>
        <w:t>"</w:t>
      </w:r>
      <w:r>
        <w:rPr>
          <w:rFonts w:hint="cs"/>
          <w:rtl/>
        </w:rPr>
        <w:t>סיפק</w:t>
      </w:r>
      <w:r w:rsidR="009D3C0E">
        <w:rPr>
          <w:rFonts w:hint="cs"/>
          <w:rtl/>
        </w:rPr>
        <w:t>"</w:t>
      </w:r>
      <w:r>
        <w:rPr>
          <w:rFonts w:hint="cs"/>
          <w:rtl/>
        </w:rPr>
        <w:t xml:space="preserve"> את הסם לחיילים וכ</w:t>
      </w:r>
      <w:r w:rsidR="009D3C0E">
        <w:rPr>
          <w:rFonts w:hint="cs"/>
          <w:rtl/>
        </w:rPr>
        <w:t xml:space="preserve">ך ביחס </w:t>
      </w:r>
      <w:r w:rsidR="00844E35">
        <w:rPr>
          <w:rFonts w:hint="cs"/>
          <w:rtl/>
        </w:rPr>
        <w:t xml:space="preserve">לקביעה כי </w:t>
      </w:r>
      <w:r w:rsidR="006316AA">
        <w:rPr>
          <w:rFonts w:hint="cs"/>
          <w:rtl/>
        </w:rPr>
        <w:t>"עירב חיילת נמוכה ממנו בדרגה בפעולה אקטיבית שנועדה להפריע לשוטרים הצבאיים, חוקרי מצ"ח, בביצוע תפקידם"</w:t>
      </w:r>
      <w:r>
        <w:rPr>
          <w:rFonts w:hint="cs"/>
          <w:rtl/>
        </w:rPr>
        <w:t xml:space="preserve">. </w:t>
      </w:r>
      <w:r w:rsidR="00865370">
        <w:rPr>
          <w:rFonts w:hint="cs"/>
          <w:rtl/>
        </w:rPr>
        <w:t xml:space="preserve">על כן עתרה ההגנה לקבוע </w:t>
      </w:r>
      <w:r w:rsidR="00D87A23">
        <w:rPr>
          <w:rFonts w:hint="cs"/>
          <w:rtl/>
        </w:rPr>
        <w:t xml:space="preserve">בעניינו של המערער </w:t>
      </w:r>
      <w:r w:rsidR="00865370">
        <w:rPr>
          <w:rFonts w:hint="cs"/>
          <w:rtl/>
        </w:rPr>
        <w:t>מתחם ע</w:t>
      </w:r>
      <w:r w:rsidR="00844E35">
        <w:rPr>
          <w:rFonts w:hint="cs"/>
          <w:rtl/>
        </w:rPr>
        <w:t xml:space="preserve">ונש הולם, </w:t>
      </w:r>
      <w:r w:rsidR="00865370">
        <w:rPr>
          <w:rFonts w:hint="cs"/>
          <w:rtl/>
        </w:rPr>
        <w:t xml:space="preserve">הנע בין 45 ימים בכליאה ממשית או </w:t>
      </w:r>
      <w:r w:rsidR="006316AA">
        <w:rPr>
          <w:rFonts w:hint="cs"/>
          <w:rtl/>
        </w:rPr>
        <w:t xml:space="preserve">לריצוי </w:t>
      </w:r>
      <w:r w:rsidR="00865370">
        <w:rPr>
          <w:rFonts w:hint="cs"/>
          <w:rtl/>
        </w:rPr>
        <w:t xml:space="preserve">בדרך של עבודה צבאית </w:t>
      </w:r>
      <w:r w:rsidR="00844E35">
        <w:rPr>
          <w:rFonts w:hint="cs"/>
          <w:rtl/>
        </w:rPr>
        <w:t xml:space="preserve">לבין </w:t>
      </w:r>
      <w:r w:rsidR="00865370">
        <w:rPr>
          <w:rFonts w:hint="cs"/>
          <w:rtl/>
        </w:rPr>
        <w:t xml:space="preserve">90 ימי מאסר בכליאה ממשית. </w:t>
      </w:r>
      <w:r w:rsidR="009F349F">
        <w:rPr>
          <w:rFonts w:hint="cs"/>
          <w:rtl/>
        </w:rPr>
        <w:t>לחלופין</w:t>
      </w:r>
      <w:r w:rsidR="00844E35">
        <w:rPr>
          <w:rFonts w:hint="cs"/>
          <w:rtl/>
        </w:rPr>
        <w:t>,</w:t>
      </w:r>
      <w:r w:rsidR="009F349F">
        <w:rPr>
          <w:rFonts w:hint="cs"/>
          <w:rtl/>
        </w:rPr>
        <w:t xml:space="preserve"> עתרה ההגנה, בשים</w:t>
      </w:r>
      <w:r w:rsidR="00D9107F">
        <w:rPr>
          <w:rFonts w:hint="cs"/>
          <w:rtl/>
        </w:rPr>
        <w:t>-</w:t>
      </w:r>
      <w:r w:rsidR="009F349F">
        <w:rPr>
          <w:rFonts w:hint="cs"/>
          <w:rtl/>
        </w:rPr>
        <w:t xml:space="preserve">לב לכך שהמערער </w:t>
      </w:r>
      <w:r w:rsidR="00844E35">
        <w:rPr>
          <w:rFonts w:hint="cs"/>
          <w:rtl/>
        </w:rPr>
        <w:t xml:space="preserve">היה כלוא </w:t>
      </w:r>
      <w:r w:rsidR="009F349F">
        <w:rPr>
          <w:rFonts w:hint="cs"/>
          <w:rtl/>
        </w:rPr>
        <w:t xml:space="preserve">בעת שמיעת הערעור </w:t>
      </w:r>
      <w:r w:rsidR="00844E35">
        <w:rPr>
          <w:rFonts w:hint="cs"/>
          <w:rtl/>
        </w:rPr>
        <w:t xml:space="preserve">לתקופה העולה על </w:t>
      </w:r>
      <w:r w:rsidR="009F349F">
        <w:rPr>
          <w:rFonts w:hint="cs"/>
          <w:rtl/>
        </w:rPr>
        <w:t>60 ימי</w:t>
      </w:r>
      <w:r w:rsidR="00844E35">
        <w:rPr>
          <w:rFonts w:hint="cs"/>
          <w:rtl/>
        </w:rPr>
        <w:t>ם</w:t>
      </w:r>
      <w:r w:rsidR="009F349F">
        <w:rPr>
          <w:rFonts w:hint="cs"/>
          <w:rtl/>
        </w:rPr>
        <w:t>, ל</w:t>
      </w:r>
      <w:r w:rsidR="00844E35">
        <w:rPr>
          <w:rFonts w:hint="cs"/>
          <w:rtl/>
        </w:rPr>
        <w:t xml:space="preserve">הורות כי </w:t>
      </w:r>
      <w:r w:rsidR="009F349F">
        <w:rPr>
          <w:rFonts w:hint="cs"/>
          <w:rtl/>
        </w:rPr>
        <w:t>חלק מ</w:t>
      </w:r>
      <w:r w:rsidR="00844E35">
        <w:rPr>
          <w:rFonts w:hint="cs"/>
          <w:rtl/>
        </w:rPr>
        <w:t>ימי המעצר לא ינוכו מתקופת המאסר בפועל</w:t>
      </w:r>
      <w:r w:rsidR="00D87A23">
        <w:rPr>
          <w:rFonts w:hint="cs"/>
          <w:rtl/>
        </w:rPr>
        <w:t>,</w:t>
      </w:r>
      <w:r w:rsidR="009F349F">
        <w:rPr>
          <w:rFonts w:hint="cs"/>
          <w:rtl/>
        </w:rPr>
        <w:t xml:space="preserve"> כך </w:t>
      </w:r>
      <w:r w:rsidR="00844E35">
        <w:rPr>
          <w:rFonts w:hint="cs"/>
          <w:rtl/>
        </w:rPr>
        <w:t xml:space="preserve">שניתן יהיה להשית על המערער </w:t>
      </w:r>
      <w:r w:rsidR="005374BE">
        <w:rPr>
          <w:rFonts w:hint="cs"/>
          <w:rtl/>
        </w:rPr>
        <w:t xml:space="preserve">עונש </w:t>
      </w:r>
      <w:r w:rsidR="00844E35">
        <w:rPr>
          <w:rFonts w:hint="cs"/>
          <w:rtl/>
        </w:rPr>
        <w:t xml:space="preserve">מאסר בפועל שאינו עולה על 60 ימים, באופן </w:t>
      </w:r>
      <w:r w:rsidR="009F349F">
        <w:rPr>
          <w:rFonts w:hint="cs"/>
          <w:rtl/>
        </w:rPr>
        <w:t>שהרשע</w:t>
      </w:r>
      <w:r w:rsidR="00844E35">
        <w:rPr>
          <w:rFonts w:hint="cs"/>
          <w:rtl/>
        </w:rPr>
        <w:t>תו</w:t>
      </w:r>
      <w:r w:rsidR="005374BE">
        <w:rPr>
          <w:rFonts w:hint="cs"/>
          <w:rtl/>
        </w:rPr>
        <w:t xml:space="preserve"> תוביל ל</w:t>
      </w:r>
      <w:r w:rsidR="009F349F">
        <w:rPr>
          <w:rFonts w:hint="cs"/>
          <w:rtl/>
        </w:rPr>
        <w:t>רישום פלילי "מופחת"</w:t>
      </w:r>
      <w:r w:rsidR="005374BE">
        <w:rPr>
          <w:rFonts w:hint="cs"/>
          <w:rtl/>
        </w:rPr>
        <w:t xml:space="preserve"> בלבד</w:t>
      </w:r>
      <w:r w:rsidR="009F349F">
        <w:rPr>
          <w:rFonts w:hint="cs"/>
          <w:rtl/>
        </w:rPr>
        <w:t xml:space="preserve">. </w:t>
      </w:r>
    </w:p>
    <w:p w14:paraId="08CA94EE" w14:textId="5C7C4D85" w:rsidR="00865370" w:rsidRDefault="00D01DD8" w:rsidP="00070BEE">
      <w:pPr>
        <w:pStyle w:val="ListParagraph"/>
        <w:numPr>
          <w:ilvl w:val="0"/>
          <w:numId w:val="20"/>
        </w:numPr>
        <w:tabs>
          <w:tab w:val="left" w:pos="276"/>
        </w:tabs>
        <w:spacing w:after="200"/>
        <w:ind w:left="-7" w:firstLine="0"/>
        <w:contextualSpacing/>
      </w:pPr>
      <w:r>
        <w:rPr>
          <w:rFonts w:hint="cs"/>
          <w:rtl/>
        </w:rPr>
        <w:t>עוד</w:t>
      </w:r>
      <w:r w:rsidR="00865370">
        <w:rPr>
          <w:rFonts w:hint="cs"/>
          <w:rtl/>
        </w:rPr>
        <w:t xml:space="preserve"> עתרה ההגנה ל</w:t>
      </w:r>
      <w:r w:rsidR="005374BE">
        <w:rPr>
          <w:rFonts w:hint="cs"/>
          <w:rtl/>
        </w:rPr>
        <w:t xml:space="preserve">העמיד </w:t>
      </w:r>
      <w:r w:rsidR="00865370">
        <w:rPr>
          <w:rFonts w:hint="cs"/>
          <w:rtl/>
        </w:rPr>
        <w:t>את עונש</w:t>
      </w:r>
      <w:r w:rsidR="005374BE">
        <w:rPr>
          <w:rFonts w:hint="cs"/>
          <w:rtl/>
        </w:rPr>
        <w:t xml:space="preserve"> המאסר בעניינו של </w:t>
      </w:r>
      <w:r w:rsidR="00865370">
        <w:rPr>
          <w:rFonts w:hint="cs"/>
          <w:rtl/>
        </w:rPr>
        <w:t xml:space="preserve">המערער בתחתית </w:t>
      </w:r>
      <w:r w:rsidR="00D87A23">
        <w:rPr>
          <w:rFonts w:hint="cs"/>
          <w:rtl/>
        </w:rPr>
        <w:t>מתחם הע</w:t>
      </w:r>
      <w:r w:rsidR="005374BE">
        <w:rPr>
          <w:rFonts w:hint="cs"/>
          <w:rtl/>
        </w:rPr>
        <w:t>ו</w:t>
      </w:r>
      <w:r w:rsidR="00D87A23">
        <w:rPr>
          <w:rFonts w:hint="cs"/>
          <w:rtl/>
        </w:rPr>
        <w:t>נש</w:t>
      </w:r>
      <w:r w:rsidR="005374BE">
        <w:rPr>
          <w:rFonts w:hint="cs"/>
          <w:rtl/>
        </w:rPr>
        <w:t xml:space="preserve"> ההולם</w:t>
      </w:r>
      <w:r w:rsidR="00865370">
        <w:rPr>
          <w:rFonts w:hint="cs"/>
          <w:rtl/>
        </w:rPr>
        <w:t>. לעניין זה טענה ההגנה</w:t>
      </w:r>
      <w:r w:rsidR="005374BE">
        <w:rPr>
          <w:rFonts w:hint="cs"/>
          <w:rtl/>
        </w:rPr>
        <w:t>,</w:t>
      </w:r>
      <w:r w:rsidR="00865370">
        <w:rPr>
          <w:rFonts w:hint="cs"/>
          <w:rtl/>
        </w:rPr>
        <w:t xml:space="preserve"> כי בית הדין </w:t>
      </w:r>
      <w:r w:rsidR="005374BE">
        <w:rPr>
          <w:rFonts w:hint="cs"/>
          <w:rtl/>
        </w:rPr>
        <w:t xml:space="preserve">קמא </w:t>
      </w:r>
      <w:r w:rsidR="00865370">
        <w:rPr>
          <w:rFonts w:hint="cs"/>
          <w:rtl/>
        </w:rPr>
        <w:t xml:space="preserve">לא היה רשאי להתחשב </w:t>
      </w:r>
      <w:r w:rsidR="005374BE">
        <w:rPr>
          <w:rFonts w:hint="cs"/>
          <w:rtl/>
        </w:rPr>
        <w:t xml:space="preserve">שוב </w:t>
      </w:r>
      <w:r w:rsidR="00865370">
        <w:rPr>
          <w:rFonts w:hint="cs"/>
          <w:rtl/>
        </w:rPr>
        <w:t>ב</w:t>
      </w:r>
      <w:r w:rsidR="005374BE">
        <w:rPr>
          <w:rFonts w:hint="cs"/>
          <w:rtl/>
        </w:rPr>
        <w:t>היעדר שיתוף הפעולה של המערער בחקירה, לאחר שכבר התחשב בנתון זה בעת קביעת מתחם העונש ההולם, וכי היה עליו לייחס משקל נמוך יותר ל</w:t>
      </w:r>
      <w:r w:rsidR="00865370">
        <w:rPr>
          <w:rFonts w:hint="cs"/>
          <w:rtl/>
        </w:rPr>
        <w:t>שיקול</w:t>
      </w:r>
      <w:r w:rsidR="005374BE">
        <w:rPr>
          <w:rFonts w:hint="cs"/>
          <w:rtl/>
        </w:rPr>
        <w:t>י</w:t>
      </w:r>
      <w:r w:rsidR="00865370">
        <w:rPr>
          <w:rFonts w:hint="cs"/>
          <w:rtl/>
        </w:rPr>
        <w:t xml:space="preserve"> הרתעת הרבים ו</w:t>
      </w:r>
      <w:r w:rsidR="005374BE">
        <w:rPr>
          <w:rFonts w:hint="cs"/>
          <w:rtl/>
        </w:rPr>
        <w:t xml:space="preserve">הרתעת </w:t>
      </w:r>
      <w:r w:rsidR="00865370">
        <w:rPr>
          <w:rFonts w:hint="cs"/>
          <w:rtl/>
        </w:rPr>
        <w:t>היחיד</w:t>
      </w:r>
      <w:r w:rsidR="005374BE">
        <w:rPr>
          <w:rFonts w:hint="cs"/>
          <w:rtl/>
        </w:rPr>
        <w:t>,</w:t>
      </w:r>
      <w:r w:rsidR="00865370">
        <w:rPr>
          <w:rFonts w:hint="cs"/>
          <w:rtl/>
        </w:rPr>
        <w:t xml:space="preserve"> </w:t>
      </w:r>
      <w:r w:rsidR="005374BE">
        <w:rPr>
          <w:rFonts w:hint="cs"/>
          <w:rtl/>
        </w:rPr>
        <w:t xml:space="preserve">אשר לא תפסו מקום נכבד </w:t>
      </w:r>
      <w:r w:rsidR="00865370">
        <w:rPr>
          <w:rFonts w:hint="cs"/>
          <w:rtl/>
        </w:rPr>
        <w:t>בטיעוני</w:t>
      </w:r>
      <w:r w:rsidR="005374BE">
        <w:rPr>
          <w:rFonts w:hint="cs"/>
          <w:rtl/>
        </w:rPr>
        <w:t xml:space="preserve"> התביעה. נטען עוד, כי </w:t>
      </w:r>
      <w:r w:rsidR="00865370">
        <w:rPr>
          <w:rFonts w:hint="cs"/>
          <w:rtl/>
        </w:rPr>
        <w:t>לא נ</w:t>
      </w:r>
      <w:r w:rsidR="005374BE">
        <w:rPr>
          <w:rFonts w:hint="cs"/>
          <w:rtl/>
        </w:rPr>
        <w:t>י</w:t>
      </w:r>
      <w:r w:rsidR="00865370">
        <w:rPr>
          <w:rFonts w:hint="cs"/>
          <w:rtl/>
        </w:rPr>
        <w:t>תן משקל מספק לשיקולי הקול</w:t>
      </w:r>
      <w:r w:rsidR="005374BE">
        <w:rPr>
          <w:rFonts w:hint="cs"/>
          <w:rtl/>
        </w:rPr>
        <w:t>ה,</w:t>
      </w:r>
      <w:r w:rsidR="00865370">
        <w:rPr>
          <w:rFonts w:hint="cs"/>
          <w:rtl/>
        </w:rPr>
        <w:t xml:space="preserve"> </w:t>
      </w:r>
      <w:r w:rsidR="005374BE">
        <w:rPr>
          <w:rFonts w:hint="cs"/>
          <w:rtl/>
        </w:rPr>
        <w:t xml:space="preserve">ובהם, </w:t>
      </w:r>
      <w:r w:rsidR="00865370">
        <w:rPr>
          <w:rFonts w:hint="cs"/>
          <w:rtl/>
        </w:rPr>
        <w:t xml:space="preserve">הודאת המערער </w:t>
      </w:r>
      <w:r w:rsidR="005374BE">
        <w:rPr>
          <w:rFonts w:hint="cs"/>
          <w:rtl/>
        </w:rPr>
        <w:t xml:space="preserve">באשמות </w:t>
      </w:r>
      <w:r w:rsidR="00865370">
        <w:rPr>
          <w:rFonts w:hint="cs"/>
          <w:rtl/>
        </w:rPr>
        <w:t>והבעת החרטה</w:t>
      </w:r>
      <w:r w:rsidR="005374BE">
        <w:rPr>
          <w:rFonts w:hint="cs"/>
          <w:rtl/>
        </w:rPr>
        <w:t xml:space="preserve"> על</w:t>
      </w:r>
      <w:r w:rsidR="00D9107F">
        <w:rPr>
          <w:rFonts w:hint="cs"/>
          <w:rtl/>
        </w:rPr>
        <w:t>-</w:t>
      </w:r>
      <w:r w:rsidR="005374BE">
        <w:rPr>
          <w:rFonts w:hint="cs"/>
          <w:rtl/>
        </w:rPr>
        <w:t>ידיו</w:t>
      </w:r>
      <w:r w:rsidR="00865370">
        <w:rPr>
          <w:rFonts w:hint="cs"/>
          <w:rtl/>
        </w:rPr>
        <w:t xml:space="preserve">, חוות הדעת </w:t>
      </w:r>
      <w:r w:rsidR="005374BE">
        <w:rPr>
          <w:rFonts w:hint="cs"/>
          <w:rtl/>
        </w:rPr>
        <w:t xml:space="preserve">החיובית </w:t>
      </w:r>
      <w:r w:rsidR="00865370">
        <w:rPr>
          <w:rFonts w:hint="cs"/>
          <w:rtl/>
        </w:rPr>
        <w:t xml:space="preserve">של מפקדו, </w:t>
      </w:r>
      <w:r>
        <w:rPr>
          <w:rFonts w:hint="cs"/>
          <w:rtl/>
        </w:rPr>
        <w:t xml:space="preserve">העובדה כי </w:t>
      </w:r>
      <w:r w:rsidR="005374BE">
        <w:rPr>
          <w:rFonts w:hint="cs"/>
          <w:rtl/>
        </w:rPr>
        <w:t xml:space="preserve">שהה </w:t>
      </w:r>
      <w:r>
        <w:rPr>
          <w:rFonts w:hint="cs"/>
          <w:rtl/>
        </w:rPr>
        <w:t xml:space="preserve">במעצר בתקופת החגים, </w:t>
      </w:r>
      <w:r w:rsidR="00865370">
        <w:rPr>
          <w:rFonts w:hint="cs"/>
          <w:rtl/>
        </w:rPr>
        <w:t>העדר עבר פלילי והעובדה כי ה</w:t>
      </w:r>
      <w:r w:rsidR="005374BE">
        <w:rPr>
          <w:rFonts w:hint="cs"/>
          <w:rtl/>
        </w:rPr>
        <w:t xml:space="preserve">וא </w:t>
      </w:r>
      <w:r w:rsidR="00865370">
        <w:rPr>
          <w:rFonts w:hint="cs"/>
          <w:rtl/>
        </w:rPr>
        <w:t>עתיד להיות מפוטר משירות צבאי</w:t>
      </w:r>
      <w:r w:rsidR="005374BE">
        <w:rPr>
          <w:rFonts w:hint="cs"/>
          <w:rtl/>
        </w:rPr>
        <w:t>, לאחר שהורד מדרגותיו</w:t>
      </w:r>
      <w:r w:rsidR="00865370">
        <w:rPr>
          <w:rFonts w:hint="cs"/>
          <w:rtl/>
        </w:rPr>
        <w:t xml:space="preserve">.  </w:t>
      </w:r>
    </w:p>
    <w:p w14:paraId="5EC03531" w14:textId="0CECC9EF" w:rsidR="00834A7E" w:rsidRDefault="00834A7E" w:rsidP="00070BEE">
      <w:pPr>
        <w:pStyle w:val="ListParagraph"/>
        <w:numPr>
          <w:ilvl w:val="0"/>
          <w:numId w:val="20"/>
        </w:numPr>
        <w:tabs>
          <w:tab w:val="left" w:pos="276"/>
        </w:tabs>
        <w:spacing w:after="200"/>
        <w:ind w:left="-7" w:firstLine="0"/>
        <w:contextualSpacing/>
      </w:pPr>
      <w:r>
        <w:rPr>
          <w:rFonts w:hint="cs"/>
          <w:rtl/>
        </w:rPr>
        <w:t xml:space="preserve">אשר לעונש </w:t>
      </w:r>
      <w:r w:rsidR="005374BE">
        <w:rPr>
          <w:rFonts w:hint="cs"/>
          <w:rtl/>
        </w:rPr>
        <w:t xml:space="preserve">של </w:t>
      </w:r>
      <w:r>
        <w:rPr>
          <w:rFonts w:hint="cs"/>
          <w:rtl/>
        </w:rPr>
        <w:t xml:space="preserve">פסילת רישיונות </w:t>
      </w:r>
      <w:r w:rsidR="005374BE">
        <w:rPr>
          <w:rFonts w:hint="cs"/>
          <w:rtl/>
        </w:rPr>
        <w:t xml:space="preserve">נהיגה, </w:t>
      </w:r>
      <w:r>
        <w:rPr>
          <w:rFonts w:hint="cs"/>
          <w:rtl/>
        </w:rPr>
        <w:t>נטען, כי בית הדין קמא גזר על המערער עונש החורג ממדיניות הענישה הנהוגה</w:t>
      </w:r>
      <w:r w:rsidR="005374BE">
        <w:rPr>
          <w:rFonts w:hint="cs"/>
          <w:rtl/>
        </w:rPr>
        <w:t xml:space="preserve"> בנסיבות דומות</w:t>
      </w:r>
      <w:r>
        <w:rPr>
          <w:rFonts w:hint="cs"/>
          <w:rtl/>
        </w:rPr>
        <w:t xml:space="preserve">, </w:t>
      </w:r>
      <w:r w:rsidR="005374BE">
        <w:rPr>
          <w:rFonts w:hint="cs"/>
          <w:rtl/>
        </w:rPr>
        <w:t xml:space="preserve">וזאת, </w:t>
      </w:r>
      <w:r>
        <w:rPr>
          <w:rFonts w:hint="cs"/>
          <w:rtl/>
        </w:rPr>
        <w:t>מבלי שקבע מתחם עונש הולם</w:t>
      </w:r>
      <w:r w:rsidR="006316AA">
        <w:rPr>
          <w:rFonts w:hint="cs"/>
          <w:rtl/>
        </w:rPr>
        <w:t xml:space="preserve"> לרכיב עונשי זה</w:t>
      </w:r>
      <w:r>
        <w:rPr>
          <w:rFonts w:hint="cs"/>
          <w:rtl/>
        </w:rPr>
        <w:t xml:space="preserve">, </w:t>
      </w:r>
      <w:r w:rsidR="005374BE">
        <w:rPr>
          <w:rFonts w:hint="cs"/>
          <w:rtl/>
        </w:rPr>
        <w:t>כמתחייב מתיקון 113 לחוק העונשין</w:t>
      </w:r>
      <w:r w:rsidR="004440D6">
        <w:rPr>
          <w:rFonts w:hint="cs"/>
          <w:rtl/>
        </w:rPr>
        <w:t xml:space="preserve">. </w:t>
      </w:r>
    </w:p>
    <w:p w14:paraId="0EC584A0" w14:textId="77777777" w:rsidR="004B0EC0" w:rsidRDefault="00D01DD8" w:rsidP="00070BEE">
      <w:pPr>
        <w:pStyle w:val="ListParagraph"/>
        <w:numPr>
          <w:ilvl w:val="0"/>
          <w:numId w:val="20"/>
        </w:numPr>
        <w:tabs>
          <w:tab w:val="left" w:pos="276"/>
        </w:tabs>
        <w:spacing w:after="200"/>
        <w:ind w:left="-7" w:firstLine="0"/>
        <w:contextualSpacing/>
      </w:pPr>
      <w:r>
        <w:rPr>
          <w:rFonts w:hint="cs"/>
          <w:rtl/>
        </w:rPr>
        <w:t>לבסוף</w:t>
      </w:r>
      <w:r w:rsidR="006316AA">
        <w:rPr>
          <w:rFonts w:hint="cs"/>
          <w:rtl/>
        </w:rPr>
        <w:t>,</w:t>
      </w:r>
      <w:r>
        <w:rPr>
          <w:rFonts w:hint="cs"/>
          <w:rtl/>
        </w:rPr>
        <w:t xml:space="preserve"> </w:t>
      </w:r>
      <w:r w:rsidR="000F4C20">
        <w:rPr>
          <w:rFonts w:hint="cs"/>
          <w:rtl/>
        </w:rPr>
        <w:t xml:space="preserve">נטען ביחס לעונש המאסר המותנה שהושת על המערער בגין </w:t>
      </w:r>
      <w:r w:rsidR="002D6358">
        <w:rPr>
          <w:rFonts w:hint="cs"/>
          <w:rtl/>
        </w:rPr>
        <w:t>הרשעתו בעבירה של הפרעה לשוטר, כי החלתו על כלל ה</w:t>
      </w:r>
      <w:r w:rsidR="000F4C20">
        <w:rPr>
          <w:rFonts w:hint="cs"/>
          <w:rtl/>
        </w:rPr>
        <w:t xml:space="preserve">עבירות </w:t>
      </w:r>
      <w:r w:rsidR="002D6358">
        <w:rPr>
          <w:rFonts w:hint="cs"/>
          <w:rtl/>
        </w:rPr>
        <w:t>המנויות ב</w:t>
      </w:r>
      <w:r w:rsidR="000F4C20">
        <w:rPr>
          <w:rFonts w:hint="cs"/>
          <w:rtl/>
        </w:rPr>
        <w:t xml:space="preserve">פרק ט' סימן א' לחוק העונשין, </w:t>
      </w:r>
      <w:r w:rsidR="002D6358">
        <w:rPr>
          <w:rFonts w:hint="cs"/>
          <w:rtl/>
        </w:rPr>
        <w:t xml:space="preserve">רחבה מדי. נטען בהקשר זה, </w:t>
      </w:r>
      <w:r w:rsidR="000F4C20">
        <w:rPr>
          <w:rFonts w:hint="cs"/>
          <w:rtl/>
        </w:rPr>
        <w:t>כי התביעה לא עתרה להש</w:t>
      </w:r>
      <w:r w:rsidR="002D6358">
        <w:rPr>
          <w:rFonts w:hint="cs"/>
          <w:rtl/>
        </w:rPr>
        <w:t>י</w:t>
      </w:r>
      <w:r w:rsidR="000F4C20">
        <w:rPr>
          <w:rFonts w:hint="cs"/>
          <w:rtl/>
        </w:rPr>
        <w:t>ת עונש מותנה כה רחב בהיקפו</w:t>
      </w:r>
      <w:r w:rsidR="00D87A23">
        <w:rPr>
          <w:rFonts w:hint="cs"/>
          <w:rtl/>
        </w:rPr>
        <w:t>;</w:t>
      </w:r>
      <w:r w:rsidR="000F4C20">
        <w:rPr>
          <w:rFonts w:hint="cs"/>
          <w:rtl/>
        </w:rPr>
        <w:t xml:space="preserve"> וכי על </w:t>
      </w:r>
      <w:r w:rsidR="00C1070E">
        <w:rPr>
          <w:rFonts w:hint="cs"/>
          <w:rtl/>
        </w:rPr>
        <w:t>רב</w:t>
      </w:r>
      <w:r w:rsidR="00D87A23">
        <w:rPr>
          <w:rFonts w:hint="cs"/>
          <w:rtl/>
        </w:rPr>
        <w:t>"</w:t>
      </w:r>
      <w:r w:rsidR="00C1070E">
        <w:rPr>
          <w:rFonts w:hint="cs"/>
          <w:rtl/>
        </w:rPr>
        <w:t>ט נועם</w:t>
      </w:r>
      <w:r w:rsidR="002D6358">
        <w:rPr>
          <w:rFonts w:hint="cs"/>
          <w:rtl/>
        </w:rPr>
        <w:t xml:space="preserve">, שאף היא הייתה מעורבת באירוע, כלל לא הושת </w:t>
      </w:r>
      <w:r w:rsidR="000F4C20">
        <w:rPr>
          <w:rFonts w:hint="cs"/>
          <w:rtl/>
        </w:rPr>
        <w:t xml:space="preserve">עונש מאסר מותנה בגין עבירה של הפרעה לשוטר צבאי. </w:t>
      </w:r>
      <w:r>
        <w:rPr>
          <w:rFonts w:hint="cs"/>
          <w:rtl/>
        </w:rPr>
        <w:t xml:space="preserve">ההגנה </w:t>
      </w:r>
      <w:r w:rsidR="00D87A23">
        <w:rPr>
          <w:rFonts w:hint="cs"/>
          <w:rtl/>
        </w:rPr>
        <w:t>ביקשה</w:t>
      </w:r>
      <w:r>
        <w:rPr>
          <w:rFonts w:hint="cs"/>
          <w:rtl/>
        </w:rPr>
        <w:t xml:space="preserve"> אפוא</w:t>
      </w:r>
      <w:r w:rsidR="002D6358">
        <w:rPr>
          <w:rFonts w:hint="cs"/>
          <w:rtl/>
        </w:rPr>
        <w:t>,</w:t>
      </w:r>
      <w:r>
        <w:rPr>
          <w:rFonts w:hint="cs"/>
          <w:rtl/>
        </w:rPr>
        <w:t xml:space="preserve"> להסתפק בתנאי מידתי יותר</w:t>
      </w:r>
      <w:r w:rsidR="002D6358">
        <w:rPr>
          <w:rFonts w:hint="cs"/>
          <w:rtl/>
        </w:rPr>
        <w:t>,</w:t>
      </w:r>
      <w:r>
        <w:rPr>
          <w:rFonts w:hint="cs"/>
          <w:rtl/>
        </w:rPr>
        <w:t xml:space="preserve"> ההולם את נסיבות הרשעתו של המערער בעבירה זו. </w:t>
      </w:r>
    </w:p>
    <w:p w14:paraId="4A7DB036" w14:textId="77777777" w:rsidR="004B0EC0" w:rsidRDefault="004B0EC0" w:rsidP="00070BEE">
      <w:pPr>
        <w:pStyle w:val="ListParagraph"/>
        <w:numPr>
          <w:ilvl w:val="0"/>
          <w:numId w:val="20"/>
        </w:numPr>
        <w:tabs>
          <w:tab w:val="left" w:pos="276"/>
        </w:tabs>
        <w:spacing w:after="200"/>
        <w:ind w:left="-7" w:firstLine="0"/>
        <w:contextualSpacing/>
      </w:pPr>
      <w:r>
        <w:rPr>
          <w:rFonts w:hint="cs"/>
          <w:b/>
          <w:bCs/>
          <w:rtl/>
        </w:rPr>
        <w:t>התביעה</w:t>
      </w:r>
      <w:r>
        <w:rPr>
          <w:rFonts w:hint="cs"/>
          <w:rtl/>
        </w:rPr>
        <w:t xml:space="preserve"> </w:t>
      </w:r>
      <w:r w:rsidR="00A5341F">
        <w:rPr>
          <w:rFonts w:hint="cs"/>
          <w:rtl/>
        </w:rPr>
        <w:t>עתרה לדח</w:t>
      </w:r>
      <w:r w:rsidR="00797792">
        <w:rPr>
          <w:rFonts w:hint="cs"/>
          <w:rtl/>
        </w:rPr>
        <w:t xml:space="preserve">ות את </w:t>
      </w:r>
      <w:r w:rsidR="00A5341F">
        <w:rPr>
          <w:rFonts w:hint="cs"/>
          <w:rtl/>
        </w:rPr>
        <w:t>ערעור</w:t>
      </w:r>
      <w:r w:rsidR="00797792">
        <w:rPr>
          <w:rFonts w:hint="cs"/>
          <w:rtl/>
        </w:rPr>
        <w:t xml:space="preserve"> ההגנה</w:t>
      </w:r>
      <w:r w:rsidR="00A5341F">
        <w:rPr>
          <w:rFonts w:hint="cs"/>
          <w:rtl/>
        </w:rPr>
        <w:t>. בת</w:t>
      </w:r>
      <w:r w:rsidR="00797792">
        <w:rPr>
          <w:rFonts w:hint="cs"/>
          <w:rtl/>
        </w:rPr>
        <w:t>שובה</w:t>
      </w:r>
      <w:r w:rsidR="00A5341F">
        <w:rPr>
          <w:rFonts w:hint="cs"/>
          <w:rtl/>
        </w:rPr>
        <w:t xml:space="preserve"> </w:t>
      </w:r>
      <w:r w:rsidR="006316AA">
        <w:rPr>
          <w:rFonts w:hint="cs"/>
          <w:rtl/>
        </w:rPr>
        <w:t xml:space="preserve">לטענת חוסר הסמכות </w:t>
      </w:r>
      <w:r w:rsidR="00A5341F">
        <w:rPr>
          <w:rFonts w:hint="cs"/>
          <w:rtl/>
        </w:rPr>
        <w:t xml:space="preserve">ציינה, כי </w:t>
      </w:r>
      <w:r w:rsidR="00797792">
        <w:rPr>
          <w:rFonts w:hint="cs"/>
          <w:rtl/>
        </w:rPr>
        <w:t xml:space="preserve">בתיק בית הדין </w:t>
      </w:r>
      <w:r w:rsidR="006316AA">
        <w:rPr>
          <w:rFonts w:hint="cs"/>
          <w:rtl/>
        </w:rPr>
        <w:t xml:space="preserve">תיעוד בדבר </w:t>
      </w:r>
      <w:r w:rsidR="00A5341F">
        <w:rPr>
          <w:rFonts w:hint="cs"/>
          <w:rtl/>
        </w:rPr>
        <w:t>שיחה עם הסניגור</w:t>
      </w:r>
      <w:r w:rsidR="00797792">
        <w:rPr>
          <w:rFonts w:hint="cs"/>
          <w:rtl/>
        </w:rPr>
        <w:t>,</w:t>
      </w:r>
      <w:r w:rsidR="00A5341F">
        <w:rPr>
          <w:rFonts w:hint="cs"/>
          <w:rtl/>
        </w:rPr>
        <w:t xml:space="preserve"> </w:t>
      </w:r>
      <w:r w:rsidR="006316AA">
        <w:rPr>
          <w:rFonts w:hint="cs"/>
          <w:rtl/>
        </w:rPr>
        <w:t xml:space="preserve">אשר נערכה </w:t>
      </w:r>
      <w:r w:rsidR="00A5341F">
        <w:rPr>
          <w:rFonts w:hint="cs"/>
          <w:rtl/>
        </w:rPr>
        <w:t xml:space="preserve">בטרם </w:t>
      </w:r>
      <w:r w:rsidR="00797792">
        <w:rPr>
          <w:rFonts w:hint="cs"/>
          <w:rtl/>
        </w:rPr>
        <w:t>ניתנה ה</w:t>
      </w:r>
      <w:r w:rsidR="00A5341F">
        <w:rPr>
          <w:rFonts w:hint="cs"/>
          <w:rtl/>
        </w:rPr>
        <w:t>החלטה על כך שגזר הדין יוקרא בנוכחות האב"ד בלבד</w:t>
      </w:r>
      <w:r w:rsidR="006316AA">
        <w:rPr>
          <w:rFonts w:hint="cs"/>
          <w:rtl/>
        </w:rPr>
        <w:t>,</w:t>
      </w:r>
      <w:r w:rsidR="00797792">
        <w:rPr>
          <w:rFonts w:hint="cs"/>
          <w:rtl/>
        </w:rPr>
        <w:t xml:space="preserve"> </w:t>
      </w:r>
      <w:r w:rsidR="006316AA">
        <w:rPr>
          <w:rFonts w:hint="cs"/>
          <w:rtl/>
        </w:rPr>
        <w:t xml:space="preserve">שבה </w:t>
      </w:r>
      <w:r w:rsidR="00797792">
        <w:rPr>
          <w:rFonts w:hint="cs"/>
          <w:rtl/>
        </w:rPr>
        <w:t xml:space="preserve">נקרא </w:t>
      </w:r>
      <w:r w:rsidR="006316AA">
        <w:rPr>
          <w:rFonts w:hint="cs"/>
          <w:rtl/>
        </w:rPr>
        <w:t xml:space="preserve">לשוב </w:t>
      </w:r>
      <w:r w:rsidR="00797792">
        <w:rPr>
          <w:rFonts w:hint="cs"/>
          <w:rtl/>
        </w:rPr>
        <w:t xml:space="preserve">לדיון, אלא שלא היה נוכח במקום. נטען עוד, כי </w:t>
      </w:r>
      <w:r w:rsidR="00A5341F">
        <w:rPr>
          <w:rFonts w:hint="cs"/>
          <w:rtl/>
        </w:rPr>
        <w:t xml:space="preserve">המערער וסניגורו נכחו במעמד הקראת גזר הדין ולא </w:t>
      </w:r>
      <w:r w:rsidR="00797792">
        <w:rPr>
          <w:rFonts w:hint="cs"/>
          <w:rtl/>
        </w:rPr>
        <w:t xml:space="preserve">העלו כל הסתייגות </w:t>
      </w:r>
      <w:r w:rsidR="006316AA">
        <w:rPr>
          <w:rFonts w:hint="cs"/>
          <w:rtl/>
        </w:rPr>
        <w:t>ביחס לאופן שבו הוקרא</w:t>
      </w:r>
      <w:r w:rsidR="00351DBE">
        <w:rPr>
          <w:rFonts w:hint="cs"/>
          <w:rtl/>
        </w:rPr>
        <w:t xml:space="preserve">. נטען, כי נוכח האמור, </w:t>
      </w:r>
      <w:r w:rsidR="00A5341F">
        <w:rPr>
          <w:rFonts w:hint="cs"/>
          <w:rtl/>
        </w:rPr>
        <w:t>המערער מושתק מל</w:t>
      </w:r>
      <w:r w:rsidR="00351DBE">
        <w:rPr>
          <w:rFonts w:hint="cs"/>
          <w:rtl/>
        </w:rPr>
        <w:t xml:space="preserve">העלות טענות </w:t>
      </w:r>
      <w:r w:rsidR="006316AA">
        <w:rPr>
          <w:rFonts w:hint="cs"/>
          <w:rtl/>
        </w:rPr>
        <w:t xml:space="preserve">אלה </w:t>
      </w:r>
      <w:r w:rsidR="00351DBE">
        <w:rPr>
          <w:rFonts w:hint="cs"/>
          <w:rtl/>
        </w:rPr>
        <w:t xml:space="preserve">כעת, בשלב הערעור. </w:t>
      </w:r>
    </w:p>
    <w:p w14:paraId="52DDE966" w14:textId="2B6A32B1" w:rsidR="00A5341F" w:rsidRDefault="00351DBE" w:rsidP="00070BEE">
      <w:pPr>
        <w:pStyle w:val="ListParagraph"/>
        <w:numPr>
          <w:ilvl w:val="0"/>
          <w:numId w:val="20"/>
        </w:numPr>
        <w:tabs>
          <w:tab w:val="left" w:pos="276"/>
        </w:tabs>
        <w:spacing w:after="200"/>
        <w:ind w:left="-7" w:firstLine="0"/>
        <w:contextualSpacing/>
        <w:rPr>
          <w:rtl/>
        </w:rPr>
      </w:pPr>
      <w:r>
        <w:rPr>
          <w:rFonts w:hint="cs"/>
          <w:rtl/>
        </w:rPr>
        <w:t>לגופו של עניין, נטען על</w:t>
      </w:r>
      <w:r w:rsidR="00D9107F">
        <w:rPr>
          <w:rFonts w:hint="cs"/>
          <w:rtl/>
        </w:rPr>
        <w:t xml:space="preserve"> - </w:t>
      </w:r>
      <w:r>
        <w:rPr>
          <w:rFonts w:hint="cs"/>
          <w:rtl/>
        </w:rPr>
        <w:t xml:space="preserve">ידי </w:t>
      </w:r>
      <w:r w:rsidR="00A24D0D">
        <w:rPr>
          <w:rFonts w:hint="cs"/>
          <w:rtl/>
        </w:rPr>
        <w:t xml:space="preserve">התביעה, כי בעניינו של המערער </w:t>
      </w:r>
      <w:r w:rsidR="008C5D27">
        <w:rPr>
          <w:rFonts w:hint="cs"/>
          <w:rtl/>
        </w:rPr>
        <w:t>מתקיימות נסיבות חומרה משמעותיות</w:t>
      </w:r>
      <w:r w:rsidR="00A24D0D">
        <w:rPr>
          <w:rFonts w:hint="cs"/>
          <w:rtl/>
        </w:rPr>
        <w:t>,</w:t>
      </w:r>
      <w:r w:rsidR="008C5D27">
        <w:rPr>
          <w:rFonts w:hint="cs"/>
          <w:rtl/>
        </w:rPr>
        <w:t xml:space="preserve"> אשר נשקלו כדבעי על</w:t>
      </w:r>
      <w:r w:rsidR="00D9107F">
        <w:rPr>
          <w:rFonts w:hint="cs"/>
          <w:rtl/>
        </w:rPr>
        <w:t>-</w:t>
      </w:r>
      <w:r w:rsidR="008C5D27">
        <w:rPr>
          <w:rFonts w:hint="cs"/>
          <w:rtl/>
        </w:rPr>
        <w:t>ידי בית הדין קמא; וכי בית הדין קמא נדרש לתשתית העובדתית כפי ש</w:t>
      </w:r>
      <w:r>
        <w:rPr>
          <w:rFonts w:hint="cs"/>
          <w:rtl/>
        </w:rPr>
        <w:t>פורטה ב</w:t>
      </w:r>
      <w:r w:rsidR="008C5D27">
        <w:rPr>
          <w:rFonts w:hint="cs"/>
          <w:rtl/>
        </w:rPr>
        <w:t xml:space="preserve">כתב האישום המתוקן ולא </w:t>
      </w:r>
      <w:r>
        <w:rPr>
          <w:rFonts w:hint="cs"/>
          <w:rtl/>
        </w:rPr>
        <w:t xml:space="preserve">חרג </w:t>
      </w:r>
      <w:r w:rsidR="006316AA">
        <w:rPr>
          <w:rFonts w:hint="cs"/>
          <w:rtl/>
        </w:rPr>
        <w:t>ממנה</w:t>
      </w:r>
      <w:r w:rsidR="008C5D27">
        <w:rPr>
          <w:rFonts w:hint="cs"/>
          <w:rtl/>
        </w:rPr>
        <w:t xml:space="preserve">. התביעה טענה עוד כי הכלל בדבר אחידות הענישה אינו חזות הכל, וכי </w:t>
      </w:r>
      <w:r>
        <w:rPr>
          <w:rFonts w:hint="cs"/>
          <w:rtl/>
        </w:rPr>
        <w:t xml:space="preserve">מכל מקום, </w:t>
      </w:r>
      <w:r w:rsidR="008C5D27">
        <w:rPr>
          <w:rFonts w:hint="cs"/>
          <w:rtl/>
        </w:rPr>
        <w:t xml:space="preserve">קיימים הבדלים משמעותיים בין המערער לבין </w:t>
      </w:r>
      <w:r w:rsidR="00C1070E">
        <w:rPr>
          <w:rFonts w:hint="cs"/>
          <w:rtl/>
        </w:rPr>
        <w:t>רב</w:t>
      </w:r>
      <w:r w:rsidR="00A24D0D">
        <w:rPr>
          <w:rFonts w:hint="cs"/>
          <w:rtl/>
        </w:rPr>
        <w:t>"</w:t>
      </w:r>
      <w:r w:rsidR="00C1070E">
        <w:rPr>
          <w:rFonts w:hint="cs"/>
          <w:rtl/>
        </w:rPr>
        <w:t>ט נועם</w:t>
      </w:r>
      <w:r w:rsidR="008C5D27">
        <w:rPr>
          <w:rFonts w:hint="cs"/>
          <w:rtl/>
        </w:rPr>
        <w:t xml:space="preserve">, הן בשל היותו </w:t>
      </w:r>
      <w:r>
        <w:rPr>
          <w:rFonts w:hint="cs"/>
          <w:rtl/>
        </w:rPr>
        <w:t xml:space="preserve">של המערער </w:t>
      </w:r>
      <w:r w:rsidR="008C5D27">
        <w:rPr>
          <w:rFonts w:hint="cs"/>
          <w:rtl/>
        </w:rPr>
        <w:t>קצין ומפקד, הן ל</w:t>
      </w:r>
      <w:r>
        <w:rPr>
          <w:rFonts w:hint="cs"/>
          <w:rtl/>
        </w:rPr>
        <w:t xml:space="preserve">נוכח היקף </w:t>
      </w:r>
      <w:r w:rsidR="008C5D27">
        <w:rPr>
          <w:rFonts w:hint="cs"/>
          <w:rtl/>
        </w:rPr>
        <w:t>מעורבותו ב</w:t>
      </w:r>
      <w:r>
        <w:rPr>
          <w:rFonts w:hint="cs"/>
          <w:rtl/>
        </w:rPr>
        <w:t>עבירות ו</w:t>
      </w:r>
      <w:r w:rsidR="006316AA">
        <w:rPr>
          <w:rFonts w:hint="cs"/>
          <w:rtl/>
        </w:rPr>
        <w:t>ב</w:t>
      </w:r>
      <w:r w:rsidR="008C5D27">
        <w:rPr>
          <w:rFonts w:hint="cs"/>
          <w:rtl/>
        </w:rPr>
        <w:t>הבאת הסם לחיילים אחרים</w:t>
      </w:r>
      <w:r>
        <w:rPr>
          <w:rFonts w:hint="cs"/>
          <w:rtl/>
        </w:rPr>
        <w:t>,</w:t>
      </w:r>
      <w:r w:rsidR="008C5D27">
        <w:rPr>
          <w:rFonts w:hint="cs"/>
          <w:rtl/>
        </w:rPr>
        <w:t xml:space="preserve"> והן לאור קשיים ראייתיים </w:t>
      </w:r>
      <w:r>
        <w:rPr>
          <w:rFonts w:hint="cs"/>
          <w:rtl/>
        </w:rPr>
        <w:t xml:space="preserve">שהתקיימו </w:t>
      </w:r>
      <w:r w:rsidR="008C5D27">
        <w:rPr>
          <w:rFonts w:hint="cs"/>
          <w:rtl/>
        </w:rPr>
        <w:t xml:space="preserve">בעניינה של </w:t>
      </w:r>
      <w:r w:rsidR="00C1070E">
        <w:rPr>
          <w:rFonts w:hint="cs"/>
          <w:rtl/>
        </w:rPr>
        <w:t>רב</w:t>
      </w:r>
      <w:r w:rsidR="00A24D0D">
        <w:rPr>
          <w:rFonts w:hint="cs"/>
          <w:rtl/>
        </w:rPr>
        <w:t>"</w:t>
      </w:r>
      <w:r w:rsidR="00C1070E">
        <w:rPr>
          <w:rFonts w:hint="cs"/>
          <w:rtl/>
        </w:rPr>
        <w:t>ט נועם</w:t>
      </w:r>
      <w:r>
        <w:rPr>
          <w:rFonts w:hint="cs"/>
          <w:rtl/>
        </w:rPr>
        <w:t xml:space="preserve"> ונשקלו בעת גיבוש הסדר הטיעון עמה</w:t>
      </w:r>
      <w:r w:rsidR="008C5D27">
        <w:rPr>
          <w:rFonts w:hint="cs"/>
          <w:rtl/>
        </w:rPr>
        <w:t xml:space="preserve">. </w:t>
      </w:r>
      <w:r w:rsidR="009F349F">
        <w:rPr>
          <w:rFonts w:hint="cs"/>
          <w:rtl/>
        </w:rPr>
        <w:t>התביעה התנגדה גם ל</w:t>
      </w:r>
      <w:r>
        <w:rPr>
          <w:rFonts w:hint="cs"/>
          <w:rtl/>
        </w:rPr>
        <w:t>עתיר</w:t>
      </w:r>
      <w:r w:rsidR="001D6DFC">
        <w:rPr>
          <w:rFonts w:hint="cs"/>
          <w:rtl/>
        </w:rPr>
        <w:t>תו</w:t>
      </w:r>
      <w:r>
        <w:rPr>
          <w:rFonts w:hint="cs"/>
          <w:rtl/>
        </w:rPr>
        <w:t xml:space="preserve"> החלופית של הסנגור</w:t>
      </w:r>
      <w:r w:rsidR="004D0C3D">
        <w:rPr>
          <w:rFonts w:hint="cs"/>
          <w:rtl/>
        </w:rPr>
        <w:t xml:space="preserve"> </w:t>
      </w:r>
      <w:r w:rsidR="001D6DFC">
        <w:rPr>
          <w:rFonts w:hint="cs"/>
          <w:rtl/>
        </w:rPr>
        <w:t xml:space="preserve">להימנע מלנכות </w:t>
      </w:r>
      <w:r w:rsidR="00924475">
        <w:rPr>
          <w:rFonts w:hint="cs"/>
          <w:rtl/>
        </w:rPr>
        <w:t xml:space="preserve">את ימי המעצר </w:t>
      </w:r>
      <w:r w:rsidR="001D6DFC">
        <w:rPr>
          <w:rFonts w:hint="cs"/>
          <w:rtl/>
        </w:rPr>
        <w:t xml:space="preserve">מתקופת המאסר בפועל. נטען, כי </w:t>
      </w:r>
      <w:r w:rsidR="009F349F">
        <w:rPr>
          <w:rFonts w:hint="cs"/>
          <w:rtl/>
        </w:rPr>
        <w:t xml:space="preserve">פתרון זה אינו מתאים </w:t>
      </w:r>
      <w:r w:rsidR="00A24D0D">
        <w:rPr>
          <w:rFonts w:hint="cs"/>
          <w:rtl/>
        </w:rPr>
        <w:t>בנסיבות עניינו של המערער</w:t>
      </w:r>
      <w:r w:rsidR="001D6DFC">
        <w:rPr>
          <w:rFonts w:hint="cs"/>
          <w:rtl/>
        </w:rPr>
        <w:t>, אשר ראוי לעונש מאסר בפועל, הגורר עמו רישום פלילי מלא</w:t>
      </w:r>
      <w:r w:rsidR="00A24D0D">
        <w:rPr>
          <w:rFonts w:hint="cs"/>
          <w:rtl/>
        </w:rPr>
        <w:t>.</w:t>
      </w:r>
    </w:p>
    <w:p w14:paraId="264FC978" w14:textId="68B0E1E7" w:rsidR="009F349F" w:rsidRDefault="008C5D27" w:rsidP="00442F7D">
      <w:pPr>
        <w:pStyle w:val="ListParagraph"/>
        <w:numPr>
          <w:ilvl w:val="0"/>
          <w:numId w:val="20"/>
        </w:numPr>
        <w:tabs>
          <w:tab w:val="left" w:pos="276"/>
        </w:tabs>
        <w:spacing w:after="200"/>
        <w:ind w:left="-7" w:firstLine="0"/>
        <w:contextualSpacing/>
        <w:rPr>
          <w:rtl/>
        </w:rPr>
      </w:pPr>
      <w:r>
        <w:rPr>
          <w:rFonts w:hint="cs"/>
          <w:rtl/>
        </w:rPr>
        <w:t xml:space="preserve">אשר לעונש פסילת הרישיונות והמאסר המותנה, </w:t>
      </w:r>
      <w:r w:rsidR="0042577A">
        <w:rPr>
          <w:rFonts w:hint="cs"/>
          <w:rtl/>
        </w:rPr>
        <w:t xml:space="preserve">אישרה </w:t>
      </w:r>
      <w:r>
        <w:rPr>
          <w:rFonts w:hint="cs"/>
          <w:rtl/>
        </w:rPr>
        <w:t xml:space="preserve">התביעה כי </w:t>
      </w:r>
      <w:r w:rsidR="0042577A">
        <w:rPr>
          <w:rFonts w:hint="cs"/>
          <w:rtl/>
        </w:rPr>
        <w:t>ב</w:t>
      </w:r>
      <w:r w:rsidR="00A24D0D">
        <w:rPr>
          <w:rFonts w:hint="cs"/>
          <w:rtl/>
        </w:rPr>
        <w:t>טיעוניה בפני בית הדין קמא</w:t>
      </w:r>
      <w:r w:rsidR="0042577A">
        <w:rPr>
          <w:rFonts w:hint="cs"/>
          <w:rtl/>
        </w:rPr>
        <w:t>,</w:t>
      </w:r>
      <w:r w:rsidR="00A24D0D">
        <w:rPr>
          <w:rFonts w:hint="cs"/>
          <w:rtl/>
        </w:rPr>
        <w:t xml:space="preserve"> </w:t>
      </w:r>
      <w:r>
        <w:rPr>
          <w:rFonts w:hint="cs"/>
          <w:rtl/>
        </w:rPr>
        <w:t xml:space="preserve">הותירה את מידתם </w:t>
      </w:r>
      <w:r w:rsidR="0042577A">
        <w:rPr>
          <w:rFonts w:hint="cs"/>
          <w:rtl/>
        </w:rPr>
        <w:t xml:space="preserve">ואופיים </w:t>
      </w:r>
      <w:r>
        <w:rPr>
          <w:rFonts w:hint="cs"/>
          <w:rtl/>
        </w:rPr>
        <w:t>לשיקול דעת בית הדין</w:t>
      </w:r>
      <w:r w:rsidR="0042577A">
        <w:rPr>
          <w:rFonts w:hint="cs"/>
          <w:rtl/>
        </w:rPr>
        <w:t xml:space="preserve">, מבלי שנקבה במתחם עונש הולם </w:t>
      </w:r>
      <w:r w:rsidR="00584FA4">
        <w:rPr>
          <w:rFonts w:hint="cs"/>
          <w:rtl/>
        </w:rPr>
        <w:t>לגבי רכיב הפסילה</w:t>
      </w:r>
      <w:r w:rsidR="00A24D0D">
        <w:rPr>
          <w:rFonts w:hint="cs"/>
          <w:rtl/>
        </w:rPr>
        <w:t>.</w:t>
      </w:r>
      <w:r>
        <w:rPr>
          <w:rFonts w:hint="cs"/>
          <w:rtl/>
        </w:rPr>
        <w:t xml:space="preserve"> </w:t>
      </w:r>
      <w:r w:rsidR="00584FA4">
        <w:rPr>
          <w:rFonts w:hint="cs"/>
          <w:rtl/>
        </w:rPr>
        <w:t xml:space="preserve">מכל מקום, </w:t>
      </w:r>
      <w:r>
        <w:rPr>
          <w:rFonts w:hint="cs"/>
          <w:rtl/>
        </w:rPr>
        <w:t>אף אם ראוי היה לקבוע מתחם ע</w:t>
      </w:r>
      <w:r w:rsidR="001D6DFC">
        <w:rPr>
          <w:rFonts w:hint="cs"/>
          <w:rtl/>
        </w:rPr>
        <w:t>ו</w:t>
      </w:r>
      <w:r>
        <w:rPr>
          <w:rFonts w:hint="cs"/>
          <w:rtl/>
        </w:rPr>
        <w:t>נש</w:t>
      </w:r>
      <w:r w:rsidR="001D6DFC">
        <w:rPr>
          <w:rFonts w:hint="cs"/>
          <w:rtl/>
        </w:rPr>
        <w:t xml:space="preserve"> הולם לגביו</w:t>
      </w:r>
      <w:r>
        <w:rPr>
          <w:rFonts w:hint="cs"/>
          <w:rtl/>
        </w:rPr>
        <w:t xml:space="preserve">, הרי </w:t>
      </w:r>
      <w:r w:rsidR="005F10C0">
        <w:rPr>
          <w:rFonts w:hint="cs"/>
          <w:rtl/>
        </w:rPr>
        <w:t xml:space="preserve">שבחינה מהותית של העונש שהוטל מעלה כי הוא </w:t>
      </w:r>
      <w:r>
        <w:rPr>
          <w:rFonts w:hint="cs"/>
          <w:rtl/>
        </w:rPr>
        <w:t xml:space="preserve">סביר </w:t>
      </w:r>
      <w:r w:rsidR="001D6DFC">
        <w:rPr>
          <w:rFonts w:hint="cs"/>
          <w:rtl/>
        </w:rPr>
        <w:t xml:space="preserve">והולם </w:t>
      </w:r>
      <w:r>
        <w:rPr>
          <w:rFonts w:hint="cs"/>
          <w:rtl/>
        </w:rPr>
        <w:t xml:space="preserve">בנסיבות העניין. אשר לעונש המאסר המותנה, נטען כי </w:t>
      </w:r>
      <w:r w:rsidR="005F10C0">
        <w:rPr>
          <w:rFonts w:hint="cs"/>
          <w:rtl/>
        </w:rPr>
        <w:t>ה</w:t>
      </w:r>
      <w:r w:rsidR="001D6DFC">
        <w:rPr>
          <w:rFonts w:hint="cs"/>
          <w:rtl/>
        </w:rPr>
        <w:t xml:space="preserve">עונש </w:t>
      </w:r>
      <w:r w:rsidR="005F10C0">
        <w:rPr>
          <w:rFonts w:hint="cs"/>
          <w:rtl/>
        </w:rPr>
        <w:t>שהוטל מ</w:t>
      </w:r>
      <w:r>
        <w:rPr>
          <w:rFonts w:hint="cs"/>
          <w:rtl/>
        </w:rPr>
        <w:t xml:space="preserve">שקף את אופי המעשים </w:t>
      </w:r>
      <w:r w:rsidR="00862040">
        <w:rPr>
          <w:rFonts w:hint="cs"/>
          <w:rtl/>
        </w:rPr>
        <w:t>ש</w:t>
      </w:r>
      <w:r>
        <w:rPr>
          <w:rFonts w:hint="cs"/>
          <w:rtl/>
        </w:rPr>
        <w:t xml:space="preserve">בהם הורשע המערער, </w:t>
      </w:r>
      <w:r w:rsidR="005F10C0">
        <w:rPr>
          <w:rFonts w:hint="cs"/>
          <w:rtl/>
        </w:rPr>
        <w:t xml:space="preserve">ואין באי-קביעתו של רכיב דומה בעניינה של רב"ט נועם כדי </w:t>
      </w:r>
      <w:r w:rsidR="00AC313D">
        <w:rPr>
          <w:rFonts w:hint="cs"/>
          <w:rtl/>
        </w:rPr>
        <w:t xml:space="preserve">להכתיב תוצאה זהה. </w:t>
      </w:r>
    </w:p>
    <w:p w14:paraId="5DF0CB25" w14:textId="6D4C9BFC" w:rsidR="007101E7" w:rsidRDefault="00070BEE" w:rsidP="00B42A4B">
      <w:pPr>
        <w:tabs>
          <w:tab w:val="left" w:pos="226"/>
        </w:tabs>
        <w:spacing w:line="348" w:lineRule="auto"/>
        <w:ind w:left="-514" w:firstLine="90"/>
        <w:rPr>
          <w:b/>
          <w:bCs/>
          <w:u w:val="single"/>
          <w:rtl/>
        </w:rPr>
      </w:pPr>
      <w:r>
        <w:rPr>
          <w:rFonts w:hint="cs"/>
          <w:b/>
          <w:bCs/>
          <w:rtl/>
        </w:rPr>
        <w:t xml:space="preserve">       </w:t>
      </w:r>
      <w:r w:rsidR="007101E7" w:rsidRPr="00E310DA">
        <w:rPr>
          <w:rFonts w:hint="cs"/>
          <w:b/>
          <w:bCs/>
          <w:u w:val="single"/>
          <w:rtl/>
        </w:rPr>
        <w:t>דיון והכרעה</w:t>
      </w:r>
    </w:p>
    <w:p w14:paraId="79AE4060" w14:textId="77777777" w:rsidR="004B0EC0" w:rsidRPr="00AD4EA9" w:rsidRDefault="004B0EC0" w:rsidP="00B42A4B">
      <w:pPr>
        <w:spacing w:line="348" w:lineRule="auto"/>
        <w:ind w:left="-58"/>
        <w:rPr>
          <w:b/>
          <w:bCs/>
          <w:sz w:val="4"/>
          <w:szCs w:val="4"/>
          <w:u w:val="single"/>
          <w:rtl/>
        </w:rPr>
      </w:pPr>
    </w:p>
    <w:p w14:paraId="2CE89F55" w14:textId="4E8CF28C" w:rsidR="00CF4418" w:rsidRPr="00CF4418" w:rsidRDefault="00A00B6A" w:rsidP="00442F7D">
      <w:pPr>
        <w:pStyle w:val="ListParagraph"/>
        <w:numPr>
          <w:ilvl w:val="0"/>
          <w:numId w:val="20"/>
        </w:numPr>
        <w:tabs>
          <w:tab w:val="left" w:pos="276"/>
        </w:tabs>
        <w:spacing w:after="200"/>
        <w:ind w:left="-7" w:firstLine="0"/>
        <w:contextualSpacing/>
        <w:rPr>
          <w:rtl/>
        </w:rPr>
      </w:pPr>
      <w:r>
        <w:rPr>
          <w:rFonts w:hint="cs"/>
          <w:rtl/>
        </w:rPr>
        <w:t xml:space="preserve">בפתח הדברים, </w:t>
      </w:r>
      <w:r w:rsidR="001D6DFC">
        <w:rPr>
          <w:rFonts w:hint="cs"/>
          <w:rtl/>
        </w:rPr>
        <w:t>נבהיר</w:t>
      </w:r>
      <w:r>
        <w:rPr>
          <w:rFonts w:hint="cs"/>
          <w:rtl/>
        </w:rPr>
        <w:t xml:space="preserve">, כי </w:t>
      </w:r>
      <w:r w:rsidR="001D6DFC">
        <w:rPr>
          <w:rFonts w:hint="cs"/>
          <w:rtl/>
        </w:rPr>
        <w:t xml:space="preserve">מצאנו לדחות את טענות ההגנה </w:t>
      </w:r>
      <w:r w:rsidR="008A7900">
        <w:rPr>
          <w:rFonts w:hint="cs"/>
          <w:rtl/>
        </w:rPr>
        <w:t xml:space="preserve">שלפיהן </w:t>
      </w:r>
      <w:r>
        <w:rPr>
          <w:rFonts w:hint="cs"/>
          <w:rtl/>
        </w:rPr>
        <w:t xml:space="preserve">גזר הדין </w:t>
      </w:r>
      <w:r w:rsidR="008A7900">
        <w:rPr>
          <w:rFonts w:hint="cs"/>
          <w:rtl/>
        </w:rPr>
        <w:t xml:space="preserve">ניתן </w:t>
      </w:r>
      <w:r>
        <w:rPr>
          <w:rFonts w:hint="cs"/>
          <w:rtl/>
        </w:rPr>
        <w:t>בחוסר סמכות</w:t>
      </w:r>
      <w:r w:rsidR="008A7900">
        <w:rPr>
          <w:rFonts w:hint="cs"/>
          <w:rtl/>
        </w:rPr>
        <w:t xml:space="preserve">, </w:t>
      </w:r>
      <w:r w:rsidR="00A24D0D">
        <w:rPr>
          <w:rFonts w:hint="cs"/>
          <w:rtl/>
        </w:rPr>
        <w:t>על ידי האב"ד בלבד</w:t>
      </w:r>
      <w:r>
        <w:rPr>
          <w:rFonts w:hint="cs"/>
          <w:rtl/>
        </w:rPr>
        <w:t xml:space="preserve">. מעיון בתרשומת </w:t>
      </w:r>
      <w:r w:rsidR="008A7900">
        <w:rPr>
          <w:rFonts w:hint="cs"/>
          <w:rtl/>
        </w:rPr>
        <w:t xml:space="preserve">המצויה </w:t>
      </w:r>
      <w:r>
        <w:rPr>
          <w:rFonts w:hint="cs"/>
          <w:rtl/>
        </w:rPr>
        <w:t>בתיק בית הדין</w:t>
      </w:r>
      <w:r w:rsidR="008A7900">
        <w:rPr>
          <w:rFonts w:hint="cs"/>
          <w:rtl/>
        </w:rPr>
        <w:t>,</w:t>
      </w:r>
      <w:r>
        <w:rPr>
          <w:rFonts w:hint="cs"/>
          <w:rtl/>
        </w:rPr>
        <w:t xml:space="preserve"> שנערכה ביום 27 באפריל 2022, ה</w:t>
      </w:r>
      <w:r w:rsidR="008A7900">
        <w:rPr>
          <w:rFonts w:hint="cs"/>
          <w:rtl/>
        </w:rPr>
        <w:t>מועד</w:t>
      </w:r>
      <w:r>
        <w:rPr>
          <w:rFonts w:hint="cs"/>
          <w:rtl/>
        </w:rPr>
        <w:t xml:space="preserve"> </w:t>
      </w:r>
      <w:r w:rsidR="00E01372">
        <w:rPr>
          <w:rFonts w:hint="cs"/>
          <w:rtl/>
        </w:rPr>
        <w:t>ש</w:t>
      </w:r>
      <w:r>
        <w:rPr>
          <w:rFonts w:hint="cs"/>
          <w:rtl/>
        </w:rPr>
        <w:t xml:space="preserve">בו </w:t>
      </w:r>
      <w:r w:rsidR="008A7900">
        <w:rPr>
          <w:rFonts w:hint="cs"/>
          <w:rtl/>
        </w:rPr>
        <w:t xml:space="preserve">הוצגו </w:t>
      </w:r>
      <w:r>
        <w:rPr>
          <w:rFonts w:hint="cs"/>
          <w:rtl/>
        </w:rPr>
        <w:t>טיעוני הצדדים לעונש, עולה, כי</w:t>
      </w:r>
      <w:r w:rsidR="00DC420B">
        <w:rPr>
          <w:rFonts w:hint="cs"/>
          <w:rtl/>
        </w:rPr>
        <w:t xml:space="preserve"> </w:t>
      </w:r>
      <w:r w:rsidR="00A24D0D">
        <w:rPr>
          <w:rFonts w:hint="cs"/>
          <w:rtl/>
        </w:rPr>
        <w:t>לאחר שמיעת הטיעונים לעונש</w:t>
      </w:r>
      <w:r w:rsidR="008A7900">
        <w:rPr>
          <w:rFonts w:hint="cs"/>
          <w:rtl/>
        </w:rPr>
        <w:t>,</w:t>
      </w:r>
      <w:r w:rsidR="00A24D0D">
        <w:rPr>
          <w:rFonts w:hint="cs"/>
          <w:rtl/>
        </w:rPr>
        <w:t xml:space="preserve"> יצא מותב בית הדין </w:t>
      </w:r>
      <w:r w:rsidR="008A7900">
        <w:rPr>
          <w:rFonts w:hint="cs"/>
          <w:rtl/>
        </w:rPr>
        <w:t xml:space="preserve">מן האולם כדי </w:t>
      </w:r>
      <w:r w:rsidR="00A24D0D">
        <w:rPr>
          <w:rFonts w:hint="cs"/>
          <w:rtl/>
        </w:rPr>
        <w:t>לדון ב</w:t>
      </w:r>
      <w:r w:rsidR="008A7900">
        <w:rPr>
          <w:rFonts w:hint="cs"/>
          <w:rtl/>
        </w:rPr>
        <w:t>טענות הצדדים ב</w:t>
      </w:r>
      <w:r w:rsidR="00A24D0D">
        <w:rPr>
          <w:rFonts w:hint="cs"/>
          <w:rtl/>
        </w:rPr>
        <w:t>תיק</w:t>
      </w:r>
      <w:r w:rsidR="008A7900">
        <w:rPr>
          <w:rFonts w:hint="cs"/>
          <w:rtl/>
        </w:rPr>
        <w:t xml:space="preserve">. הצדדים הוזמנו לאחר מכן </w:t>
      </w:r>
      <w:r w:rsidR="00AC313D">
        <w:rPr>
          <w:rFonts w:hint="cs"/>
          <w:rtl/>
        </w:rPr>
        <w:t xml:space="preserve">לשוב </w:t>
      </w:r>
      <w:r w:rsidR="00A24D0D">
        <w:rPr>
          <w:rFonts w:hint="cs"/>
          <w:rtl/>
        </w:rPr>
        <w:t xml:space="preserve">אל אולם </w:t>
      </w:r>
      <w:r w:rsidR="008A7900">
        <w:rPr>
          <w:rFonts w:hint="cs"/>
          <w:rtl/>
        </w:rPr>
        <w:t xml:space="preserve">הדיונים </w:t>
      </w:r>
      <w:r w:rsidR="00A24D0D">
        <w:rPr>
          <w:rFonts w:hint="cs"/>
          <w:rtl/>
        </w:rPr>
        <w:t>לשמיעת החלטת</w:t>
      </w:r>
      <w:r w:rsidR="008A7900">
        <w:rPr>
          <w:rFonts w:hint="cs"/>
          <w:rtl/>
        </w:rPr>
        <w:t xml:space="preserve"> המותב, אלא, ש</w:t>
      </w:r>
      <w:r w:rsidR="00DC420B">
        <w:rPr>
          <w:rFonts w:hint="cs"/>
          <w:rtl/>
        </w:rPr>
        <w:t>ב</w:t>
      </w:r>
      <w:r w:rsidR="008A7900">
        <w:rPr>
          <w:rFonts w:hint="cs"/>
          <w:rtl/>
        </w:rPr>
        <w:t>א</w:t>
      </w:r>
      <w:r w:rsidR="00D9107F">
        <w:rPr>
          <w:rFonts w:hint="cs"/>
          <w:rtl/>
        </w:rPr>
        <w:t>-</w:t>
      </w:r>
      <w:r w:rsidR="008A7900">
        <w:rPr>
          <w:rFonts w:hint="cs"/>
          <w:rtl/>
        </w:rPr>
        <w:t xml:space="preserve">כוח </w:t>
      </w:r>
      <w:r w:rsidR="00DC420B">
        <w:rPr>
          <w:rFonts w:hint="cs"/>
          <w:rtl/>
        </w:rPr>
        <w:t xml:space="preserve">המערער </w:t>
      </w:r>
      <w:r w:rsidR="00AC313D">
        <w:rPr>
          <w:rFonts w:hint="cs"/>
          <w:rtl/>
        </w:rPr>
        <w:t xml:space="preserve">מסר </w:t>
      </w:r>
      <w:r w:rsidR="00DC420B">
        <w:rPr>
          <w:rFonts w:hint="cs"/>
          <w:rtl/>
        </w:rPr>
        <w:t xml:space="preserve">כי </w:t>
      </w:r>
      <w:r w:rsidR="008A7900">
        <w:rPr>
          <w:rFonts w:hint="cs"/>
          <w:rtl/>
        </w:rPr>
        <w:t xml:space="preserve">עזב את </w:t>
      </w:r>
      <w:r w:rsidR="00DC420B">
        <w:rPr>
          <w:rFonts w:hint="cs"/>
          <w:rtl/>
        </w:rPr>
        <w:t xml:space="preserve">מתחם </w:t>
      </w:r>
      <w:r w:rsidR="008A7900">
        <w:rPr>
          <w:rFonts w:hint="cs"/>
          <w:rtl/>
        </w:rPr>
        <w:t xml:space="preserve">בית הדין </w:t>
      </w:r>
      <w:r w:rsidR="00DC420B">
        <w:rPr>
          <w:rFonts w:hint="cs"/>
          <w:rtl/>
        </w:rPr>
        <w:t xml:space="preserve">וכי "כל החלטה שתהיה הוא מקבל" (כך </w:t>
      </w:r>
      <w:r w:rsidR="008A7900">
        <w:rPr>
          <w:rFonts w:hint="cs"/>
          <w:rtl/>
        </w:rPr>
        <w:t>נרשם ב</w:t>
      </w:r>
      <w:r w:rsidR="00DC420B">
        <w:rPr>
          <w:rFonts w:hint="cs"/>
          <w:rtl/>
        </w:rPr>
        <w:t xml:space="preserve">תרשומת). </w:t>
      </w:r>
      <w:r w:rsidR="00AC313D">
        <w:rPr>
          <w:rFonts w:hint="cs"/>
          <w:rtl/>
        </w:rPr>
        <w:t xml:space="preserve">בתרשומת </w:t>
      </w:r>
      <w:r w:rsidR="008A7900">
        <w:rPr>
          <w:rFonts w:hint="cs"/>
          <w:rtl/>
        </w:rPr>
        <w:t xml:space="preserve">צוין עוד, כי </w:t>
      </w:r>
      <w:r w:rsidR="00DC420B">
        <w:rPr>
          <w:rFonts w:hint="cs"/>
          <w:rtl/>
        </w:rPr>
        <w:t>מיד לאחר סיום הדיון</w:t>
      </w:r>
      <w:r w:rsidR="008A7900">
        <w:rPr>
          <w:rFonts w:hint="cs"/>
          <w:rtl/>
        </w:rPr>
        <w:t xml:space="preserve">, שבמהלכו הודיע המותב כי גזר הדין יוקרא בנפרד על ידי האב"ד בלבד, </w:t>
      </w:r>
      <w:r w:rsidR="00DC420B">
        <w:rPr>
          <w:rFonts w:hint="cs"/>
          <w:rtl/>
        </w:rPr>
        <w:t>שלחה מזכירות בית הדין את הפרוטוקול המלא</w:t>
      </w:r>
      <w:r w:rsidR="008A7900">
        <w:rPr>
          <w:rFonts w:hint="cs"/>
          <w:rtl/>
        </w:rPr>
        <w:t xml:space="preserve">, הכולל גם את ההחלטה כי </w:t>
      </w:r>
      <w:r w:rsidR="008A7900" w:rsidRPr="008A7900">
        <w:rPr>
          <w:rFonts w:hint="cs"/>
          <w:rtl/>
        </w:rPr>
        <w:t xml:space="preserve">"גזר הדין </w:t>
      </w:r>
      <w:r w:rsidR="008A7900" w:rsidRPr="008A7900">
        <w:rPr>
          <w:rFonts w:hint="cs"/>
          <w:b/>
          <w:bCs/>
          <w:rtl/>
        </w:rPr>
        <w:t>יינתן</w:t>
      </w:r>
      <w:r w:rsidR="008A7900" w:rsidRPr="008A7900">
        <w:rPr>
          <w:rFonts w:hint="cs"/>
          <w:rtl/>
        </w:rPr>
        <w:t xml:space="preserve"> ביום.... וכי </w:t>
      </w:r>
      <w:r w:rsidR="008A7900" w:rsidRPr="008A7900">
        <w:rPr>
          <w:rFonts w:hint="cs"/>
          <w:b/>
          <w:bCs/>
          <w:rtl/>
        </w:rPr>
        <w:t xml:space="preserve">יוקרא </w:t>
      </w:r>
      <w:r w:rsidR="008A7900" w:rsidRPr="008A7900">
        <w:rPr>
          <w:rFonts w:hint="cs"/>
          <w:rtl/>
        </w:rPr>
        <w:t>על ידי האב"ד בלבד"</w:t>
      </w:r>
      <w:r w:rsidR="00CF4418">
        <w:rPr>
          <w:rFonts w:hint="cs"/>
          <w:rtl/>
        </w:rPr>
        <w:t xml:space="preserve">, לעיון </w:t>
      </w:r>
      <w:r w:rsidR="00DC420B">
        <w:rPr>
          <w:rFonts w:hint="cs"/>
          <w:rtl/>
        </w:rPr>
        <w:t>ב</w:t>
      </w:r>
      <w:r w:rsidR="008A7900">
        <w:rPr>
          <w:rFonts w:hint="cs"/>
          <w:rtl/>
        </w:rPr>
        <w:t>א</w:t>
      </w:r>
      <w:r w:rsidR="00D9107F">
        <w:rPr>
          <w:rFonts w:hint="cs"/>
          <w:rtl/>
        </w:rPr>
        <w:t>-</w:t>
      </w:r>
      <w:r w:rsidR="008A7900">
        <w:rPr>
          <w:rFonts w:hint="cs"/>
          <w:rtl/>
        </w:rPr>
        <w:t>כוחו של המערער</w:t>
      </w:r>
      <w:r w:rsidR="00CF4418">
        <w:rPr>
          <w:rFonts w:hint="cs"/>
          <w:rtl/>
        </w:rPr>
        <w:t xml:space="preserve">. </w:t>
      </w:r>
      <w:r w:rsidR="00AC313D">
        <w:rPr>
          <w:rFonts w:hint="cs"/>
          <w:rtl/>
        </w:rPr>
        <w:t xml:space="preserve">הסניגור לא העלה השגות בעניין זה, ולא עשה כן גם </w:t>
      </w:r>
      <w:r w:rsidR="00A24D0D">
        <w:rPr>
          <w:rFonts w:hint="cs"/>
          <w:rtl/>
        </w:rPr>
        <w:t>ב</w:t>
      </w:r>
      <w:r w:rsidR="00CF4418">
        <w:rPr>
          <w:rFonts w:hint="cs"/>
          <w:rtl/>
        </w:rPr>
        <w:t xml:space="preserve">מועד </w:t>
      </w:r>
      <w:r w:rsidR="00E01372">
        <w:rPr>
          <w:rFonts w:hint="cs"/>
          <w:rtl/>
        </w:rPr>
        <w:t>ש</w:t>
      </w:r>
      <w:r w:rsidR="00A24D0D">
        <w:rPr>
          <w:rFonts w:hint="cs"/>
          <w:rtl/>
        </w:rPr>
        <w:t xml:space="preserve">בו </w:t>
      </w:r>
      <w:r w:rsidR="00CF4418">
        <w:rPr>
          <w:rFonts w:hint="cs"/>
          <w:rtl/>
        </w:rPr>
        <w:t xml:space="preserve">הוקרא </w:t>
      </w:r>
      <w:r w:rsidR="00A24D0D">
        <w:rPr>
          <w:rFonts w:hint="cs"/>
          <w:rtl/>
        </w:rPr>
        <w:t>גזר הדין על</w:t>
      </w:r>
      <w:r w:rsidR="00D9107F">
        <w:rPr>
          <w:rFonts w:hint="cs"/>
          <w:rtl/>
        </w:rPr>
        <w:t>-</w:t>
      </w:r>
      <w:r w:rsidR="007019EB">
        <w:rPr>
          <w:rFonts w:hint="cs"/>
          <w:rtl/>
        </w:rPr>
        <w:t>י</w:t>
      </w:r>
      <w:r w:rsidR="00A24D0D">
        <w:rPr>
          <w:rFonts w:hint="cs"/>
          <w:rtl/>
        </w:rPr>
        <w:t xml:space="preserve">די האב"ד, </w:t>
      </w:r>
      <w:r w:rsidR="004235E6">
        <w:rPr>
          <w:rFonts w:hint="cs"/>
          <w:rtl/>
        </w:rPr>
        <w:t xml:space="preserve">בנוכחותו ובנוכחות </w:t>
      </w:r>
      <w:r w:rsidR="00DC420B">
        <w:rPr>
          <w:rFonts w:hint="cs"/>
          <w:rtl/>
        </w:rPr>
        <w:t>המערער</w:t>
      </w:r>
      <w:r w:rsidR="00586477">
        <w:rPr>
          <w:rFonts w:hint="cs"/>
          <w:rtl/>
        </w:rPr>
        <w:t>.</w:t>
      </w:r>
      <w:r w:rsidR="00CF4418">
        <w:rPr>
          <w:rFonts w:hint="cs"/>
          <w:rtl/>
        </w:rPr>
        <w:t xml:space="preserve"> </w:t>
      </w:r>
      <w:r w:rsidR="004235E6">
        <w:rPr>
          <w:rFonts w:hint="cs"/>
          <w:rtl/>
        </w:rPr>
        <w:t xml:space="preserve">לשונו של </w:t>
      </w:r>
      <w:r w:rsidR="00CF4418">
        <w:rPr>
          <w:rFonts w:hint="cs"/>
          <w:rtl/>
        </w:rPr>
        <w:t xml:space="preserve">גזר הדין </w:t>
      </w:r>
      <w:r w:rsidR="004235E6">
        <w:rPr>
          <w:rFonts w:hint="cs"/>
          <w:rtl/>
        </w:rPr>
        <w:t xml:space="preserve">מצביעה על כי </w:t>
      </w:r>
      <w:r w:rsidR="00CF4418" w:rsidRPr="00CF4418">
        <w:rPr>
          <w:rtl/>
        </w:rPr>
        <w:t xml:space="preserve">ניתן </w:t>
      </w:r>
      <w:r w:rsidR="00CF4418">
        <w:rPr>
          <w:rFonts w:hint="cs"/>
          <w:rtl/>
        </w:rPr>
        <w:t>על</w:t>
      </w:r>
      <w:r w:rsidR="00D9107F">
        <w:rPr>
          <w:rFonts w:hint="cs"/>
          <w:rtl/>
        </w:rPr>
        <w:t>-</w:t>
      </w:r>
      <w:r w:rsidR="00CF4418">
        <w:rPr>
          <w:rFonts w:hint="cs"/>
          <w:rtl/>
        </w:rPr>
        <w:t>ידי המותב כולו</w:t>
      </w:r>
      <w:r w:rsidR="004235E6">
        <w:rPr>
          <w:rFonts w:hint="cs"/>
          <w:rtl/>
        </w:rPr>
        <w:t>. ההחלטה בסיומה של ישיבת הטיעונים לעונש מלמדת, מתוכה, על ההפרדה שבין נתינתו של גזר הדין על</w:t>
      </w:r>
      <w:r w:rsidR="00D9107F">
        <w:rPr>
          <w:rFonts w:hint="cs"/>
          <w:rtl/>
        </w:rPr>
        <w:t>-</w:t>
      </w:r>
      <w:r w:rsidR="004235E6">
        <w:rPr>
          <w:rFonts w:hint="cs"/>
          <w:rtl/>
        </w:rPr>
        <w:t>ידי ההרכב כולו, לבין הקראתו, גרידא, על</w:t>
      </w:r>
      <w:r w:rsidR="00D9107F">
        <w:rPr>
          <w:rFonts w:hint="cs"/>
          <w:rtl/>
        </w:rPr>
        <w:t>-</w:t>
      </w:r>
      <w:r w:rsidR="004235E6">
        <w:rPr>
          <w:rFonts w:hint="cs"/>
          <w:rtl/>
        </w:rPr>
        <w:t>ידי האב"ד בלבד</w:t>
      </w:r>
      <w:r w:rsidR="00CF4418" w:rsidRPr="00CF4418">
        <w:rPr>
          <w:rtl/>
        </w:rPr>
        <w:t xml:space="preserve">. </w:t>
      </w:r>
    </w:p>
    <w:p w14:paraId="73354E7A" w14:textId="77777777" w:rsidR="00CF4418" w:rsidRPr="00CF4418" w:rsidRDefault="00586477" w:rsidP="00442F7D">
      <w:pPr>
        <w:pStyle w:val="ListParagraph"/>
        <w:numPr>
          <w:ilvl w:val="0"/>
          <w:numId w:val="20"/>
        </w:numPr>
        <w:tabs>
          <w:tab w:val="left" w:pos="276"/>
        </w:tabs>
        <w:spacing w:after="200"/>
        <w:ind w:left="-7" w:firstLine="0"/>
        <w:contextualSpacing/>
        <w:rPr>
          <w:rtl/>
        </w:rPr>
      </w:pPr>
      <w:r>
        <w:rPr>
          <w:rFonts w:hint="cs"/>
          <w:rtl/>
        </w:rPr>
        <w:t xml:space="preserve"> </w:t>
      </w:r>
      <w:r w:rsidR="00DC420B">
        <w:rPr>
          <w:rFonts w:hint="cs"/>
          <w:rtl/>
        </w:rPr>
        <w:t xml:space="preserve">בנסיבות אלה, מצאנו כי אין ממש בטענות ההגנה </w:t>
      </w:r>
      <w:r w:rsidR="00CF4418">
        <w:rPr>
          <w:rFonts w:hint="cs"/>
          <w:rtl/>
        </w:rPr>
        <w:t xml:space="preserve">שלפיהן </w:t>
      </w:r>
      <w:r w:rsidR="00DC420B">
        <w:rPr>
          <w:rFonts w:hint="cs"/>
          <w:rtl/>
        </w:rPr>
        <w:t xml:space="preserve">גזר הדין </w:t>
      </w:r>
      <w:r w:rsidR="00CF4418">
        <w:rPr>
          <w:rFonts w:hint="cs"/>
          <w:rtl/>
        </w:rPr>
        <w:t>ניתן שלא ב</w:t>
      </w:r>
      <w:r w:rsidR="00DC420B">
        <w:rPr>
          <w:rFonts w:hint="cs"/>
          <w:rtl/>
        </w:rPr>
        <w:t>סמכות</w:t>
      </w:r>
      <w:r w:rsidR="00CF4418">
        <w:rPr>
          <w:rFonts w:hint="cs"/>
          <w:rtl/>
        </w:rPr>
        <w:t>.</w:t>
      </w:r>
      <w:r>
        <w:rPr>
          <w:rFonts w:hint="cs"/>
          <w:rtl/>
        </w:rPr>
        <w:t xml:space="preserve"> </w:t>
      </w:r>
      <w:r w:rsidR="00CF4418" w:rsidRPr="00CF4418">
        <w:rPr>
          <w:rtl/>
        </w:rPr>
        <w:t xml:space="preserve">נפנה אפוא לבחון את ערעור ההגנה לגופם של דברים. </w:t>
      </w:r>
    </w:p>
    <w:p w14:paraId="5F108CEA" w14:textId="44211781" w:rsidR="0017300D" w:rsidRPr="00E956CE" w:rsidRDefault="00E956CE" w:rsidP="00442F7D">
      <w:pPr>
        <w:pStyle w:val="ListParagraph"/>
        <w:numPr>
          <w:ilvl w:val="0"/>
          <w:numId w:val="20"/>
        </w:numPr>
        <w:tabs>
          <w:tab w:val="left" w:pos="276"/>
        </w:tabs>
        <w:spacing w:after="200"/>
        <w:ind w:left="-7" w:firstLine="0"/>
        <w:contextualSpacing/>
        <w:rPr>
          <w:b/>
          <w:bCs/>
          <w:u w:val="single"/>
        </w:rPr>
      </w:pPr>
      <w:r>
        <w:rPr>
          <w:rFonts w:hint="cs"/>
          <w:rtl/>
        </w:rPr>
        <w:t>כידוע, אין זה מדרכה של ערכאת הערעור להתערב בחומרת העונש הנגזר על</w:t>
      </w:r>
      <w:r w:rsidR="00D9107F">
        <w:rPr>
          <w:rFonts w:hint="cs"/>
          <w:rtl/>
        </w:rPr>
        <w:t>-</w:t>
      </w:r>
      <w:r>
        <w:rPr>
          <w:rFonts w:hint="cs"/>
          <w:rtl/>
        </w:rPr>
        <w:t xml:space="preserve">ידי הערכאה הדיונית, אלא במקרים חריגים, </w:t>
      </w:r>
      <w:r w:rsidR="00862040">
        <w:rPr>
          <w:rFonts w:hint="cs"/>
          <w:rtl/>
        </w:rPr>
        <w:t>ש</w:t>
      </w:r>
      <w:r>
        <w:rPr>
          <w:rFonts w:hint="cs"/>
          <w:rtl/>
        </w:rPr>
        <w:t>בהם קיימת חריגה בולטת מ</w:t>
      </w:r>
      <w:r w:rsidR="00CF4418">
        <w:rPr>
          <w:rFonts w:hint="cs"/>
          <w:rtl/>
        </w:rPr>
        <w:t xml:space="preserve">מדיניות </w:t>
      </w:r>
      <w:r>
        <w:rPr>
          <w:rFonts w:hint="cs"/>
          <w:rtl/>
        </w:rPr>
        <w:t xml:space="preserve">הענישה הראויה (ע"פ 449/21 </w:t>
      </w:r>
      <w:r>
        <w:rPr>
          <w:rFonts w:hint="cs"/>
          <w:b/>
          <w:bCs/>
          <w:rtl/>
        </w:rPr>
        <w:t>פלוני נ' מדינת ישראל</w:t>
      </w:r>
      <w:r>
        <w:rPr>
          <w:rFonts w:hint="cs"/>
          <w:rtl/>
        </w:rPr>
        <w:t xml:space="preserve">, בפסקה 8 (18.5.2022) והאסמכתאות שם; ע/40/21 </w:t>
      </w:r>
      <w:r>
        <w:rPr>
          <w:rFonts w:hint="cs"/>
          <w:b/>
          <w:bCs/>
          <w:rtl/>
        </w:rPr>
        <w:t>סמ"ר וולסקו נ' התובע הצבאי הראשי</w:t>
      </w:r>
      <w:r>
        <w:rPr>
          <w:rFonts w:hint="cs"/>
          <w:rtl/>
        </w:rPr>
        <w:t xml:space="preserve">, בפסקה 10 (2022)). </w:t>
      </w:r>
    </w:p>
    <w:p w14:paraId="18FACABF" w14:textId="4F77C906" w:rsidR="00930AF9" w:rsidRDefault="00E956CE" w:rsidP="00442F7D">
      <w:pPr>
        <w:pStyle w:val="ListParagraph"/>
        <w:numPr>
          <w:ilvl w:val="0"/>
          <w:numId w:val="20"/>
        </w:numPr>
        <w:tabs>
          <w:tab w:val="left" w:pos="276"/>
        </w:tabs>
        <w:spacing w:after="200"/>
        <w:ind w:left="-7" w:firstLine="0"/>
        <w:contextualSpacing/>
      </w:pPr>
      <w:r>
        <w:rPr>
          <w:rFonts w:hint="cs"/>
          <w:rtl/>
        </w:rPr>
        <w:t xml:space="preserve">בעניינו של המערער, </w:t>
      </w:r>
      <w:r w:rsidR="00CF4418">
        <w:rPr>
          <w:rFonts w:hint="cs"/>
          <w:rtl/>
        </w:rPr>
        <w:t xml:space="preserve">קיים צבר של </w:t>
      </w:r>
      <w:r>
        <w:rPr>
          <w:rFonts w:hint="cs"/>
          <w:rtl/>
        </w:rPr>
        <w:t xml:space="preserve">נסיבות </w:t>
      </w:r>
      <w:r w:rsidR="000B4AC4">
        <w:rPr>
          <w:rFonts w:hint="cs"/>
          <w:rtl/>
        </w:rPr>
        <w:t>מחמירות, שנמנו, כפי שבואר לעיל, בפסק</w:t>
      </w:r>
      <w:r w:rsidR="00D9107F">
        <w:rPr>
          <w:rFonts w:hint="cs"/>
          <w:rtl/>
        </w:rPr>
        <w:t>-</w:t>
      </w:r>
      <w:r w:rsidR="000B4AC4">
        <w:rPr>
          <w:rFonts w:hint="cs"/>
          <w:rtl/>
        </w:rPr>
        <w:t>דינו של בית הדין קמא</w:t>
      </w:r>
      <w:r w:rsidR="00930AF9">
        <w:rPr>
          <w:rFonts w:hint="cs"/>
          <w:rtl/>
        </w:rPr>
        <w:t xml:space="preserve">. </w:t>
      </w:r>
      <w:r w:rsidR="00D446AF">
        <w:rPr>
          <w:rFonts w:hint="cs"/>
          <w:rtl/>
        </w:rPr>
        <w:t xml:space="preserve">לאחר </w:t>
      </w:r>
      <w:r w:rsidR="00706A9A">
        <w:rPr>
          <w:rFonts w:hint="cs"/>
          <w:rtl/>
        </w:rPr>
        <w:t xml:space="preserve">בחינה של </w:t>
      </w:r>
      <w:r w:rsidR="00D446AF">
        <w:rPr>
          <w:rFonts w:hint="cs"/>
          <w:rtl/>
        </w:rPr>
        <w:t>גזר הדין</w:t>
      </w:r>
      <w:r w:rsidR="00706A9A">
        <w:rPr>
          <w:rFonts w:hint="cs"/>
          <w:rtl/>
        </w:rPr>
        <w:t>, בראי טענותיו של הסניגור</w:t>
      </w:r>
      <w:r w:rsidR="00D446AF">
        <w:rPr>
          <w:rFonts w:hint="cs"/>
          <w:rtl/>
        </w:rPr>
        <w:t xml:space="preserve">, איננו סבורים כי נמנו </w:t>
      </w:r>
      <w:r w:rsidR="00706A9A">
        <w:rPr>
          <w:rFonts w:hint="cs"/>
          <w:rtl/>
        </w:rPr>
        <w:t xml:space="preserve">בו מעשים שלא נכללו </w:t>
      </w:r>
      <w:r w:rsidR="00D446AF">
        <w:rPr>
          <w:rFonts w:hint="cs"/>
          <w:rtl/>
        </w:rPr>
        <w:t>בכתב האישום המתוקן ו</w:t>
      </w:r>
      <w:r w:rsidR="00706A9A">
        <w:rPr>
          <w:rFonts w:hint="cs"/>
          <w:rtl/>
        </w:rPr>
        <w:t>ב</w:t>
      </w:r>
      <w:r w:rsidR="00930AF9">
        <w:rPr>
          <w:rFonts w:hint="cs"/>
          <w:rtl/>
        </w:rPr>
        <w:t xml:space="preserve">מסמך </w:t>
      </w:r>
      <w:r w:rsidR="00D446AF">
        <w:rPr>
          <w:rFonts w:hint="cs"/>
          <w:rtl/>
        </w:rPr>
        <w:t>הפרטים הנוספים</w:t>
      </w:r>
      <w:r w:rsidR="00706A9A">
        <w:rPr>
          <w:rFonts w:hint="cs"/>
          <w:rtl/>
        </w:rPr>
        <w:t xml:space="preserve">. </w:t>
      </w:r>
      <w:r w:rsidR="00D446AF">
        <w:rPr>
          <w:rFonts w:hint="cs"/>
          <w:rtl/>
        </w:rPr>
        <w:t xml:space="preserve">הדרך </w:t>
      </w:r>
      <w:r w:rsidR="00862040">
        <w:rPr>
          <w:rFonts w:hint="cs"/>
          <w:rtl/>
        </w:rPr>
        <w:t>ש</w:t>
      </w:r>
      <w:r w:rsidR="00D446AF">
        <w:rPr>
          <w:rFonts w:hint="cs"/>
          <w:rtl/>
        </w:rPr>
        <w:t xml:space="preserve">בה </w:t>
      </w:r>
      <w:r w:rsidR="00586477">
        <w:rPr>
          <w:rFonts w:hint="cs"/>
          <w:rtl/>
        </w:rPr>
        <w:t xml:space="preserve">תיאר בית הדין </w:t>
      </w:r>
      <w:r w:rsidR="00D446AF">
        <w:rPr>
          <w:rFonts w:hint="cs"/>
          <w:rtl/>
        </w:rPr>
        <w:t>את ה</w:t>
      </w:r>
      <w:r w:rsidR="00FC2FC1">
        <w:rPr>
          <w:rFonts w:hint="cs"/>
          <w:rtl/>
        </w:rPr>
        <w:t xml:space="preserve">אירועים </w:t>
      </w:r>
      <w:r w:rsidR="00706A9A">
        <w:rPr>
          <w:rFonts w:hint="cs"/>
          <w:rtl/>
        </w:rPr>
        <w:t>ש</w:t>
      </w:r>
      <w:r w:rsidR="00586477">
        <w:rPr>
          <w:rFonts w:hint="cs"/>
          <w:rtl/>
        </w:rPr>
        <w:t xml:space="preserve">בגינם </w:t>
      </w:r>
      <w:r w:rsidR="00FC2FC1">
        <w:rPr>
          <w:rFonts w:hint="cs"/>
          <w:rtl/>
        </w:rPr>
        <w:t xml:space="preserve">הורשע המערער </w:t>
      </w:r>
      <w:r w:rsidR="00D446AF">
        <w:rPr>
          <w:rFonts w:hint="cs"/>
          <w:rtl/>
        </w:rPr>
        <w:t xml:space="preserve">משקפת </w:t>
      </w:r>
      <w:r w:rsidR="00586477">
        <w:rPr>
          <w:rFonts w:hint="cs"/>
          <w:rtl/>
        </w:rPr>
        <w:t>אותם באופן נכון ומדויק</w:t>
      </w:r>
      <w:r w:rsidR="00D446AF">
        <w:rPr>
          <w:rFonts w:hint="cs"/>
          <w:rtl/>
        </w:rPr>
        <w:t xml:space="preserve">. </w:t>
      </w:r>
      <w:r w:rsidR="00706A9A">
        <w:rPr>
          <w:rFonts w:hint="cs"/>
          <w:rtl/>
        </w:rPr>
        <w:t xml:space="preserve">כך, השתמש </w:t>
      </w:r>
      <w:r w:rsidR="00D446AF">
        <w:rPr>
          <w:rFonts w:hint="cs"/>
          <w:rtl/>
        </w:rPr>
        <w:t xml:space="preserve">המערער בסם מסוג קנאביס </w:t>
      </w:r>
      <w:r w:rsidR="00930AF9">
        <w:rPr>
          <w:rFonts w:hint="cs"/>
          <w:rtl/>
        </w:rPr>
        <w:t>ב</w:t>
      </w:r>
      <w:r w:rsidR="00D446AF">
        <w:rPr>
          <w:rFonts w:hint="cs"/>
          <w:rtl/>
        </w:rPr>
        <w:t xml:space="preserve">שלוש </w:t>
      </w:r>
      <w:r w:rsidR="00930AF9">
        <w:rPr>
          <w:rFonts w:hint="cs"/>
          <w:rtl/>
        </w:rPr>
        <w:t>הזדמנויות</w:t>
      </w:r>
      <w:r w:rsidR="00FC2FC1">
        <w:rPr>
          <w:rFonts w:hint="cs"/>
          <w:rtl/>
        </w:rPr>
        <w:t xml:space="preserve">, בתוך פרק זמן שאינו ארוך </w:t>
      </w:r>
      <w:r w:rsidR="00930AF9">
        <w:rPr>
          <w:rFonts w:hint="cs"/>
          <w:rtl/>
        </w:rPr>
        <w:t>ו</w:t>
      </w:r>
      <w:r w:rsidR="00FC2FC1">
        <w:rPr>
          <w:rFonts w:hint="cs"/>
          <w:rtl/>
        </w:rPr>
        <w:t>בסמוך ל</w:t>
      </w:r>
      <w:r w:rsidR="00930AF9">
        <w:rPr>
          <w:rFonts w:hint="cs"/>
          <w:rtl/>
        </w:rPr>
        <w:t xml:space="preserve">מועד </w:t>
      </w:r>
      <w:r w:rsidR="00FC2FC1">
        <w:rPr>
          <w:rFonts w:hint="cs"/>
          <w:rtl/>
        </w:rPr>
        <w:t xml:space="preserve">מעצרו. מעשי השימוש בסם אירעו </w:t>
      </w:r>
      <w:r w:rsidR="00D446AF">
        <w:rPr>
          <w:rFonts w:hint="cs"/>
          <w:rtl/>
        </w:rPr>
        <w:t>בתוך מוצב מבצעי, כשה</w:t>
      </w:r>
      <w:r w:rsidR="00930AF9">
        <w:rPr>
          <w:rFonts w:hint="cs"/>
          <w:rtl/>
        </w:rPr>
        <w:t xml:space="preserve">מערער </w:t>
      </w:r>
      <w:r w:rsidR="00D446AF">
        <w:rPr>
          <w:rFonts w:hint="cs"/>
          <w:rtl/>
        </w:rPr>
        <w:t xml:space="preserve">נושא נשק, </w:t>
      </w:r>
      <w:r w:rsidR="00930AF9">
        <w:rPr>
          <w:rFonts w:hint="cs"/>
          <w:rtl/>
        </w:rPr>
        <w:t xml:space="preserve">ובצוותא </w:t>
      </w:r>
      <w:r w:rsidR="00D446AF">
        <w:rPr>
          <w:rFonts w:hint="cs"/>
          <w:rtl/>
        </w:rPr>
        <w:t xml:space="preserve">עם חיילים אחרים; המערער הוא שהביא את הסם </w:t>
      </w:r>
      <w:r w:rsidR="00930AF9">
        <w:rPr>
          <w:rFonts w:hint="cs"/>
          <w:rtl/>
        </w:rPr>
        <w:t xml:space="preserve">שצרך במשותף עם </w:t>
      </w:r>
      <w:r w:rsidR="00350BFE">
        <w:rPr>
          <w:rFonts w:hint="cs"/>
          <w:rtl/>
        </w:rPr>
        <w:t>סמל אנטוני</w:t>
      </w:r>
      <w:r w:rsidR="00D446AF">
        <w:rPr>
          <w:rFonts w:hint="cs"/>
          <w:rtl/>
        </w:rPr>
        <w:t xml:space="preserve"> </w:t>
      </w:r>
      <w:r w:rsidR="00930AF9">
        <w:rPr>
          <w:rFonts w:hint="cs"/>
          <w:rtl/>
        </w:rPr>
        <w:t xml:space="preserve">ביחידה, </w:t>
      </w:r>
      <w:r w:rsidR="00D446AF">
        <w:rPr>
          <w:rFonts w:hint="cs"/>
          <w:rtl/>
        </w:rPr>
        <w:t>ואף קיבל ממנו תמורה כספית</w:t>
      </w:r>
      <w:r w:rsidR="00FC2FC1">
        <w:rPr>
          <w:rFonts w:hint="cs"/>
          <w:rtl/>
        </w:rPr>
        <w:t xml:space="preserve">; </w:t>
      </w:r>
      <w:r w:rsidR="00930AF9">
        <w:rPr>
          <w:rFonts w:hint="cs"/>
          <w:rtl/>
        </w:rPr>
        <w:t>ו</w:t>
      </w:r>
      <w:r w:rsidR="00FC2FC1">
        <w:rPr>
          <w:rFonts w:hint="cs"/>
          <w:rtl/>
        </w:rPr>
        <w:t xml:space="preserve">לבקשתה של </w:t>
      </w:r>
      <w:r w:rsidR="00C1070E">
        <w:rPr>
          <w:rFonts w:hint="cs"/>
          <w:rtl/>
        </w:rPr>
        <w:t>רב</w:t>
      </w:r>
      <w:r w:rsidR="00586477">
        <w:rPr>
          <w:rFonts w:hint="cs"/>
          <w:rtl/>
        </w:rPr>
        <w:t>"</w:t>
      </w:r>
      <w:r w:rsidR="00C1070E">
        <w:rPr>
          <w:rFonts w:hint="cs"/>
          <w:rtl/>
        </w:rPr>
        <w:t>ט נועם</w:t>
      </w:r>
      <w:r w:rsidR="00706A9A">
        <w:rPr>
          <w:rFonts w:hint="cs"/>
          <w:rtl/>
        </w:rPr>
        <w:t xml:space="preserve">, אף </w:t>
      </w:r>
      <w:r w:rsidR="00FC2FC1">
        <w:rPr>
          <w:rFonts w:hint="cs"/>
          <w:rtl/>
        </w:rPr>
        <w:t>ה</w:t>
      </w:r>
      <w:r w:rsidR="00930AF9">
        <w:rPr>
          <w:rFonts w:hint="cs"/>
          <w:rtl/>
        </w:rPr>
        <w:t xml:space="preserve">עביר לרשותה </w:t>
      </w:r>
      <w:r w:rsidR="00FC2FC1">
        <w:rPr>
          <w:rFonts w:hint="cs"/>
          <w:rtl/>
        </w:rPr>
        <w:t xml:space="preserve">סיגריה ובה סם, </w:t>
      </w:r>
      <w:r w:rsidR="00930AF9">
        <w:rPr>
          <w:rFonts w:hint="cs"/>
          <w:rtl/>
        </w:rPr>
        <w:t xml:space="preserve">תוך שהוא יודע כי </w:t>
      </w:r>
      <w:r w:rsidR="00706A9A">
        <w:rPr>
          <w:rFonts w:hint="cs"/>
          <w:rtl/>
        </w:rPr>
        <w:t xml:space="preserve">הסם מיועד </w:t>
      </w:r>
      <w:r w:rsidR="00FC2FC1">
        <w:rPr>
          <w:rFonts w:hint="cs"/>
          <w:rtl/>
        </w:rPr>
        <w:t>לשימוש</w:t>
      </w:r>
      <w:r w:rsidR="00706A9A">
        <w:rPr>
          <w:rFonts w:hint="cs"/>
          <w:rtl/>
        </w:rPr>
        <w:t>ן</w:t>
      </w:r>
      <w:r w:rsidR="00FC2FC1">
        <w:rPr>
          <w:rFonts w:hint="cs"/>
          <w:rtl/>
        </w:rPr>
        <w:t xml:space="preserve"> </w:t>
      </w:r>
      <w:r w:rsidR="00706A9A">
        <w:rPr>
          <w:rFonts w:hint="cs"/>
          <w:rtl/>
        </w:rPr>
        <w:t xml:space="preserve">של </w:t>
      </w:r>
      <w:r w:rsidR="00C1070E">
        <w:rPr>
          <w:rFonts w:hint="cs"/>
          <w:rtl/>
        </w:rPr>
        <w:t>רב</w:t>
      </w:r>
      <w:r w:rsidR="00350BFE">
        <w:rPr>
          <w:rFonts w:hint="cs"/>
          <w:rtl/>
        </w:rPr>
        <w:t>"</w:t>
      </w:r>
      <w:r w:rsidR="00C1070E">
        <w:rPr>
          <w:rFonts w:hint="cs"/>
          <w:rtl/>
        </w:rPr>
        <w:t xml:space="preserve">ט נועם </w:t>
      </w:r>
      <w:r w:rsidR="00FC2FC1">
        <w:rPr>
          <w:rFonts w:hint="cs"/>
          <w:rtl/>
        </w:rPr>
        <w:t>ו</w:t>
      </w:r>
      <w:r w:rsidR="00706A9A">
        <w:rPr>
          <w:rFonts w:hint="cs"/>
          <w:rtl/>
        </w:rPr>
        <w:t xml:space="preserve">של </w:t>
      </w:r>
      <w:r w:rsidR="00FC2FC1">
        <w:rPr>
          <w:rFonts w:hint="cs"/>
          <w:rtl/>
        </w:rPr>
        <w:t xml:space="preserve">חיילת נוספת ביחידה; </w:t>
      </w:r>
      <w:r w:rsidR="00930AF9">
        <w:rPr>
          <w:rFonts w:hint="cs"/>
          <w:rtl/>
        </w:rPr>
        <w:t xml:space="preserve">ולבסוף, אף </w:t>
      </w:r>
      <w:r w:rsidR="00FC2FC1">
        <w:rPr>
          <w:rFonts w:hint="cs"/>
          <w:rtl/>
        </w:rPr>
        <w:t xml:space="preserve">בחדרו </w:t>
      </w:r>
      <w:r w:rsidR="00930AF9">
        <w:rPr>
          <w:rFonts w:hint="cs"/>
          <w:rtl/>
        </w:rPr>
        <w:t xml:space="preserve">של המערער </w:t>
      </w:r>
      <w:r w:rsidR="00FC2FC1">
        <w:rPr>
          <w:rFonts w:hint="cs"/>
          <w:rtl/>
        </w:rPr>
        <w:t xml:space="preserve">במוצב נמצאו שרידי סם. </w:t>
      </w:r>
    </w:p>
    <w:p w14:paraId="6840BDC7" w14:textId="2D98DD04" w:rsidR="00914343" w:rsidRDefault="00FC2FC1" w:rsidP="00442F7D">
      <w:pPr>
        <w:pStyle w:val="ListParagraph"/>
        <w:numPr>
          <w:ilvl w:val="0"/>
          <w:numId w:val="20"/>
        </w:numPr>
        <w:tabs>
          <w:tab w:val="left" w:pos="276"/>
        </w:tabs>
        <w:spacing w:after="200"/>
        <w:ind w:left="-7" w:firstLine="0"/>
        <w:contextualSpacing/>
      </w:pPr>
      <w:r>
        <w:rPr>
          <w:rFonts w:hint="cs"/>
          <w:rtl/>
        </w:rPr>
        <w:t>עם פתיחת החקירה</w:t>
      </w:r>
      <w:r w:rsidR="00930AF9">
        <w:rPr>
          <w:rFonts w:hint="cs"/>
          <w:rtl/>
        </w:rPr>
        <w:t>,</w:t>
      </w:r>
      <w:r>
        <w:rPr>
          <w:rFonts w:hint="cs"/>
          <w:rtl/>
        </w:rPr>
        <w:t xml:space="preserve"> </w:t>
      </w:r>
      <w:r w:rsidR="00706A9A">
        <w:rPr>
          <w:rFonts w:hint="cs"/>
          <w:rtl/>
        </w:rPr>
        <w:t xml:space="preserve">נקט </w:t>
      </w:r>
      <w:r>
        <w:rPr>
          <w:rFonts w:hint="cs"/>
          <w:rtl/>
        </w:rPr>
        <w:t xml:space="preserve">המערער </w:t>
      </w:r>
      <w:r w:rsidR="00706A9A">
        <w:rPr>
          <w:rFonts w:hint="cs"/>
          <w:rtl/>
        </w:rPr>
        <w:t xml:space="preserve">מספר פעולות כדי </w:t>
      </w:r>
      <w:r>
        <w:rPr>
          <w:rFonts w:hint="cs"/>
          <w:rtl/>
        </w:rPr>
        <w:t xml:space="preserve">להפריע </w:t>
      </w:r>
      <w:r w:rsidR="00930AF9">
        <w:rPr>
          <w:rFonts w:hint="cs"/>
          <w:rtl/>
        </w:rPr>
        <w:t xml:space="preserve">ולהקשות על </w:t>
      </w:r>
      <w:r>
        <w:rPr>
          <w:rFonts w:hint="cs"/>
          <w:rtl/>
        </w:rPr>
        <w:t>קיומה, לרבות בדרך של ביצוע עבירות נוספות. כך</w:t>
      </w:r>
      <w:r w:rsidR="00706A9A">
        <w:rPr>
          <w:rFonts w:hint="cs"/>
          <w:rtl/>
        </w:rPr>
        <w:t>,</w:t>
      </w:r>
      <w:r>
        <w:rPr>
          <w:rFonts w:hint="cs"/>
          <w:rtl/>
        </w:rPr>
        <w:t xml:space="preserve"> סירב המערער </w:t>
      </w:r>
      <w:r w:rsidR="00706A9A">
        <w:rPr>
          <w:rFonts w:hint="cs"/>
          <w:rtl/>
        </w:rPr>
        <w:t xml:space="preserve">למסור </w:t>
      </w:r>
      <w:r>
        <w:rPr>
          <w:rFonts w:hint="cs"/>
          <w:rtl/>
        </w:rPr>
        <w:t>דגימת שתן</w:t>
      </w:r>
      <w:r w:rsidR="00930AF9">
        <w:rPr>
          <w:rFonts w:hint="cs"/>
          <w:rtl/>
        </w:rPr>
        <w:t>,</w:t>
      </w:r>
      <w:r>
        <w:rPr>
          <w:rFonts w:hint="cs"/>
          <w:rtl/>
        </w:rPr>
        <w:t xml:space="preserve"> ובעת המפגש עם </w:t>
      </w:r>
      <w:r w:rsidR="00C1070E">
        <w:rPr>
          <w:rFonts w:hint="cs"/>
          <w:rtl/>
        </w:rPr>
        <w:t>רב</w:t>
      </w:r>
      <w:r w:rsidR="00350BFE">
        <w:rPr>
          <w:rFonts w:hint="cs"/>
          <w:rtl/>
        </w:rPr>
        <w:t>"</w:t>
      </w:r>
      <w:r w:rsidR="00C1070E">
        <w:rPr>
          <w:rFonts w:hint="cs"/>
          <w:rtl/>
        </w:rPr>
        <w:t xml:space="preserve">ט נועם </w:t>
      </w:r>
      <w:r w:rsidR="00706A9A">
        <w:rPr>
          <w:rFonts w:hint="cs"/>
          <w:rtl/>
        </w:rPr>
        <w:t xml:space="preserve">אמר לה </w:t>
      </w:r>
      <w:r>
        <w:rPr>
          <w:rFonts w:hint="cs"/>
          <w:rtl/>
        </w:rPr>
        <w:t xml:space="preserve">להמשיך </w:t>
      </w:r>
      <w:r w:rsidR="00706A9A">
        <w:rPr>
          <w:rFonts w:hint="cs"/>
          <w:rtl/>
        </w:rPr>
        <w:t>ו</w:t>
      </w:r>
      <w:r>
        <w:rPr>
          <w:rFonts w:hint="cs"/>
          <w:rtl/>
        </w:rPr>
        <w:t xml:space="preserve">להכחיש את החשדות המיוחסים לה, </w:t>
      </w:r>
      <w:r w:rsidR="00706A9A">
        <w:rPr>
          <w:rFonts w:hint="cs"/>
          <w:rtl/>
        </w:rPr>
        <w:t xml:space="preserve">תוך שעידכן אותה כי גם הוא עושה כן, ואמר </w:t>
      </w:r>
      <w:r>
        <w:rPr>
          <w:rFonts w:hint="cs"/>
          <w:rtl/>
        </w:rPr>
        <w:t xml:space="preserve">כי אחרים </w:t>
      </w:r>
      <w:r w:rsidR="00706A9A">
        <w:rPr>
          <w:rFonts w:hint="cs"/>
          <w:rtl/>
        </w:rPr>
        <w:t>"</w:t>
      </w:r>
      <w:r>
        <w:rPr>
          <w:rFonts w:hint="cs"/>
          <w:rtl/>
        </w:rPr>
        <w:t>משקרים</w:t>
      </w:r>
      <w:r w:rsidR="00706A9A">
        <w:rPr>
          <w:rFonts w:hint="cs"/>
          <w:rtl/>
        </w:rPr>
        <w:t>"</w:t>
      </w:r>
      <w:r>
        <w:rPr>
          <w:rFonts w:hint="cs"/>
          <w:rtl/>
        </w:rPr>
        <w:t xml:space="preserve">. עוד סירב לאפשר </w:t>
      </w:r>
      <w:r w:rsidR="00930AF9">
        <w:rPr>
          <w:rFonts w:hint="cs"/>
          <w:rtl/>
        </w:rPr>
        <w:t xml:space="preserve">לגורמי החקירה </w:t>
      </w:r>
      <w:r w:rsidR="00706A9A">
        <w:rPr>
          <w:rFonts w:hint="cs"/>
          <w:rtl/>
        </w:rPr>
        <w:t xml:space="preserve">לערוך </w:t>
      </w:r>
      <w:r>
        <w:rPr>
          <w:rFonts w:hint="cs"/>
          <w:rtl/>
        </w:rPr>
        <w:t>חיפוש במכשיר הטלפון שלו</w:t>
      </w:r>
      <w:r w:rsidR="00706A9A">
        <w:rPr>
          <w:rFonts w:hint="cs"/>
          <w:rtl/>
        </w:rPr>
        <w:t xml:space="preserve"> </w:t>
      </w:r>
      <w:r w:rsidR="007019EB" w:rsidRPr="001107B4">
        <w:rPr>
          <w:b/>
          <w:bCs/>
          <w:rtl/>
        </w:rPr>
        <w:t>–</w:t>
      </w:r>
      <w:r w:rsidR="007019EB">
        <w:rPr>
          <w:rFonts w:hint="cs"/>
          <w:rtl/>
        </w:rPr>
        <w:t xml:space="preserve"> </w:t>
      </w:r>
      <w:r w:rsidR="00706A9A">
        <w:rPr>
          <w:rFonts w:hint="cs"/>
          <w:rtl/>
        </w:rPr>
        <w:t xml:space="preserve">ואכן, חיפוש מקביל </w:t>
      </w:r>
      <w:r>
        <w:rPr>
          <w:rFonts w:hint="cs"/>
          <w:rtl/>
        </w:rPr>
        <w:t xml:space="preserve">במכשיר </w:t>
      </w:r>
      <w:r w:rsidR="00841F7F">
        <w:rPr>
          <w:rFonts w:hint="cs"/>
          <w:rtl/>
        </w:rPr>
        <w:t>ה</w:t>
      </w:r>
      <w:r>
        <w:rPr>
          <w:rFonts w:hint="cs"/>
          <w:rtl/>
        </w:rPr>
        <w:t xml:space="preserve">טלפון של </w:t>
      </w:r>
      <w:r w:rsidR="00C1070E">
        <w:rPr>
          <w:rFonts w:hint="cs"/>
          <w:rtl/>
        </w:rPr>
        <w:t>רב</w:t>
      </w:r>
      <w:r w:rsidR="00350BFE">
        <w:rPr>
          <w:rFonts w:hint="cs"/>
          <w:rtl/>
        </w:rPr>
        <w:t>"</w:t>
      </w:r>
      <w:r w:rsidR="00C1070E">
        <w:rPr>
          <w:rFonts w:hint="cs"/>
          <w:rtl/>
        </w:rPr>
        <w:t xml:space="preserve">ט נועם </w:t>
      </w:r>
      <w:r w:rsidR="00706A9A">
        <w:rPr>
          <w:rFonts w:hint="cs"/>
          <w:rtl/>
        </w:rPr>
        <w:t xml:space="preserve">העלה </w:t>
      </w:r>
      <w:r>
        <w:rPr>
          <w:rFonts w:hint="cs"/>
          <w:rtl/>
        </w:rPr>
        <w:t>ממצאים המערבים גם את המערער</w:t>
      </w:r>
      <w:r w:rsidR="00930AF9">
        <w:rPr>
          <w:rFonts w:hint="cs"/>
          <w:rtl/>
        </w:rPr>
        <w:t xml:space="preserve"> בעולם הסמים</w:t>
      </w:r>
      <w:r>
        <w:rPr>
          <w:rFonts w:hint="cs"/>
          <w:rtl/>
        </w:rPr>
        <w:t xml:space="preserve">. </w:t>
      </w:r>
    </w:p>
    <w:p w14:paraId="16BD6492" w14:textId="77777777" w:rsidR="00FB6768" w:rsidRDefault="00FB6768" w:rsidP="00442F7D">
      <w:pPr>
        <w:pStyle w:val="ListParagraph"/>
        <w:numPr>
          <w:ilvl w:val="0"/>
          <w:numId w:val="20"/>
        </w:numPr>
        <w:tabs>
          <w:tab w:val="left" w:pos="276"/>
        </w:tabs>
        <w:spacing w:after="200"/>
        <w:ind w:left="-7" w:firstLine="0"/>
        <w:contextualSpacing/>
      </w:pPr>
      <w:r>
        <w:rPr>
          <w:rFonts w:hint="cs"/>
          <w:rtl/>
        </w:rPr>
        <w:t>נפסק לא אחת, כי המוכנות הנדרשת מכל</w:t>
      </w:r>
      <w:r w:rsidR="00426F04">
        <w:rPr>
          <w:rFonts w:hint="cs"/>
          <w:rtl/>
        </w:rPr>
        <w:t>ל</w:t>
      </w:r>
      <w:r>
        <w:rPr>
          <w:rFonts w:hint="cs"/>
          <w:rtl/>
        </w:rPr>
        <w:t xml:space="preserve"> </w:t>
      </w:r>
      <w:r w:rsidR="00426F04">
        <w:rPr>
          <w:rFonts w:hint="cs"/>
          <w:rtl/>
        </w:rPr>
        <w:t>ה</w:t>
      </w:r>
      <w:r>
        <w:rPr>
          <w:rFonts w:hint="cs"/>
          <w:rtl/>
        </w:rPr>
        <w:t>משרתי</w:t>
      </w:r>
      <w:r w:rsidR="00426F04">
        <w:rPr>
          <w:rFonts w:hint="cs"/>
          <w:rtl/>
        </w:rPr>
        <w:t>ם</w:t>
      </w:r>
      <w:r>
        <w:rPr>
          <w:rFonts w:hint="cs"/>
          <w:rtl/>
        </w:rPr>
        <w:t xml:space="preserve"> </w:t>
      </w:r>
      <w:r w:rsidR="00426F04">
        <w:rPr>
          <w:rFonts w:hint="cs"/>
          <w:rtl/>
        </w:rPr>
        <w:t>ב</w:t>
      </w:r>
      <w:r>
        <w:rPr>
          <w:rFonts w:hint="cs"/>
          <w:rtl/>
        </w:rPr>
        <w:t>צה"ל, אינה יכולה להתיישב עם שימוש בסם, שבו גלומה פגיעה ב</w:t>
      </w:r>
      <w:r w:rsidR="00426F04">
        <w:rPr>
          <w:rFonts w:hint="cs"/>
          <w:rtl/>
        </w:rPr>
        <w:t xml:space="preserve">כשירות </w:t>
      </w:r>
      <w:r>
        <w:rPr>
          <w:rFonts w:hint="cs"/>
          <w:rtl/>
        </w:rPr>
        <w:t xml:space="preserve">הצבא, בחוסנו, ובצלילות הדעת הנדרשת </w:t>
      </w:r>
      <w:r w:rsidR="00426F04">
        <w:rPr>
          <w:rFonts w:hint="cs"/>
          <w:rtl/>
        </w:rPr>
        <w:t xml:space="preserve">לשם כך </w:t>
      </w:r>
      <w:r>
        <w:rPr>
          <w:rFonts w:hint="cs"/>
          <w:rtl/>
        </w:rPr>
        <w:t>מחייל</w:t>
      </w:r>
      <w:r w:rsidR="00426F04">
        <w:rPr>
          <w:rFonts w:hint="cs"/>
          <w:rtl/>
        </w:rPr>
        <w:t>יו</w:t>
      </w:r>
      <w:r>
        <w:rPr>
          <w:rFonts w:hint="cs"/>
          <w:rtl/>
        </w:rPr>
        <w:t xml:space="preserve"> (ע/5/19 </w:t>
      </w:r>
      <w:r w:rsidRPr="00FB6768">
        <w:rPr>
          <w:rFonts w:hint="cs"/>
          <w:b/>
          <w:bCs/>
          <w:rtl/>
        </w:rPr>
        <w:t xml:space="preserve">רב"ט רחנייב נ' התובע הצבאי הראשי </w:t>
      </w:r>
      <w:r>
        <w:rPr>
          <w:rFonts w:hint="cs"/>
          <w:rtl/>
        </w:rPr>
        <w:t>(2019)</w:t>
      </w:r>
      <w:r w:rsidR="00426F04">
        <w:rPr>
          <w:rFonts w:hint="cs"/>
          <w:rtl/>
        </w:rPr>
        <w:t>)</w:t>
      </w:r>
      <w:r>
        <w:rPr>
          <w:rFonts w:hint="cs"/>
          <w:rtl/>
        </w:rPr>
        <w:t xml:space="preserve">; והדברים אמורים על אחת כמה וכמה בעת שעסקינן במעשי שימוש בסם הנעשים בתוככי המסגרת הצבאית, בתוך מוצב </w:t>
      </w:r>
      <w:r w:rsidR="00C60095">
        <w:rPr>
          <w:rFonts w:hint="cs"/>
          <w:rtl/>
        </w:rPr>
        <w:t>קדמי</w:t>
      </w:r>
      <w:r>
        <w:rPr>
          <w:rFonts w:hint="cs"/>
          <w:rtl/>
        </w:rPr>
        <w:t xml:space="preserve">. </w:t>
      </w:r>
    </w:p>
    <w:p w14:paraId="7AC7F061" w14:textId="760AFFA5" w:rsidR="00FB6768" w:rsidRDefault="00FB6768" w:rsidP="00442F7D">
      <w:pPr>
        <w:pStyle w:val="ListParagraph"/>
        <w:numPr>
          <w:ilvl w:val="0"/>
          <w:numId w:val="20"/>
        </w:numPr>
        <w:tabs>
          <w:tab w:val="left" w:pos="276"/>
        </w:tabs>
        <w:spacing w:after="200"/>
        <w:ind w:left="-7" w:firstLine="0"/>
        <w:contextualSpacing/>
        <w:rPr>
          <w:rtl/>
        </w:rPr>
      </w:pPr>
      <w:r>
        <w:rPr>
          <w:rFonts w:hint="cs"/>
          <w:rtl/>
        </w:rPr>
        <w:t xml:space="preserve">היבט חומרה נוסף </w:t>
      </w:r>
      <w:r w:rsidR="009E1052">
        <w:rPr>
          <w:rFonts w:hint="cs"/>
          <w:rtl/>
        </w:rPr>
        <w:t xml:space="preserve">ומשמעותי </w:t>
      </w:r>
      <w:r w:rsidR="00426F04">
        <w:rPr>
          <w:rFonts w:hint="cs"/>
          <w:rtl/>
        </w:rPr>
        <w:t>עניינו ב</w:t>
      </w:r>
      <w:r w:rsidR="008A7B3E">
        <w:rPr>
          <w:rFonts w:hint="cs"/>
          <w:rtl/>
        </w:rPr>
        <w:t xml:space="preserve">היותו של המערער </w:t>
      </w:r>
      <w:r>
        <w:rPr>
          <w:rFonts w:hint="cs"/>
          <w:rtl/>
        </w:rPr>
        <w:t xml:space="preserve">קצין ומפקד. </w:t>
      </w:r>
      <w:r w:rsidR="00F079DF">
        <w:rPr>
          <w:rFonts w:hint="cs"/>
          <w:rtl/>
        </w:rPr>
        <w:t>בפסיקת בית</w:t>
      </w:r>
      <w:r w:rsidR="00CE7F25">
        <w:rPr>
          <w:rFonts w:hint="cs"/>
          <w:rtl/>
        </w:rPr>
        <w:t>-</w:t>
      </w:r>
      <w:r w:rsidR="00F079DF">
        <w:rPr>
          <w:rFonts w:hint="cs"/>
          <w:rtl/>
        </w:rPr>
        <w:t xml:space="preserve">דין זה נקבע לא אחת, כי: </w:t>
      </w:r>
    </w:p>
    <w:p w14:paraId="635DB40B" w14:textId="77777777" w:rsidR="008A7B3E" w:rsidRPr="00265741" w:rsidRDefault="008A7B3E" w:rsidP="00AD4EA9">
      <w:pPr>
        <w:spacing w:line="240" w:lineRule="auto"/>
        <w:ind w:left="-58"/>
        <w:contextualSpacing/>
        <w:outlineLvl w:val="0"/>
        <w:rPr>
          <w:sz w:val="4"/>
          <w:szCs w:val="4"/>
          <w:rtl/>
        </w:rPr>
      </w:pPr>
    </w:p>
    <w:p w14:paraId="18D7AB58" w14:textId="60B5434C" w:rsidR="00F079DF" w:rsidRDefault="00F079DF" w:rsidP="00CE7F25">
      <w:pPr>
        <w:spacing w:line="240" w:lineRule="auto"/>
        <w:ind w:left="749" w:right="907"/>
        <w:rPr>
          <w:rFonts w:ascii="David" w:hAnsi="David"/>
          <w:color w:val="000000"/>
          <w:rtl/>
        </w:rPr>
      </w:pPr>
      <w:r w:rsidRPr="00F079DF">
        <w:rPr>
          <w:rFonts w:ascii="David" w:hAnsi="David" w:hint="cs"/>
          <w:color w:val="000000"/>
          <w:rtl/>
        </w:rPr>
        <w:t>"בידי הקצין מופקדת אחריות כבדה. מותר הקצין מן החייל במנהיגותו, </w:t>
      </w:r>
      <w:r w:rsidRPr="00F079DF">
        <w:rPr>
          <w:rFonts w:ascii="David" w:hAnsi="David" w:hint="cs"/>
          <w:b/>
          <w:bCs/>
          <w:color w:val="000000"/>
          <w:rtl/>
        </w:rPr>
        <w:t>באחריותו היתֵרה, בדוגמה האישית</w:t>
      </w:r>
      <w:r w:rsidRPr="00F079DF">
        <w:rPr>
          <w:rFonts w:ascii="David" w:hAnsi="David" w:hint="cs"/>
          <w:color w:val="000000"/>
          <w:rtl/>
        </w:rPr>
        <w:t>. חובותיו של הקצין הן במישור האופקי והאנכי גם יחד. הקצין חב חובת אמון </w:t>
      </w:r>
      <w:r w:rsidRPr="00F079DF">
        <w:rPr>
          <w:rFonts w:ascii="David" w:hAnsi="David" w:hint="cs"/>
          <w:b/>
          <w:bCs/>
          <w:color w:val="000000"/>
          <w:rtl/>
        </w:rPr>
        <w:t>לפקודיו, למפקדיו, ולמקביליו</w:t>
      </w:r>
      <w:r w:rsidRPr="00F079DF">
        <w:rPr>
          <w:rFonts w:ascii="David" w:hAnsi="David" w:hint="cs"/>
          <w:color w:val="000000"/>
          <w:rtl/>
        </w:rPr>
        <w:t> בשדרת הפיקוד. הוא חב חובת אמון </w:t>
      </w:r>
      <w:r w:rsidRPr="00F079DF">
        <w:rPr>
          <w:rFonts w:ascii="David" w:hAnsi="David" w:hint="cs"/>
          <w:b/>
          <w:bCs/>
          <w:color w:val="000000"/>
          <w:rtl/>
        </w:rPr>
        <w:t>לבני המשפחות</w:t>
      </w:r>
      <w:r w:rsidRPr="00F079DF">
        <w:rPr>
          <w:rFonts w:ascii="David" w:hAnsi="David" w:hint="cs"/>
          <w:color w:val="000000"/>
          <w:rtl/>
        </w:rPr>
        <w:t> של פקודיו </w:t>
      </w:r>
      <w:r w:rsidRPr="00F079DF">
        <w:rPr>
          <w:rFonts w:ascii="David" w:hAnsi="David" w:hint="cs"/>
          <w:b/>
          <w:bCs/>
          <w:color w:val="000000"/>
          <w:rtl/>
        </w:rPr>
        <w:t>ולעם ישראל כולו</w:t>
      </w:r>
      <w:r w:rsidRPr="00F079DF">
        <w:rPr>
          <w:rFonts w:ascii="David" w:hAnsi="David" w:hint="cs"/>
          <w:color w:val="000000"/>
          <w:rtl/>
        </w:rPr>
        <w:t>...מעמד הקצונה הוא מעמד מחייב. קל וחומר כאשר המדובר בקצין הנושא בתפקיד פיקודי מובהק...תמונת הראי לסמכותו של המפקד היא האחריות המוטלת עליו במישורים הרבים שאוזכרו לעיל. סמכות הפיקוד שניתנה בידי הקצין מאת הצבא, ניתנה בידיו לאמון ולמשמרת. </w:t>
      </w:r>
      <w:r w:rsidRPr="00F079DF">
        <w:rPr>
          <w:rFonts w:ascii="David" w:hAnsi="David" w:hint="cs"/>
          <w:b/>
          <w:bCs/>
          <w:color w:val="000000"/>
          <w:rtl/>
        </w:rPr>
        <w:t>על המפקד להוות סמל ומופת לפקודיו</w:t>
      </w:r>
      <w:r w:rsidRPr="00F079DF">
        <w:rPr>
          <w:rFonts w:ascii="David" w:hAnsi="David" w:hint="cs"/>
          <w:color w:val="000000"/>
          <w:rtl/>
        </w:rPr>
        <w:t> בהילוכו, בנורמות ההתנהגות שלו, במקצועיותו, בכל אשר יפנה ויעשה. מעילה באמון מצד המפקד משליכה על הזכות ועל היכולת להמשיך ולשאת את דרגתו"</w:t>
      </w:r>
      <w:r w:rsidR="008F17AD">
        <w:rPr>
          <w:rFonts w:ascii="David" w:hAnsi="David" w:hint="cs"/>
          <w:color w:val="000000"/>
          <w:rtl/>
        </w:rPr>
        <w:t>.</w:t>
      </w:r>
      <w:r>
        <w:rPr>
          <w:rFonts w:ascii="David" w:hAnsi="David" w:hint="cs"/>
          <w:color w:val="000000"/>
          <w:rtl/>
        </w:rPr>
        <w:t xml:space="preserve"> (ע/144/06 </w:t>
      </w:r>
      <w:r>
        <w:rPr>
          <w:rFonts w:ascii="David" w:hAnsi="David" w:hint="cs"/>
          <w:b/>
          <w:bCs/>
          <w:color w:val="000000"/>
          <w:rtl/>
        </w:rPr>
        <w:t>התובע הצבאי הראשי נ' סרן בוטביה</w:t>
      </w:r>
      <w:r>
        <w:rPr>
          <w:rFonts w:ascii="David" w:hAnsi="David" w:hint="cs"/>
          <w:color w:val="000000"/>
          <w:rtl/>
        </w:rPr>
        <w:t xml:space="preserve">, פסקה 9 (2008); וראו גם ע/6/20 </w:t>
      </w:r>
      <w:r>
        <w:rPr>
          <w:rFonts w:ascii="David" w:hAnsi="David" w:hint="cs"/>
          <w:b/>
          <w:bCs/>
          <w:color w:val="000000"/>
          <w:rtl/>
        </w:rPr>
        <w:t xml:space="preserve">התובע הצבאי הראשי נ' רס"ן שושן, </w:t>
      </w:r>
      <w:r>
        <w:rPr>
          <w:rFonts w:ascii="David" w:hAnsi="David" w:hint="cs"/>
          <w:color w:val="000000"/>
          <w:rtl/>
        </w:rPr>
        <w:t xml:space="preserve">פסקה 15 (2020)). </w:t>
      </w:r>
    </w:p>
    <w:p w14:paraId="24D4FE1A" w14:textId="77777777" w:rsidR="00F079DF" w:rsidRPr="00070BEE" w:rsidRDefault="00F079DF" w:rsidP="00B42A4B">
      <w:pPr>
        <w:spacing w:line="348" w:lineRule="auto"/>
        <w:ind w:left="746" w:right="900"/>
        <w:rPr>
          <w:rFonts w:ascii="David" w:hAnsi="David"/>
          <w:color w:val="000000"/>
          <w:sz w:val="4"/>
          <w:szCs w:val="4"/>
        </w:rPr>
      </w:pPr>
    </w:p>
    <w:p w14:paraId="1A24E897" w14:textId="7F523188" w:rsidR="009E1052" w:rsidRDefault="008A7B3E" w:rsidP="00442F7D">
      <w:pPr>
        <w:pStyle w:val="ListParagraph"/>
        <w:numPr>
          <w:ilvl w:val="0"/>
          <w:numId w:val="20"/>
        </w:numPr>
        <w:tabs>
          <w:tab w:val="left" w:pos="276"/>
        </w:tabs>
        <w:spacing w:after="200"/>
        <w:ind w:left="-7" w:firstLine="0"/>
        <w:contextualSpacing/>
        <w:rPr>
          <w:rtl/>
        </w:rPr>
      </w:pPr>
      <w:r>
        <w:rPr>
          <w:rFonts w:hint="cs"/>
          <w:rtl/>
        </w:rPr>
        <w:t xml:space="preserve">המערער מעל באמון </w:t>
      </w:r>
      <w:r w:rsidR="009E1052">
        <w:rPr>
          <w:rFonts w:hint="cs"/>
          <w:rtl/>
        </w:rPr>
        <w:t>שניתן בו כקצין</w:t>
      </w:r>
      <w:r>
        <w:rPr>
          <w:rFonts w:hint="cs"/>
          <w:rtl/>
        </w:rPr>
        <w:t xml:space="preserve"> וכמפקד</w:t>
      </w:r>
      <w:r w:rsidR="009E1052">
        <w:rPr>
          <w:rFonts w:hint="cs"/>
          <w:rtl/>
        </w:rPr>
        <w:t xml:space="preserve">, </w:t>
      </w:r>
      <w:r w:rsidR="00426F04">
        <w:rPr>
          <w:rFonts w:hint="cs"/>
          <w:rtl/>
        </w:rPr>
        <w:t xml:space="preserve">ונכשל כישלון חרוץ במימוש חובתו של מפקד לשמש </w:t>
      </w:r>
      <w:r w:rsidR="009E1052">
        <w:rPr>
          <w:rFonts w:hint="cs"/>
          <w:rtl/>
        </w:rPr>
        <w:t>דוגמה אישית</w:t>
      </w:r>
      <w:r w:rsidR="00426F04">
        <w:rPr>
          <w:rFonts w:hint="cs"/>
          <w:rtl/>
        </w:rPr>
        <w:t xml:space="preserve">. </w:t>
      </w:r>
      <w:r w:rsidR="009E1052">
        <w:rPr>
          <w:rFonts w:hint="cs"/>
          <w:rtl/>
        </w:rPr>
        <w:t>לא זו בלבד ש</w:t>
      </w:r>
      <w:r w:rsidR="00426F04">
        <w:rPr>
          <w:rFonts w:hint="cs"/>
          <w:rtl/>
        </w:rPr>
        <w:t xml:space="preserve">המערער </w:t>
      </w:r>
      <w:r w:rsidR="009E1052">
        <w:rPr>
          <w:rFonts w:hint="cs"/>
          <w:rtl/>
        </w:rPr>
        <w:t xml:space="preserve">השתמש בסם בעצמו, </w:t>
      </w:r>
      <w:r w:rsidR="00426F04">
        <w:rPr>
          <w:rFonts w:hint="cs"/>
          <w:rtl/>
        </w:rPr>
        <w:t xml:space="preserve">בהיותו נושא נשק ובתוככי מוצב קדמי, </w:t>
      </w:r>
      <w:r w:rsidR="00C60095">
        <w:rPr>
          <w:rFonts w:hint="cs"/>
          <w:rtl/>
        </w:rPr>
        <w:t>הרי ש</w:t>
      </w:r>
      <w:r w:rsidR="009E1052">
        <w:rPr>
          <w:rFonts w:hint="cs"/>
          <w:rtl/>
        </w:rPr>
        <w:t>הביאו ל</w:t>
      </w:r>
      <w:r w:rsidR="00A6489E">
        <w:rPr>
          <w:rFonts w:hint="cs"/>
          <w:rtl/>
        </w:rPr>
        <w:t>תוככי היחידה</w:t>
      </w:r>
      <w:r w:rsidR="00F9086D">
        <w:rPr>
          <w:rFonts w:hint="cs"/>
          <w:rtl/>
        </w:rPr>
        <w:t xml:space="preserve"> והשתמש בו ב</w:t>
      </w:r>
      <w:r w:rsidR="00752944">
        <w:rPr>
          <w:rFonts w:hint="cs"/>
          <w:rtl/>
        </w:rPr>
        <w:t>צוותא</w:t>
      </w:r>
      <w:r w:rsidR="00F9086D">
        <w:rPr>
          <w:rFonts w:hint="cs"/>
          <w:rtl/>
        </w:rPr>
        <w:t xml:space="preserve"> </w:t>
      </w:r>
      <w:r w:rsidR="009E1052">
        <w:rPr>
          <w:rFonts w:hint="cs"/>
          <w:rtl/>
        </w:rPr>
        <w:t xml:space="preserve">עם חיילים אחרים </w:t>
      </w:r>
      <w:r w:rsidR="00A6489E">
        <w:rPr>
          <w:rFonts w:hint="cs"/>
          <w:rtl/>
        </w:rPr>
        <w:t>המשרתים בה</w:t>
      </w:r>
      <w:r w:rsidR="00F9086D">
        <w:rPr>
          <w:rFonts w:hint="cs"/>
          <w:rtl/>
        </w:rPr>
        <w:t>, כנהג משא וכסמב"צית. אחד מהם אף מסר למערער סכום של 100 ש"ח</w:t>
      </w:r>
      <w:r w:rsidR="00A6489E">
        <w:rPr>
          <w:rFonts w:hint="cs"/>
          <w:rtl/>
        </w:rPr>
        <w:t xml:space="preserve">. </w:t>
      </w:r>
      <w:r w:rsidR="00F9086D">
        <w:rPr>
          <w:rFonts w:hint="cs"/>
          <w:rtl/>
        </w:rPr>
        <w:t xml:space="preserve">התנהלותו </w:t>
      </w:r>
      <w:r w:rsidR="009E1052">
        <w:rPr>
          <w:rFonts w:hint="cs"/>
          <w:rtl/>
        </w:rPr>
        <w:t>בחקירה</w:t>
      </w:r>
      <w:r w:rsidR="00F9086D">
        <w:rPr>
          <w:rFonts w:hint="cs"/>
          <w:rtl/>
        </w:rPr>
        <w:t xml:space="preserve"> אף היא יורדת לשורש סמכותו הפיקודית ומלמדת על </w:t>
      </w:r>
      <w:r w:rsidR="00A6489E">
        <w:rPr>
          <w:rFonts w:hint="cs"/>
          <w:rtl/>
        </w:rPr>
        <w:t>ממדי כישלונו</w:t>
      </w:r>
      <w:r w:rsidR="009E1052">
        <w:rPr>
          <w:rFonts w:hint="cs"/>
          <w:rtl/>
        </w:rPr>
        <w:t xml:space="preserve">. </w:t>
      </w:r>
    </w:p>
    <w:p w14:paraId="52221027" w14:textId="46C68AE6" w:rsidR="009D1FEA" w:rsidRDefault="009D1FEA" w:rsidP="00442F7D">
      <w:pPr>
        <w:pStyle w:val="ListParagraph"/>
        <w:numPr>
          <w:ilvl w:val="0"/>
          <w:numId w:val="20"/>
        </w:numPr>
        <w:tabs>
          <w:tab w:val="left" w:pos="276"/>
        </w:tabs>
        <w:spacing w:after="200"/>
        <w:ind w:left="-7" w:firstLine="0"/>
        <w:contextualSpacing/>
        <w:rPr>
          <w:rtl/>
        </w:rPr>
      </w:pPr>
      <w:r>
        <w:rPr>
          <w:rFonts w:hint="cs"/>
          <w:rtl/>
        </w:rPr>
        <w:t>אף בחינת מדיניות הענישה שנקבעה בפסיקת בית</w:t>
      </w:r>
      <w:r w:rsidR="00CE7F25">
        <w:rPr>
          <w:rFonts w:hint="cs"/>
          <w:rtl/>
        </w:rPr>
        <w:t>-</w:t>
      </w:r>
      <w:r>
        <w:rPr>
          <w:rFonts w:hint="cs"/>
          <w:rtl/>
        </w:rPr>
        <w:t>דין זה, מלמדת כי אין חומרה יתרה במתחם העונש שנקבע על</w:t>
      </w:r>
      <w:r w:rsidR="00CE7F25">
        <w:rPr>
          <w:rFonts w:hint="cs"/>
          <w:rtl/>
        </w:rPr>
        <w:t>-</w:t>
      </w:r>
      <w:r>
        <w:rPr>
          <w:rFonts w:hint="cs"/>
          <w:rtl/>
        </w:rPr>
        <w:t xml:space="preserve">ידי בית הדין קמא </w:t>
      </w:r>
      <w:r w:rsidR="000B69AB">
        <w:rPr>
          <w:rFonts w:hint="cs"/>
          <w:rtl/>
        </w:rPr>
        <w:t xml:space="preserve">(ר' ע/58/15 </w:t>
      </w:r>
      <w:r w:rsidR="000B69AB" w:rsidRPr="009D1FEA">
        <w:rPr>
          <w:rFonts w:hint="cs"/>
          <w:b/>
          <w:bCs/>
          <w:rtl/>
        </w:rPr>
        <w:t>התובע הצבאי הראשי נ' סמל זוהר</w:t>
      </w:r>
      <w:r w:rsidR="000B69AB">
        <w:rPr>
          <w:rFonts w:hint="cs"/>
          <w:rtl/>
        </w:rPr>
        <w:t xml:space="preserve"> (2016); ע/5/19 שאוזכר לעיל; ע/63/12 </w:t>
      </w:r>
      <w:r w:rsidR="000B69AB" w:rsidRPr="009D1FEA">
        <w:rPr>
          <w:rFonts w:hint="cs"/>
          <w:b/>
          <w:bCs/>
          <w:rtl/>
        </w:rPr>
        <w:t xml:space="preserve">סמ"ר סאסי נ' התובע הצבאי הראשי </w:t>
      </w:r>
      <w:r w:rsidR="000B69AB">
        <w:rPr>
          <w:rFonts w:hint="cs"/>
          <w:rtl/>
        </w:rPr>
        <w:t xml:space="preserve">(2012); ע/2/18 </w:t>
      </w:r>
      <w:r w:rsidR="000B69AB" w:rsidRPr="009D1FEA">
        <w:rPr>
          <w:rFonts w:hint="cs"/>
          <w:b/>
          <w:bCs/>
          <w:rtl/>
        </w:rPr>
        <w:t xml:space="preserve">סמל יוסף נ' התובע הצבאי הראשי </w:t>
      </w:r>
      <w:r w:rsidR="000B69AB">
        <w:rPr>
          <w:rFonts w:hint="cs"/>
          <w:rtl/>
        </w:rPr>
        <w:t>(2018)</w:t>
      </w:r>
      <w:r w:rsidR="00764F56">
        <w:rPr>
          <w:rFonts w:hint="cs"/>
          <w:rtl/>
        </w:rPr>
        <w:t xml:space="preserve">; ע/49/19 </w:t>
      </w:r>
      <w:r w:rsidR="00764F56">
        <w:rPr>
          <w:rFonts w:hint="cs"/>
          <w:b/>
          <w:bCs/>
          <w:rtl/>
        </w:rPr>
        <w:t xml:space="preserve">טור' ברניס נ' התובע הצבאי הראשי </w:t>
      </w:r>
      <w:r w:rsidR="00764F56">
        <w:rPr>
          <w:rFonts w:hint="cs"/>
          <w:rtl/>
        </w:rPr>
        <w:t>(2019)</w:t>
      </w:r>
      <w:r w:rsidR="000B69AB">
        <w:rPr>
          <w:rFonts w:hint="cs"/>
          <w:rtl/>
        </w:rPr>
        <w:t>).</w:t>
      </w:r>
      <w:r w:rsidR="009E1052">
        <w:rPr>
          <w:rFonts w:hint="cs"/>
          <w:rtl/>
        </w:rPr>
        <w:t xml:space="preserve"> </w:t>
      </w:r>
      <w:r>
        <w:rPr>
          <w:rFonts w:hint="cs"/>
          <w:rtl/>
        </w:rPr>
        <w:t xml:space="preserve">מכאן שמצאנו כי אין מקום להתערבותנו במתחם העונש שנקבע. </w:t>
      </w:r>
    </w:p>
    <w:p w14:paraId="14EB2C12" w14:textId="0E00377D" w:rsidR="009E1052" w:rsidRDefault="009D1FEA" w:rsidP="00442F7D">
      <w:pPr>
        <w:pStyle w:val="ListParagraph"/>
        <w:numPr>
          <w:ilvl w:val="0"/>
          <w:numId w:val="20"/>
        </w:numPr>
        <w:tabs>
          <w:tab w:val="left" w:pos="276"/>
        </w:tabs>
        <w:spacing w:after="200"/>
        <w:ind w:left="-7" w:firstLine="0"/>
        <w:contextualSpacing/>
        <w:rPr>
          <w:rtl/>
        </w:rPr>
      </w:pPr>
      <w:r>
        <w:rPr>
          <w:rFonts w:hint="cs"/>
          <w:rtl/>
        </w:rPr>
        <w:t xml:space="preserve">אשר לקביעת מידת העונש בתוך מתחם העונש שנקבע: </w:t>
      </w:r>
      <w:r w:rsidR="005904B9">
        <w:rPr>
          <w:rFonts w:hint="cs"/>
          <w:rtl/>
        </w:rPr>
        <w:t xml:space="preserve">בצדק ציין הסניגור כי ביחס לאחת העבירות שבהן הורשע המערער </w:t>
      </w:r>
      <w:r w:rsidR="007019EB" w:rsidRPr="001107B4">
        <w:rPr>
          <w:b/>
          <w:bCs/>
          <w:rtl/>
        </w:rPr>
        <w:t>–</w:t>
      </w:r>
      <w:r w:rsidR="005904B9">
        <w:rPr>
          <w:rFonts w:hint="cs"/>
          <w:rtl/>
        </w:rPr>
        <w:t xml:space="preserve"> הפרעה לשוטר צבאי במילוי תפקידו </w:t>
      </w:r>
      <w:r w:rsidR="005904B9">
        <w:rPr>
          <w:rtl/>
        </w:rPr>
        <w:t>–</w:t>
      </w:r>
      <w:r w:rsidR="005904B9">
        <w:rPr>
          <w:rFonts w:hint="cs"/>
          <w:rtl/>
        </w:rPr>
        <w:t xml:space="preserve"> </w:t>
      </w:r>
      <w:r w:rsidR="0044709D">
        <w:rPr>
          <w:rFonts w:hint="cs"/>
          <w:rtl/>
        </w:rPr>
        <w:t xml:space="preserve">נשקלו </w:t>
      </w:r>
      <w:r w:rsidR="005904B9">
        <w:rPr>
          <w:rFonts w:hint="cs"/>
          <w:rtl/>
        </w:rPr>
        <w:t>נסיבות העבירה בעת קביעתו של מתחם העונש ההולם</w:t>
      </w:r>
      <w:r w:rsidR="0044709D">
        <w:rPr>
          <w:rFonts w:hint="cs"/>
          <w:rtl/>
        </w:rPr>
        <w:t xml:space="preserve"> (בבחינת הנזק שנגרם, או שצפוי היה להיגרם בביצוע העבירה, כאמור בסעיף 40ט(3) ו-(4) לחוק העונשין), ושבו ונשקלו בעת קביעת העונש בתוך המתחם (בעת הבחינה של "שיתוף הפעולה של הנאשם עם רשויות אכיפת החוק", כאמור בסעיף 40יא(6) לחוק). </w:t>
      </w:r>
      <w:r w:rsidR="00A6489E">
        <w:rPr>
          <w:rFonts w:hint="cs"/>
          <w:rtl/>
        </w:rPr>
        <w:t xml:space="preserve">ברם, </w:t>
      </w:r>
      <w:r w:rsidR="0044709D">
        <w:rPr>
          <w:rFonts w:hint="cs"/>
          <w:rtl/>
        </w:rPr>
        <w:t xml:space="preserve">לא מצאנו כי הדבר הביא ל"כפל ענישה". </w:t>
      </w:r>
      <w:r w:rsidR="00A6489E">
        <w:rPr>
          <w:rFonts w:hint="cs"/>
          <w:rtl/>
        </w:rPr>
        <w:t>בחינת ה</w:t>
      </w:r>
      <w:r w:rsidR="00092ACD">
        <w:rPr>
          <w:rFonts w:hint="cs"/>
          <w:rtl/>
        </w:rPr>
        <w:t xml:space="preserve">תוצאה הסופית </w:t>
      </w:r>
      <w:r w:rsidR="00A6489E">
        <w:rPr>
          <w:rFonts w:hint="cs"/>
          <w:rtl/>
        </w:rPr>
        <w:t>ש</w:t>
      </w:r>
      <w:r w:rsidR="00092ACD">
        <w:rPr>
          <w:rFonts w:hint="cs"/>
          <w:rtl/>
        </w:rPr>
        <w:t xml:space="preserve">אליה הגיע </w:t>
      </w:r>
      <w:r w:rsidR="00DC4095">
        <w:rPr>
          <w:rFonts w:hint="cs"/>
          <w:rtl/>
        </w:rPr>
        <w:t xml:space="preserve">בית הדין </w:t>
      </w:r>
      <w:r w:rsidR="00A6489E">
        <w:rPr>
          <w:rFonts w:hint="cs"/>
          <w:rtl/>
        </w:rPr>
        <w:t xml:space="preserve">קמא, בראי התמונה הכוללת </w:t>
      </w:r>
      <w:r w:rsidR="00106ABA" w:rsidRPr="001107B4">
        <w:rPr>
          <w:b/>
          <w:bCs/>
          <w:rtl/>
        </w:rPr>
        <w:t>–</w:t>
      </w:r>
      <w:r w:rsidR="004D0C3D">
        <w:rPr>
          <w:rFonts w:hint="cs"/>
          <w:rtl/>
        </w:rPr>
        <w:t xml:space="preserve"> </w:t>
      </w:r>
      <w:r w:rsidR="00AD6663">
        <w:rPr>
          <w:rFonts w:hint="cs"/>
          <w:rtl/>
        </w:rPr>
        <w:t>מעלה כי היא מאוזנת ומידתית, ואין להתערב בה</w:t>
      </w:r>
      <w:r w:rsidR="0044709D">
        <w:rPr>
          <w:rFonts w:hint="cs"/>
          <w:rtl/>
        </w:rPr>
        <w:t>. בעת קביעת העונש, בתוך המתחם,</w:t>
      </w:r>
      <w:r w:rsidR="00281417">
        <w:rPr>
          <w:rFonts w:hint="cs"/>
          <w:rtl/>
        </w:rPr>
        <w:t xml:space="preserve"> </w:t>
      </w:r>
      <w:r w:rsidR="0044709D">
        <w:rPr>
          <w:rFonts w:hint="cs"/>
          <w:rtl/>
        </w:rPr>
        <w:t xml:space="preserve">התחשב </w:t>
      </w:r>
      <w:r w:rsidR="004342D0">
        <w:rPr>
          <w:rFonts w:hint="cs"/>
          <w:rtl/>
        </w:rPr>
        <w:t>בית הדין קמא</w:t>
      </w:r>
      <w:r w:rsidR="0044709D">
        <w:rPr>
          <w:rFonts w:hint="cs"/>
          <w:rtl/>
        </w:rPr>
        <w:t xml:space="preserve">, לטובת המערער, גם בנסיבות נוספות </w:t>
      </w:r>
      <w:r w:rsidR="00106ABA" w:rsidRPr="001107B4">
        <w:rPr>
          <w:b/>
          <w:bCs/>
          <w:rtl/>
        </w:rPr>
        <w:t>–</w:t>
      </w:r>
      <w:r w:rsidR="0044709D">
        <w:rPr>
          <w:rFonts w:hint="cs"/>
          <w:rtl/>
        </w:rPr>
        <w:t xml:space="preserve"> ובהן </w:t>
      </w:r>
      <w:r w:rsidR="004342D0">
        <w:rPr>
          <w:rFonts w:hint="cs"/>
          <w:rtl/>
        </w:rPr>
        <w:t>חוות</w:t>
      </w:r>
      <w:r w:rsidR="00CE7F25">
        <w:rPr>
          <w:rFonts w:hint="cs"/>
          <w:rtl/>
        </w:rPr>
        <w:t>-</w:t>
      </w:r>
      <w:r w:rsidR="004342D0">
        <w:rPr>
          <w:rFonts w:hint="cs"/>
          <w:rtl/>
        </w:rPr>
        <w:t xml:space="preserve">דעתו החיובית של מפקדו, ואף בהודאתו </w:t>
      </w:r>
      <w:r w:rsidR="0044709D">
        <w:rPr>
          <w:rFonts w:hint="cs"/>
          <w:rtl/>
        </w:rPr>
        <w:t xml:space="preserve">של המערער </w:t>
      </w:r>
      <w:r w:rsidR="004342D0">
        <w:rPr>
          <w:rFonts w:hint="cs"/>
          <w:rtl/>
        </w:rPr>
        <w:t xml:space="preserve">ובהבעת החרטה, </w:t>
      </w:r>
      <w:r w:rsidR="008A7B3E">
        <w:rPr>
          <w:rFonts w:hint="cs"/>
          <w:rtl/>
        </w:rPr>
        <w:t>ב</w:t>
      </w:r>
      <w:r w:rsidR="00AD6663">
        <w:rPr>
          <w:rFonts w:hint="cs"/>
          <w:rtl/>
        </w:rPr>
        <w:t xml:space="preserve">השלכות של עונש הפגיעה בדרגה, </w:t>
      </w:r>
      <w:r w:rsidR="008A7B3E">
        <w:rPr>
          <w:rFonts w:hint="cs"/>
          <w:rtl/>
        </w:rPr>
        <w:t>המתחייב בנסיבות העניין</w:t>
      </w:r>
      <w:r w:rsidR="00AD6663">
        <w:rPr>
          <w:rFonts w:hint="cs"/>
          <w:rtl/>
        </w:rPr>
        <w:t xml:space="preserve">, </w:t>
      </w:r>
      <w:r w:rsidR="008A7B3E">
        <w:rPr>
          <w:rFonts w:hint="cs"/>
          <w:rtl/>
        </w:rPr>
        <w:t>ובכך ש</w:t>
      </w:r>
      <w:r w:rsidR="0044709D">
        <w:rPr>
          <w:rFonts w:hint="cs"/>
          <w:rtl/>
        </w:rPr>
        <w:t xml:space="preserve">המערער </w:t>
      </w:r>
      <w:r w:rsidR="008A7B3E">
        <w:rPr>
          <w:rFonts w:hint="cs"/>
          <w:rtl/>
        </w:rPr>
        <w:t xml:space="preserve">שהה במעצר </w:t>
      </w:r>
      <w:r w:rsidR="0044709D">
        <w:rPr>
          <w:rFonts w:hint="cs"/>
          <w:rtl/>
        </w:rPr>
        <w:t xml:space="preserve">במהלך </w:t>
      </w:r>
      <w:r w:rsidR="008A7B3E">
        <w:rPr>
          <w:rFonts w:hint="cs"/>
          <w:rtl/>
        </w:rPr>
        <w:t>חג הפסח ויום העצמאות</w:t>
      </w:r>
      <w:r w:rsidR="004342D0">
        <w:rPr>
          <w:rFonts w:hint="cs"/>
          <w:rtl/>
        </w:rPr>
        <w:t xml:space="preserve">. </w:t>
      </w:r>
      <w:r w:rsidR="008A7B3E">
        <w:rPr>
          <w:rFonts w:hint="cs"/>
          <w:rtl/>
        </w:rPr>
        <w:t xml:space="preserve">לצד זאת, </w:t>
      </w:r>
      <w:r w:rsidR="00281417">
        <w:rPr>
          <w:rFonts w:hint="cs"/>
          <w:rtl/>
        </w:rPr>
        <w:t>ב</w:t>
      </w:r>
      <w:r w:rsidR="00AD6663">
        <w:rPr>
          <w:rFonts w:hint="cs"/>
          <w:rtl/>
        </w:rPr>
        <w:t>דין שקל בית הדין קמא</w:t>
      </w:r>
      <w:r w:rsidR="0044709D">
        <w:rPr>
          <w:rFonts w:hint="cs"/>
          <w:rtl/>
        </w:rPr>
        <w:t>, בתוך המתחם,</w:t>
      </w:r>
      <w:r w:rsidR="00AD6663">
        <w:rPr>
          <w:rFonts w:hint="cs"/>
          <w:rtl/>
        </w:rPr>
        <w:t xml:space="preserve"> גם את </w:t>
      </w:r>
      <w:r w:rsidR="00281417">
        <w:rPr>
          <w:rFonts w:hint="cs"/>
          <w:rtl/>
        </w:rPr>
        <w:t>שיקולי</w:t>
      </w:r>
      <w:r w:rsidR="00AD6663">
        <w:rPr>
          <w:rFonts w:hint="cs"/>
          <w:rtl/>
        </w:rPr>
        <w:t xml:space="preserve"> </w:t>
      </w:r>
      <w:r w:rsidR="0044709D">
        <w:rPr>
          <w:rFonts w:hint="cs"/>
          <w:rtl/>
        </w:rPr>
        <w:t>ה</w:t>
      </w:r>
      <w:r w:rsidR="00281417">
        <w:rPr>
          <w:rFonts w:hint="cs"/>
          <w:rtl/>
        </w:rPr>
        <w:t>הרתע</w:t>
      </w:r>
      <w:r w:rsidR="00AD6663">
        <w:rPr>
          <w:rFonts w:hint="cs"/>
          <w:rtl/>
        </w:rPr>
        <w:t>ה</w:t>
      </w:r>
      <w:r w:rsidR="0044709D">
        <w:rPr>
          <w:rFonts w:hint="cs"/>
          <w:rtl/>
        </w:rPr>
        <w:t>, של היחיד ושל הרבים,</w:t>
      </w:r>
      <w:r w:rsidR="00281417">
        <w:rPr>
          <w:rFonts w:hint="cs"/>
          <w:rtl/>
        </w:rPr>
        <w:t xml:space="preserve"> </w:t>
      </w:r>
      <w:r w:rsidR="00AD6663">
        <w:rPr>
          <w:rFonts w:hint="cs"/>
          <w:rtl/>
        </w:rPr>
        <w:t xml:space="preserve">המתקיימים </w:t>
      </w:r>
      <w:r w:rsidR="0044709D">
        <w:rPr>
          <w:rFonts w:hint="cs"/>
          <w:rtl/>
        </w:rPr>
        <w:t>בענייננו</w:t>
      </w:r>
      <w:r w:rsidR="00F63BE6">
        <w:rPr>
          <w:rFonts w:hint="cs"/>
          <w:rtl/>
        </w:rPr>
        <w:t xml:space="preserve"> (ר' סעיף 40ז' לחוק העונשין</w:t>
      </w:r>
      <w:r w:rsidR="0044709D">
        <w:rPr>
          <w:rFonts w:hint="cs"/>
          <w:rtl/>
        </w:rPr>
        <w:t>).</w:t>
      </w:r>
    </w:p>
    <w:p w14:paraId="1D06605E" w14:textId="4F32A0F5" w:rsidR="008578D1" w:rsidRDefault="00DC4095" w:rsidP="00442F7D">
      <w:pPr>
        <w:pStyle w:val="ListParagraph"/>
        <w:numPr>
          <w:ilvl w:val="0"/>
          <w:numId w:val="20"/>
        </w:numPr>
        <w:tabs>
          <w:tab w:val="left" w:pos="276"/>
        </w:tabs>
        <w:spacing w:after="200"/>
        <w:ind w:left="-7" w:firstLine="0"/>
        <w:contextualSpacing/>
        <w:rPr>
          <w:rtl/>
        </w:rPr>
      </w:pPr>
      <w:r>
        <w:rPr>
          <w:rFonts w:hint="cs"/>
          <w:rtl/>
        </w:rPr>
        <w:t>לא מצאנו כי יש בטענות ההגנה בדבר פגיעה בעיקרון אחידות הענישה</w:t>
      </w:r>
      <w:r w:rsidR="00F63BE6">
        <w:rPr>
          <w:rFonts w:hint="cs"/>
          <w:rtl/>
        </w:rPr>
        <w:t xml:space="preserve"> כדי ל</w:t>
      </w:r>
      <w:r w:rsidR="001A02BA">
        <w:rPr>
          <w:rFonts w:hint="cs"/>
          <w:rtl/>
        </w:rPr>
        <w:t>שנות את פני הדברים</w:t>
      </w:r>
      <w:r w:rsidR="008A7B3E">
        <w:rPr>
          <w:rFonts w:hint="cs"/>
          <w:rtl/>
        </w:rPr>
        <w:t>, ביחס למידתו של עונש המאסר</w:t>
      </w:r>
      <w:r w:rsidR="00AD6663">
        <w:rPr>
          <w:rFonts w:hint="cs"/>
          <w:rtl/>
        </w:rPr>
        <w:t xml:space="preserve"> בפועל</w:t>
      </w:r>
      <w:r w:rsidR="001A02BA">
        <w:rPr>
          <w:rFonts w:hint="cs"/>
          <w:rtl/>
        </w:rPr>
        <w:t xml:space="preserve">. </w:t>
      </w:r>
      <w:r w:rsidR="008F17AD" w:rsidRPr="000B5F37">
        <w:rPr>
          <w:rFonts w:hint="cs"/>
          <w:rtl/>
        </w:rPr>
        <w:t>"</w:t>
      </w:r>
      <w:r w:rsidR="001A02BA" w:rsidRPr="000B5F37">
        <w:rPr>
          <w:rFonts w:hint="cs"/>
          <w:rtl/>
        </w:rPr>
        <w:t xml:space="preserve">עיקרון אחידות הענישה, הוא עיקרון </w:t>
      </w:r>
      <w:r w:rsidR="008F17AD" w:rsidRPr="000B5F37">
        <w:rPr>
          <w:rFonts w:hint="cs"/>
          <w:rtl/>
        </w:rPr>
        <w:t xml:space="preserve">יסוד בתורת הענישה ולו שני פנים: פן כללי </w:t>
      </w:r>
      <w:r w:rsidR="00117D56" w:rsidRPr="000B5F37">
        <w:rPr>
          <w:rFonts w:hint="cs"/>
          <w:rtl/>
        </w:rPr>
        <w:t>-</w:t>
      </w:r>
      <w:r w:rsidR="008A7B3E">
        <w:rPr>
          <w:rFonts w:hint="cs"/>
          <w:rtl/>
        </w:rPr>
        <w:t xml:space="preserve"> </w:t>
      </w:r>
      <w:r w:rsidR="008F17AD" w:rsidRPr="000B5F37">
        <w:rPr>
          <w:rFonts w:hint="cs"/>
          <w:rtl/>
        </w:rPr>
        <w:t xml:space="preserve">חיצוני שעניינו בהחלת שיקולי ענישה דומים ביחס לנאשמים שביצעו עבירות דומות ובאותן נסיבות; ופן פרטני </w:t>
      </w:r>
      <w:r w:rsidR="00117D56" w:rsidRPr="000B5F37">
        <w:rPr>
          <w:rFonts w:hint="cs"/>
          <w:rtl/>
        </w:rPr>
        <w:t>-</w:t>
      </w:r>
      <w:r w:rsidR="008F17AD" w:rsidRPr="000B5F37">
        <w:rPr>
          <w:rFonts w:hint="cs"/>
          <w:rtl/>
        </w:rPr>
        <w:t xml:space="preserve"> פנימי שעניינו הבטחת </w:t>
      </w:r>
      <w:r w:rsidR="00841F7F">
        <w:rPr>
          <w:rFonts w:hint="cs"/>
          <w:rtl/>
        </w:rPr>
        <w:t xml:space="preserve">יחס </w:t>
      </w:r>
      <w:r w:rsidR="008F17AD" w:rsidRPr="000B5F37">
        <w:rPr>
          <w:rFonts w:hint="cs"/>
          <w:rtl/>
        </w:rPr>
        <w:t>הולם בין עונשיהם של שותפים לאותה פרשיה עבר</w:t>
      </w:r>
      <w:r w:rsidR="004D0C3D">
        <w:rPr>
          <w:rFonts w:hint="cs"/>
          <w:rtl/>
        </w:rPr>
        <w:t>י</w:t>
      </w:r>
      <w:r w:rsidR="008F17AD" w:rsidRPr="000B5F37">
        <w:rPr>
          <w:rFonts w:hint="cs"/>
          <w:rtl/>
        </w:rPr>
        <w:t>ינית, כך שמדרג הענישה בין שותפים ישקף את החלק היחסי שלקח כל אחד מהם באותה פרשיה"</w:t>
      </w:r>
      <w:r w:rsidR="000B5F37">
        <w:rPr>
          <w:rFonts w:hint="cs"/>
          <w:rtl/>
        </w:rPr>
        <w:t xml:space="preserve"> </w:t>
      </w:r>
      <w:r w:rsidR="008578D1" w:rsidRPr="000B5F37">
        <w:rPr>
          <w:rFonts w:ascii="David" w:hAnsi="David" w:hint="cs"/>
          <w:color w:val="000000"/>
          <w:rtl/>
        </w:rPr>
        <w:t xml:space="preserve">(ע"פ 8172/21 </w:t>
      </w:r>
      <w:r w:rsidR="008578D1" w:rsidRPr="000B5F37">
        <w:rPr>
          <w:rFonts w:ascii="David" w:hAnsi="David" w:hint="cs"/>
          <w:b/>
          <w:bCs/>
          <w:color w:val="000000"/>
          <w:rtl/>
        </w:rPr>
        <w:t>חג'אזי נ' מדינת ישראל</w:t>
      </w:r>
      <w:r w:rsidR="008578D1" w:rsidRPr="000B5F37">
        <w:rPr>
          <w:rFonts w:ascii="David" w:hAnsi="David" w:hint="cs"/>
          <w:color w:val="000000"/>
          <w:rtl/>
        </w:rPr>
        <w:t>, בפסקה 18 (15.5.2022)</w:t>
      </w:r>
      <w:r w:rsidR="000B5F37" w:rsidRPr="000B5F37">
        <w:rPr>
          <w:rFonts w:ascii="David" w:hAnsi="David" w:hint="cs"/>
          <w:color w:val="000000"/>
          <w:rtl/>
        </w:rPr>
        <w:t xml:space="preserve">; </w:t>
      </w:r>
      <w:r w:rsidR="00AD6663">
        <w:rPr>
          <w:rFonts w:ascii="David" w:hAnsi="David" w:hint="cs"/>
          <w:color w:val="000000"/>
          <w:rtl/>
        </w:rPr>
        <w:t xml:space="preserve">ברם, כידוע, </w:t>
      </w:r>
      <w:r w:rsidR="004D0C3D">
        <w:rPr>
          <w:rFonts w:ascii="David" w:hAnsi="David" w:hint="cs"/>
          <w:color w:val="000000"/>
          <w:rtl/>
        </w:rPr>
        <w:t>"</w:t>
      </w:r>
      <w:r w:rsidR="008578D1">
        <w:rPr>
          <w:rFonts w:hint="cs"/>
          <w:rtl/>
        </w:rPr>
        <w:t xml:space="preserve">אין מדובר בעיקרון שיש </w:t>
      </w:r>
      <w:r w:rsidR="000D74A5">
        <w:rPr>
          <w:rFonts w:hint="cs"/>
          <w:rtl/>
        </w:rPr>
        <w:t>'</w:t>
      </w:r>
      <w:r w:rsidR="008578D1">
        <w:rPr>
          <w:rFonts w:hint="cs"/>
          <w:rtl/>
        </w:rPr>
        <w:t>למוד אותו במאזניים אלקטרוניים</w:t>
      </w:r>
      <w:r w:rsidR="000D74A5">
        <w:rPr>
          <w:rFonts w:hint="cs"/>
          <w:rtl/>
        </w:rPr>
        <w:t xml:space="preserve">'. </w:t>
      </w:r>
      <w:r w:rsidR="008578D1">
        <w:rPr>
          <w:rFonts w:hint="cs"/>
          <w:rtl/>
        </w:rPr>
        <w:t xml:space="preserve">עיקרון זה </w:t>
      </w:r>
      <w:r w:rsidR="007C2552">
        <w:rPr>
          <w:rFonts w:hint="cs"/>
          <w:rtl/>
        </w:rPr>
        <w:t>יש ליישם בהתאם ל</w:t>
      </w:r>
      <w:r w:rsidR="008578D1">
        <w:rPr>
          <w:rFonts w:hint="cs"/>
          <w:rtl/>
        </w:rPr>
        <w:t>בחינת כלל הנסיבות הנדרשות לעניין, לרבות מיהות העושה ומהות המעשה</w:t>
      </w:r>
      <w:r w:rsidR="004D0C3D">
        <w:rPr>
          <w:rFonts w:hint="cs"/>
          <w:rtl/>
        </w:rPr>
        <w:t>"</w:t>
      </w:r>
      <w:r w:rsidR="008578D1">
        <w:rPr>
          <w:rFonts w:hint="cs"/>
          <w:rtl/>
        </w:rPr>
        <w:t xml:space="preserve"> (ע"פ 587/22 </w:t>
      </w:r>
      <w:r w:rsidR="008578D1" w:rsidRPr="000B5F37">
        <w:rPr>
          <w:rFonts w:hint="cs"/>
          <w:b/>
          <w:bCs/>
          <w:rtl/>
        </w:rPr>
        <w:t>אבו נאעסה נ' מדינת ישראל</w:t>
      </w:r>
      <w:r w:rsidR="008578D1">
        <w:rPr>
          <w:rFonts w:hint="cs"/>
          <w:rtl/>
        </w:rPr>
        <w:t>, בפסקה 10</w:t>
      </w:r>
      <w:r w:rsidR="000B69AB">
        <w:rPr>
          <w:rFonts w:hint="cs"/>
          <w:rtl/>
        </w:rPr>
        <w:t xml:space="preserve"> והאסמכתאות שם</w:t>
      </w:r>
      <w:r w:rsidR="008578D1">
        <w:rPr>
          <w:rFonts w:hint="cs"/>
          <w:rtl/>
        </w:rPr>
        <w:t xml:space="preserve"> (22.5.2022))</w:t>
      </w:r>
      <w:r w:rsidR="00117D56">
        <w:rPr>
          <w:rFonts w:hint="cs"/>
          <w:rtl/>
        </w:rPr>
        <w:t>; מכאן שאין ב</w:t>
      </w:r>
      <w:r w:rsidR="007C2552">
        <w:rPr>
          <w:rFonts w:hint="cs"/>
          <w:rtl/>
        </w:rPr>
        <w:t xml:space="preserve">יישום </w:t>
      </w:r>
      <w:r w:rsidR="00117D56">
        <w:rPr>
          <w:rFonts w:hint="cs"/>
          <w:rtl/>
        </w:rPr>
        <w:t xml:space="preserve">עיקרון </w:t>
      </w:r>
      <w:r w:rsidR="00223F8E">
        <w:rPr>
          <w:rFonts w:hint="cs"/>
          <w:rtl/>
        </w:rPr>
        <w:t>אחידות הענישה</w:t>
      </w:r>
      <w:r w:rsidR="00117D56">
        <w:rPr>
          <w:rFonts w:hint="cs"/>
          <w:rtl/>
        </w:rPr>
        <w:t xml:space="preserve"> כדי לפטור את בית הדין מהטלת עונשים אינדיווידואליים על</w:t>
      </w:r>
      <w:r w:rsidR="00CE7F25">
        <w:rPr>
          <w:rFonts w:hint="cs"/>
          <w:rtl/>
        </w:rPr>
        <w:t>-</w:t>
      </w:r>
      <w:r w:rsidR="00117D56">
        <w:rPr>
          <w:rFonts w:hint="cs"/>
          <w:rtl/>
        </w:rPr>
        <w:t xml:space="preserve">פי נסיבותיו האישיות של העבריין ונסיבות ביצוע העבירה (ע/15/13 </w:t>
      </w:r>
      <w:r w:rsidR="00117D56" w:rsidRPr="000B5F37">
        <w:rPr>
          <w:rFonts w:hint="cs"/>
          <w:b/>
          <w:bCs/>
          <w:rtl/>
        </w:rPr>
        <w:t>סמל ביטון נ' התובע הצבאי הראשי</w:t>
      </w:r>
      <w:r w:rsidR="00117D56">
        <w:rPr>
          <w:rFonts w:hint="cs"/>
          <w:rtl/>
        </w:rPr>
        <w:t xml:space="preserve">, בפסקה 69 (2013)). </w:t>
      </w:r>
    </w:p>
    <w:p w14:paraId="18ABC7F9" w14:textId="3D80D66D" w:rsidR="003964CE" w:rsidRDefault="001A02BA" w:rsidP="00442F7D">
      <w:pPr>
        <w:pStyle w:val="ListParagraph"/>
        <w:numPr>
          <w:ilvl w:val="0"/>
          <w:numId w:val="20"/>
        </w:numPr>
        <w:tabs>
          <w:tab w:val="left" w:pos="276"/>
        </w:tabs>
        <w:spacing w:after="200"/>
        <w:ind w:left="-7" w:firstLine="0"/>
        <w:contextualSpacing/>
      </w:pPr>
      <w:r>
        <w:rPr>
          <w:rFonts w:hint="cs"/>
          <w:rtl/>
        </w:rPr>
        <w:t xml:space="preserve">אכן, על </w:t>
      </w:r>
      <w:r w:rsidR="00FB13FB">
        <w:rPr>
          <w:rFonts w:hint="cs"/>
          <w:rtl/>
        </w:rPr>
        <w:t xml:space="preserve">החיילים שהיו </w:t>
      </w:r>
      <w:r w:rsidR="007C2552">
        <w:rPr>
          <w:rFonts w:hint="cs"/>
          <w:rtl/>
        </w:rPr>
        <w:t xml:space="preserve">מעורבים בפרשה </w:t>
      </w:r>
      <w:r>
        <w:rPr>
          <w:rFonts w:hint="cs"/>
          <w:rtl/>
        </w:rPr>
        <w:t xml:space="preserve">הושתו, במסגרת הסדרי טיעון, עונשים מקלים, הנושאים רישום פלילי "מופחת". </w:t>
      </w:r>
      <w:r w:rsidR="00117D56">
        <w:rPr>
          <w:rFonts w:hint="cs"/>
          <w:rtl/>
        </w:rPr>
        <w:t>עם זאת,</w:t>
      </w:r>
      <w:r w:rsidR="00863AC8">
        <w:rPr>
          <w:rFonts w:hint="cs"/>
          <w:rtl/>
        </w:rPr>
        <w:t xml:space="preserve"> כפי שבואר לעיל, </w:t>
      </w:r>
      <w:r w:rsidR="007C2552">
        <w:rPr>
          <w:rFonts w:hint="cs"/>
          <w:rtl/>
        </w:rPr>
        <w:t>חלקו של המערער בפרשה ו</w:t>
      </w:r>
      <w:r w:rsidR="00863AC8">
        <w:rPr>
          <w:rFonts w:hint="cs"/>
          <w:rtl/>
        </w:rPr>
        <w:t>היותו של המערער קצין ומפקד, הצדיק</w:t>
      </w:r>
      <w:r w:rsidR="007C2552">
        <w:rPr>
          <w:rFonts w:hint="cs"/>
          <w:rtl/>
        </w:rPr>
        <w:t xml:space="preserve">ו </w:t>
      </w:r>
      <w:r w:rsidR="00863AC8">
        <w:rPr>
          <w:rFonts w:hint="cs"/>
          <w:rtl/>
        </w:rPr>
        <w:t xml:space="preserve">החמרה </w:t>
      </w:r>
      <w:r w:rsidR="007C2552">
        <w:rPr>
          <w:rFonts w:hint="cs"/>
          <w:rtl/>
        </w:rPr>
        <w:t xml:space="preserve">ניכרת </w:t>
      </w:r>
      <w:r w:rsidR="00863AC8">
        <w:rPr>
          <w:rFonts w:hint="cs"/>
          <w:rtl/>
        </w:rPr>
        <w:t>בעונשו</w:t>
      </w:r>
      <w:r w:rsidR="007C2552">
        <w:rPr>
          <w:rFonts w:hint="cs"/>
          <w:rtl/>
        </w:rPr>
        <w:t xml:space="preserve">. המערער </w:t>
      </w:r>
      <w:r w:rsidR="0058731C">
        <w:rPr>
          <w:rFonts w:hint="cs"/>
          <w:rtl/>
        </w:rPr>
        <w:t>הוא ש</w:t>
      </w:r>
      <w:r w:rsidR="007C2552" w:rsidRPr="007C2552">
        <w:rPr>
          <w:rFonts w:hint="cs"/>
          <w:rtl/>
        </w:rPr>
        <w:t>הכנ</w:t>
      </w:r>
      <w:r w:rsidR="007C2552">
        <w:rPr>
          <w:rFonts w:hint="cs"/>
          <w:rtl/>
        </w:rPr>
        <w:t>י</w:t>
      </w:r>
      <w:r w:rsidR="007C2552" w:rsidRPr="007C2552">
        <w:rPr>
          <w:rFonts w:hint="cs"/>
          <w:rtl/>
        </w:rPr>
        <w:t>ס סם לבסיס</w:t>
      </w:r>
      <w:r w:rsidR="001E7A39">
        <w:rPr>
          <w:rFonts w:hint="cs"/>
          <w:rtl/>
        </w:rPr>
        <w:t xml:space="preserve"> היחידה</w:t>
      </w:r>
      <w:r w:rsidR="0058731C">
        <w:rPr>
          <w:rFonts w:hint="cs"/>
          <w:rtl/>
        </w:rPr>
        <w:t xml:space="preserve"> </w:t>
      </w:r>
      <w:r w:rsidR="00106ABA" w:rsidRPr="001107B4">
        <w:rPr>
          <w:b/>
          <w:bCs/>
          <w:rtl/>
        </w:rPr>
        <w:t>–</w:t>
      </w:r>
      <w:r w:rsidR="0058731C">
        <w:rPr>
          <w:rFonts w:hint="cs"/>
          <w:rtl/>
        </w:rPr>
        <w:t xml:space="preserve"> </w:t>
      </w:r>
      <w:r w:rsidR="007C2552">
        <w:rPr>
          <w:rFonts w:hint="cs"/>
          <w:rtl/>
        </w:rPr>
        <w:t xml:space="preserve">עשה בו </w:t>
      </w:r>
      <w:r w:rsidR="007C2552" w:rsidRPr="007C2552">
        <w:rPr>
          <w:rFonts w:hint="cs"/>
          <w:rtl/>
        </w:rPr>
        <w:t xml:space="preserve">שימוש </w:t>
      </w:r>
      <w:r w:rsidR="0058731C">
        <w:rPr>
          <w:rFonts w:hint="cs"/>
          <w:rtl/>
        </w:rPr>
        <w:t xml:space="preserve">בצוותא עם </w:t>
      </w:r>
      <w:r w:rsidR="001E7A39">
        <w:rPr>
          <w:rFonts w:hint="cs"/>
          <w:rtl/>
        </w:rPr>
        <w:t>חיילים אחרים</w:t>
      </w:r>
      <w:r w:rsidR="007C2552">
        <w:rPr>
          <w:rFonts w:hint="cs"/>
          <w:rtl/>
        </w:rPr>
        <w:t xml:space="preserve">, </w:t>
      </w:r>
      <w:r w:rsidR="007C2552" w:rsidRPr="007C2552">
        <w:rPr>
          <w:rFonts w:hint="cs"/>
          <w:rtl/>
        </w:rPr>
        <w:t>ואף מסר</w:t>
      </w:r>
      <w:r w:rsidR="0058731C">
        <w:rPr>
          <w:rFonts w:hint="cs"/>
          <w:rtl/>
        </w:rPr>
        <w:t xml:space="preserve">ו לידי חיילת </w:t>
      </w:r>
      <w:r w:rsidR="007C2552">
        <w:rPr>
          <w:rFonts w:hint="cs"/>
          <w:rtl/>
        </w:rPr>
        <w:t xml:space="preserve">לשימושה שלה ולשימוש של </w:t>
      </w:r>
      <w:r w:rsidR="007C2552" w:rsidRPr="007C2552">
        <w:rPr>
          <w:rFonts w:hint="cs"/>
          <w:rtl/>
        </w:rPr>
        <w:t xml:space="preserve">חיילת נוספת </w:t>
      </w:r>
      <w:r w:rsidR="00106ABA" w:rsidRPr="001107B4">
        <w:rPr>
          <w:b/>
          <w:bCs/>
          <w:rtl/>
        </w:rPr>
        <w:t>–</w:t>
      </w:r>
      <w:r w:rsidR="007C2552" w:rsidRPr="007C2552">
        <w:rPr>
          <w:rFonts w:hint="cs"/>
          <w:rtl/>
        </w:rPr>
        <w:t xml:space="preserve"> מעשים </w:t>
      </w:r>
      <w:r w:rsidR="001E7A39">
        <w:rPr>
          <w:rFonts w:hint="cs"/>
          <w:rtl/>
        </w:rPr>
        <w:t>ש</w:t>
      </w:r>
      <w:r w:rsidR="007C2552" w:rsidRPr="007C2552">
        <w:rPr>
          <w:rFonts w:hint="cs"/>
          <w:rtl/>
        </w:rPr>
        <w:t xml:space="preserve">לא יוחסו לשני החיילים </w:t>
      </w:r>
      <w:r w:rsidR="007C2552">
        <w:rPr>
          <w:rFonts w:hint="cs"/>
          <w:rtl/>
        </w:rPr>
        <w:t xml:space="preserve">הנוספים שנשפטו בפרשה. </w:t>
      </w:r>
      <w:r w:rsidR="001E7A39">
        <w:rPr>
          <w:rFonts w:hint="cs"/>
          <w:rtl/>
        </w:rPr>
        <w:t xml:space="preserve">דומה, </w:t>
      </w:r>
      <w:r w:rsidR="007C2552">
        <w:rPr>
          <w:rFonts w:hint="cs"/>
          <w:rtl/>
        </w:rPr>
        <w:t xml:space="preserve">כי </w:t>
      </w:r>
      <w:r w:rsidR="001E7A39">
        <w:rPr>
          <w:rFonts w:hint="cs"/>
          <w:rtl/>
        </w:rPr>
        <w:t xml:space="preserve">החשש מפני </w:t>
      </w:r>
      <w:r w:rsidR="007C2552" w:rsidRPr="007C2552">
        <w:rPr>
          <w:rFonts w:hint="cs"/>
          <w:rtl/>
        </w:rPr>
        <w:t>הכנסת סם ליחידה</w:t>
      </w:r>
      <w:r w:rsidR="001E7A39">
        <w:rPr>
          <w:rFonts w:hint="cs"/>
          <w:rtl/>
        </w:rPr>
        <w:t xml:space="preserve">, בבחינת ה"חיידק המדבק" </w:t>
      </w:r>
      <w:r w:rsidR="009F7CA8">
        <w:rPr>
          <w:rFonts w:hint="cs"/>
          <w:rtl/>
        </w:rPr>
        <w:t xml:space="preserve">(בג"ץ 5000/95 </w:t>
      </w:r>
      <w:r w:rsidR="009F7CA8">
        <w:rPr>
          <w:rFonts w:hint="cs"/>
          <w:b/>
          <w:bCs/>
          <w:rtl/>
        </w:rPr>
        <w:t>טור' ברטלה  נ' התובע הצבאי הראשי</w:t>
      </w:r>
      <w:r w:rsidR="009F7CA8">
        <w:rPr>
          <w:rFonts w:hint="cs"/>
          <w:rtl/>
        </w:rPr>
        <w:t>, פ"ד מט(5) 64, 73 (1995)</w:t>
      </w:r>
      <w:r w:rsidR="00CE7F25">
        <w:rPr>
          <w:rFonts w:hint="cs"/>
          <w:rtl/>
        </w:rPr>
        <w:t>)</w:t>
      </w:r>
      <w:r w:rsidR="001E7A39">
        <w:rPr>
          <w:rFonts w:hint="cs"/>
          <w:rtl/>
        </w:rPr>
        <w:t xml:space="preserve"> העלול לפגוע </w:t>
      </w:r>
      <w:r w:rsidR="007C2552" w:rsidRPr="007C2552">
        <w:rPr>
          <w:rFonts w:hint="cs"/>
          <w:rtl/>
        </w:rPr>
        <w:t>ביכולת התפקודית של היחידה כולה</w:t>
      </w:r>
      <w:r w:rsidR="001E7A39">
        <w:rPr>
          <w:rFonts w:hint="cs"/>
          <w:rtl/>
        </w:rPr>
        <w:t xml:space="preserve"> </w:t>
      </w:r>
      <w:r w:rsidR="00106ABA" w:rsidRPr="001107B4">
        <w:rPr>
          <w:b/>
          <w:bCs/>
          <w:rtl/>
        </w:rPr>
        <w:t>–</w:t>
      </w:r>
      <w:r w:rsidR="001E7A39">
        <w:rPr>
          <w:rFonts w:hint="cs"/>
          <w:rtl/>
        </w:rPr>
        <w:t xml:space="preserve"> קרם בענייננו עור וגידים</w:t>
      </w:r>
      <w:r w:rsidR="007C2552" w:rsidRPr="007C2552">
        <w:rPr>
          <w:rFonts w:hint="cs"/>
          <w:rtl/>
        </w:rPr>
        <w:t xml:space="preserve"> (ע/4/19 </w:t>
      </w:r>
      <w:r w:rsidR="007C2552" w:rsidRPr="007C2552">
        <w:rPr>
          <w:rFonts w:hint="cs"/>
          <w:b/>
          <w:bCs/>
          <w:rtl/>
        </w:rPr>
        <w:t xml:space="preserve">התובע הצבאי נ' רב"ט גרינברג, </w:t>
      </w:r>
      <w:r w:rsidR="007C2552" w:rsidRPr="007C2552">
        <w:rPr>
          <w:rFonts w:hint="cs"/>
          <w:rtl/>
        </w:rPr>
        <w:t>פסקה 19 (2019)).</w:t>
      </w:r>
      <w:r w:rsidR="00863AC8">
        <w:rPr>
          <w:rFonts w:hint="cs"/>
          <w:rtl/>
        </w:rPr>
        <w:t xml:space="preserve"> כן </w:t>
      </w:r>
      <w:r w:rsidR="00907180">
        <w:rPr>
          <w:rFonts w:hint="cs"/>
          <w:rtl/>
        </w:rPr>
        <w:t xml:space="preserve">יש לשקול כי </w:t>
      </w:r>
      <w:r w:rsidR="00863AC8">
        <w:rPr>
          <w:rFonts w:hint="cs"/>
          <w:rtl/>
        </w:rPr>
        <w:t>המערער</w:t>
      </w:r>
      <w:r w:rsidR="00223F8E">
        <w:rPr>
          <w:rFonts w:hint="cs"/>
          <w:rtl/>
        </w:rPr>
        <w:t xml:space="preserve"> הורשע גם בסירוב למסירת דגימת שתן, </w:t>
      </w:r>
      <w:r w:rsidR="007C2552">
        <w:rPr>
          <w:rFonts w:hint="cs"/>
          <w:rtl/>
        </w:rPr>
        <w:t xml:space="preserve">וכי חלקו בעבירה של הפרעה לשוטר היה משמעותי. </w:t>
      </w:r>
    </w:p>
    <w:p w14:paraId="11235C6C" w14:textId="7F02211D" w:rsidR="001761A0" w:rsidRDefault="00863AC8" w:rsidP="00442F7D">
      <w:pPr>
        <w:pStyle w:val="ListParagraph"/>
        <w:numPr>
          <w:ilvl w:val="0"/>
          <w:numId w:val="20"/>
        </w:numPr>
        <w:tabs>
          <w:tab w:val="left" w:pos="276"/>
        </w:tabs>
        <w:spacing w:after="200"/>
        <w:ind w:left="-7" w:firstLine="0"/>
        <w:contextualSpacing/>
        <w:rPr>
          <w:rtl/>
        </w:rPr>
      </w:pPr>
      <w:r>
        <w:rPr>
          <w:rFonts w:hint="cs"/>
          <w:rtl/>
        </w:rPr>
        <w:t xml:space="preserve">מעבר לכך, </w:t>
      </w:r>
      <w:r w:rsidR="00223F8E">
        <w:rPr>
          <w:rFonts w:hint="cs"/>
          <w:rtl/>
        </w:rPr>
        <w:t xml:space="preserve">עניינם של שני החיילים הנוספים הסתיים במסגרת הסדר טיעון, </w:t>
      </w:r>
      <w:r w:rsidR="007C2552">
        <w:rPr>
          <w:rFonts w:hint="cs"/>
          <w:rtl/>
        </w:rPr>
        <w:t xml:space="preserve">משיקולים שונים, </w:t>
      </w:r>
      <w:r w:rsidR="00223F8E">
        <w:rPr>
          <w:rFonts w:hint="cs"/>
          <w:rtl/>
        </w:rPr>
        <w:t xml:space="preserve">עניין המצדיק </w:t>
      </w:r>
      <w:r w:rsidR="00FB13FB">
        <w:rPr>
          <w:rFonts w:hint="cs"/>
          <w:rtl/>
        </w:rPr>
        <w:t>התייחסות שונה לעונש שנגזר עלי</w:t>
      </w:r>
      <w:r w:rsidR="00223F8E">
        <w:rPr>
          <w:rFonts w:hint="cs"/>
          <w:rtl/>
        </w:rPr>
        <w:t>הם</w:t>
      </w:r>
      <w:r w:rsidR="00FB13FB">
        <w:rPr>
          <w:rFonts w:hint="cs"/>
          <w:rtl/>
        </w:rPr>
        <w:t xml:space="preserve"> (ע"פ 7758/04 </w:t>
      </w:r>
      <w:r w:rsidR="00FB13FB" w:rsidRPr="00223F8E">
        <w:rPr>
          <w:rFonts w:hint="cs"/>
          <w:b/>
          <w:bCs/>
          <w:rtl/>
        </w:rPr>
        <w:t xml:space="preserve">אלקאדר נ' מדינת ישראל </w:t>
      </w:r>
      <w:r w:rsidR="00FB13FB">
        <w:rPr>
          <w:rFonts w:hint="cs"/>
          <w:rtl/>
        </w:rPr>
        <w:t>(19.7.2007)</w:t>
      </w:r>
      <w:r w:rsidR="0026704B">
        <w:rPr>
          <w:rFonts w:hint="cs"/>
          <w:rtl/>
        </w:rPr>
        <w:t xml:space="preserve">; ע/94/16 </w:t>
      </w:r>
      <w:r w:rsidR="0026704B" w:rsidRPr="00223F8E">
        <w:rPr>
          <w:rFonts w:hint="cs"/>
          <w:b/>
          <w:bCs/>
          <w:rtl/>
        </w:rPr>
        <w:t>טור' ברכה נ' התובע הצבאי הראשי</w:t>
      </w:r>
      <w:r w:rsidR="0026704B">
        <w:rPr>
          <w:rFonts w:hint="cs"/>
          <w:rtl/>
        </w:rPr>
        <w:t>, פסקה 28 (2017)</w:t>
      </w:r>
      <w:r w:rsidR="00FB13FB">
        <w:rPr>
          <w:rFonts w:hint="cs"/>
          <w:rtl/>
        </w:rPr>
        <w:t>).</w:t>
      </w:r>
      <w:r w:rsidR="003964CE">
        <w:rPr>
          <w:rFonts w:hint="cs"/>
          <w:rtl/>
        </w:rPr>
        <w:t xml:space="preserve"> כמו כן, בעניינו של </w:t>
      </w:r>
      <w:r w:rsidR="00C1070E">
        <w:rPr>
          <w:rFonts w:hint="cs"/>
          <w:rtl/>
        </w:rPr>
        <w:t xml:space="preserve">סמל אנטוני </w:t>
      </w:r>
      <w:r w:rsidR="006E720F">
        <w:rPr>
          <w:rFonts w:hint="cs"/>
          <w:rtl/>
        </w:rPr>
        <w:t>הבהירה התביעה, כי הוא הודה ושיתף פעולה למן ראשית חקירתו, ולמעשה</w:t>
      </w:r>
      <w:r w:rsidR="003964CE">
        <w:rPr>
          <w:rFonts w:hint="cs"/>
          <w:rtl/>
        </w:rPr>
        <w:t>,</w:t>
      </w:r>
      <w:r w:rsidR="006E720F">
        <w:rPr>
          <w:rFonts w:hint="cs"/>
          <w:rtl/>
        </w:rPr>
        <w:t xml:space="preserve"> </w:t>
      </w:r>
      <w:r w:rsidR="003964CE">
        <w:rPr>
          <w:rFonts w:hint="cs"/>
          <w:rtl/>
        </w:rPr>
        <w:t>אלמלא</w:t>
      </w:r>
      <w:r w:rsidR="006E720F">
        <w:rPr>
          <w:rFonts w:hint="cs"/>
          <w:rtl/>
        </w:rPr>
        <w:t xml:space="preserve"> הודאתו</w:t>
      </w:r>
      <w:r w:rsidR="003964CE">
        <w:rPr>
          <w:rFonts w:hint="cs"/>
          <w:rtl/>
        </w:rPr>
        <w:t xml:space="preserve">, ספק אם </w:t>
      </w:r>
      <w:r w:rsidR="006E720F">
        <w:rPr>
          <w:rFonts w:hint="cs"/>
          <w:rtl/>
        </w:rPr>
        <w:t xml:space="preserve">ניתן היה להעמיד לדין את המעורבים </w:t>
      </w:r>
      <w:r w:rsidR="003964CE">
        <w:rPr>
          <w:rFonts w:hint="cs"/>
          <w:rtl/>
        </w:rPr>
        <w:t xml:space="preserve">האחרים </w:t>
      </w:r>
      <w:r w:rsidR="006E720F">
        <w:rPr>
          <w:rFonts w:hint="cs"/>
          <w:rtl/>
        </w:rPr>
        <w:t>בפרשה.</w:t>
      </w:r>
      <w:r w:rsidR="00907180">
        <w:rPr>
          <w:rFonts w:hint="cs"/>
          <w:rtl/>
        </w:rPr>
        <w:t xml:space="preserve"> עניין זה בולט בעיקר על רקע התנהלותו של המערער עצמו בחקירה, כפי שפורט לעיל</w:t>
      </w:r>
      <w:r w:rsidR="00223F8E">
        <w:rPr>
          <w:rFonts w:hint="cs"/>
          <w:rtl/>
        </w:rPr>
        <w:t>, ו</w:t>
      </w:r>
      <w:r w:rsidR="003964CE">
        <w:rPr>
          <w:rFonts w:hint="cs"/>
          <w:rtl/>
        </w:rPr>
        <w:t>הוא ש</w:t>
      </w:r>
      <w:r w:rsidR="00223F8E">
        <w:rPr>
          <w:rFonts w:hint="cs"/>
          <w:rtl/>
        </w:rPr>
        <w:t>הוביל להתחשבות משמעותית בע</w:t>
      </w:r>
      <w:r w:rsidR="003964CE">
        <w:rPr>
          <w:rFonts w:hint="cs"/>
          <w:rtl/>
        </w:rPr>
        <w:t xml:space="preserve">ונשו של סמל אנטוני. </w:t>
      </w:r>
      <w:r>
        <w:rPr>
          <w:rFonts w:hint="cs"/>
          <w:rtl/>
        </w:rPr>
        <w:t>אשר ל</w:t>
      </w:r>
      <w:r w:rsidR="00C1070E">
        <w:rPr>
          <w:rFonts w:hint="cs"/>
          <w:rtl/>
        </w:rPr>
        <w:t>רב</w:t>
      </w:r>
      <w:r w:rsidR="00223F8E">
        <w:rPr>
          <w:rFonts w:hint="cs"/>
          <w:rtl/>
        </w:rPr>
        <w:t>"</w:t>
      </w:r>
      <w:r w:rsidR="00C1070E">
        <w:rPr>
          <w:rFonts w:hint="cs"/>
          <w:rtl/>
        </w:rPr>
        <w:t>ט נועם</w:t>
      </w:r>
      <w:r>
        <w:rPr>
          <w:rFonts w:hint="cs"/>
          <w:rtl/>
        </w:rPr>
        <w:t xml:space="preserve">, </w:t>
      </w:r>
      <w:r w:rsidR="007877DC">
        <w:rPr>
          <w:rFonts w:hint="cs"/>
          <w:rtl/>
        </w:rPr>
        <w:t>הרי שבית הדין שדן בעניינה ציין כי הסדר הטיעון שהוצג לו נוטה לקולה, אלא שהתחשב בכך שה</w:t>
      </w:r>
      <w:r>
        <w:rPr>
          <w:rFonts w:hint="cs"/>
          <w:rtl/>
        </w:rPr>
        <w:t>הסדר מבוסס</w:t>
      </w:r>
      <w:r w:rsidR="00907180">
        <w:rPr>
          <w:rFonts w:hint="cs"/>
          <w:rtl/>
        </w:rPr>
        <w:t xml:space="preserve">, לפחות </w:t>
      </w:r>
      <w:r>
        <w:rPr>
          <w:rFonts w:hint="cs"/>
          <w:rtl/>
        </w:rPr>
        <w:t>בחלקו</w:t>
      </w:r>
      <w:r w:rsidR="007877DC">
        <w:rPr>
          <w:rFonts w:hint="cs"/>
          <w:rtl/>
        </w:rPr>
        <w:t>,</w:t>
      </w:r>
      <w:r>
        <w:rPr>
          <w:rFonts w:hint="cs"/>
          <w:rtl/>
        </w:rPr>
        <w:t xml:space="preserve"> גם על </w:t>
      </w:r>
      <w:r w:rsidR="00907180">
        <w:rPr>
          <w:rFonts w:hint="cs"/>
          <w:rtl/>
        </w:rPr>
        <w:t>ש</w:t>
      </w:r>
      <w:r>
        <w:rPr>
          <w:rFonts w:hint="cs"/>
          <w:rtl/>
        </w:rPr>
        <w:t>יקולים ראייתיים</w:t>
      </w:r>
      <w:r w:rsidR="00907180">
        <w:rPr>
          <w:rFonts w:hint="cs"/>
          <w:rtl/>
        </w:rPr>
        <w:t xml:space="preserve"> שהם שיקולים "מסדר שונה"</w:t>
      </w:r>
      <w:r>
        <w:rPr>
          <w:rFonts w:hint="cs"/>
          <w:rtl/>
        </w:rPr>
        <w:t xml:space="preserve"> (ע"פ 3811/21 </w:t>
      </w:r>
      <w:r w:rsidRPr="00223F8E">
        <w:rPr>
          <w:rFonts w:hint="cs"/>
          <w:b/>
          <w:bCs/>
          <w:rtl/>
        </w:rPr>
        <w:t>כהן נ' מדינת ישראל</w:t>
      </w:r>
      <w:r>
        <w:rPr>
          <w:rFonts w:hint="cs"/>
          <w:rtl/>
        </w:rPr>
        <w:t>, פסקה 4 (13.1.2022)</w:t>
      </w:r>
      <w:r w:rsidR="004E69C2">
        <w:rPr>
          <w:rFonts w:hint="cs"/>
          <w:rtl/>
        </w:rPr>
        <w:t>; ע/49/19 שאוזכר לעיל, בפסקה 15</w:t>
      </w:r>
      <w:r>
        <w:rPr>
          <w:rFonts w:hint="cs"/>
          <w:rtl/>
        </w:rPr>
        <w:t>).</w:t>
      </w:r>
      <w:r w:rsidR="00907180">
        <w:rPr>
          <w:rFonts w:hint="cs"/>
          <w:rtl/>
        </w:rPr>
        <w:t xml:space="preserve"> </w:t>
      </w:r>
    </w:p>
    <w:p w14:paraId="149D6138" w14:textId="53645CF9" w:rsidR="009A36D7" w:rsidRDefault="001761A0" w:rsidP="00442F7D">
      <w:pPr>
        <w:pStyle w:val="ListParagraph"/>
        <w:numPr>
          <w:ilvl w:val="0"/>
          <w:numId w:val="20"/>
        </w:numPr>
        <w:tabs>
          <w:tab w:val="left" w:pos="276"/>
        </w:tabs>
        <w:spacing w:after="200"/>
        <w:ind w:left="-7" w:firstLine="0"/>
        <w:contextualSpacing/>
        <w:rPr>
          <w:rtl/>
        </w:rPr>
      </w:pPr>
      <w:r>
        <w:rPr>
          <w:rFonts w:hint="cs"/>
          <w:rtl/>
        </w:rPr>
        <w:t xml:space="preserve">לא מצאנו אפוא להתערב </w:t>
      </w:r>
      <w:r w:rsidR="00836CDB">
        <w:rPr>
          <w:rFonts w:hint="cs"/>
          <w:rtl/>
        </w:rPr>
        <w:t xml:space="preserve">במידתו </w:t>
      </w:r>
      <w:r>
        <w:rPr>
          <w:rFonts w:hint="cs"/>
          <w:rtl/>
        </w:rPr>
        <w:t xml:space="preserve">של עונש המאסר </w:t>
      </w:r>
      <w:r w:rsidR="003964CE">
        <w:rPr>
          <w:rFonts w:hint="cs"/>
          <w:rtl/>
        </w:rPr>
        <w:t xml:space="preserve">בפועל </w:t>
      </w:r>
      <w:r>
        <w:rPr>
          <w:rFonts w:hint="cs"/>
          <w:rtl/>
        </w:rPr>
        <w:t>שהושת על המערער, שהוא סביר וראוי בנסיבות העניין</w:t>
      </w:r>
      <w:r w:rsidR="009A36D7">
        <w:rPr>
          <w:rFonts w:hint="cs"/>
          <w:rtl/>
        </w:rPr>
        <w:t xml:space="preserve">. נסיבות החומרה בעניינו של המערער, </w:t>
      </w:r>
      <w:r w:rsidR="003964CE">
        <w:rPr>
          <w:rFonts w:hint="cs"/>
          <w:rtl/>
        </w:rPr>
        <w:t xml:space="preserve">אף </w:t>
      </w:r>
      <w:r w:rsidR="009A36D7">
        <w:rPr>
          <w:rFonts w:hint="cs"/>
          <w:rtl/>
        </w:rPr>
        <w:t>אינן מצדיקות להיעתר לבקשת ההגנה להימנע מניכוי ימי מ</w:t>
      </w:r>
      <w:r w:rsidR="00836CDB">
        <w:rPr>
          <w:rFonts w:hint="cs"/>
          <w:rtl/>
        </w:rPr>
        <w:t>עצ</w:t>
      </w:r>
      <w:r w:rsidR="009A36D7">
        <w:rPr>
          <w:rFonts w:hint="cs"/>
          <w:rtl/>
        </w:rPr>
        <w:t xml:space="preserve">רו של המערער, כך שיושת עליו עונש מאסר </w:t>
      </w:r>
      <w:r w:rsidR="003964CE">
        <w:rPr>
          <w:rFonts w:hint="cs"/>
          <w:rtl/>
        </w:rPr>
        <w:t xml:space="preserve">בפועל, </w:t>
      </w:r>
      <w:r w:rsidR="009A36D7">
        <w:rPr>
          <w:rFonts w:hint="cs"/>
          <w:rtl/>
        </w:rPr>
        <w:t xml:space="preserve">הגורר תוצאה רישומית מופחתת </w:t>
      </w:r>
      <w:r w:rsidR="00106ABA" w:rsidRPr="001107B4">
        <w:rPr>
          <w:b/>
          <w:bCs/>
          <w:rtl/>
        </w:rPr>
        <w:t>–</w:t>
      </w:r>
      <w:r w:rsidR="009A36D7">
        <w:rPr>
          <w:rFonts w:hint="cs"/>
          <w:rtl/>
        </w:rPr>
        <w:t xml:space="preserve"> פתרון אשר כפי שנקבע לא אחת, אינו נקי מספקות ואינו מתאים למקרים שבהם הענישה שנקבעה הולמת את נסיבות ביצוע העבירה וחומרתה (ר</w:t>
      </w:r>
      <w:r w:rsidR="007877DC">
        <w:rPr>
          <w:rFonts w:hint="cs"/>
          <w:rtl/>
        </w:rPr>
        <w:t>או</w:t>
      </w:r>
      <w:r w:rsidR="009A36D7">
        <w:rPr>
          <w:rFonts w:hint="cs"/>
          <w:rtl/>
        </w:rPr>
        <w:t xml:space="preserve"> ע/40/21 </w:t>
      </w:r>
      <w:r w:rsidR="009A36D7">
        <w:rPr>
          <w:rFonts w:hint="cs"/>
          <w:b/>
          <w:bCs/>
          <w:rtl/>
        </w:rPr>
        <w:t>סמ"ר וולסקו נ' התובע הצבאי הראשי</w:t>
      </w:r>
      <w:r w:rsidR="009A36D7">
        <w:rPr>
          <w:rFonts w:hint="cs"/>
          <w:rtl/>
        </w:rPr>
        <w:t xml:space="preserve">, פסקה 18 (2022)). </w:t>
      </w:r>
    </w:p>
    <w:p w14:paraId="74A76DD8" w14:textId="02515FAA" w:rsidR="001E366D" w:rsidRDefault="009A36D7" w:rsidP="00442F7D">
      <w:pPr>
        <w:pStyle w:val="ListParagraph"/>
        <w:numPr>
          <w:ilvl w:val="0"/>
          <w:numId w:val="20"/>
        </w:numPr>
        <w:tabs>
          <w:tab w:val="left" w:pos="276"/>
        </w:tabs>
        <w:spacing w:after="200"/>
        <w:ind w:left="-7" w:firstLine="0"/>
        <w:contextualSpacing/>
        <w:rPr>
          <w:rtl/>
        </w:rPr>
      </w:pPr>
      <w:r>
        <w:rPr>
          <w:rFonts w:hint="cs"/>
          <w:rtl/>
        </w:rPr>
        <w:t>לצד זאת, מ</w:t>
      </w:r>
      <w:r w:rsidR="001761A0">
        <w:rPr>
          <w:rFonts w:hint="cs"/>
          <w:rtl/>
        </w:rPr>
        <w:t>צאנו להתערב במ</w:t>
      </w:r>
      <w:r w:rsidR="003964CE">
        <w:rPr>
          <w:rFonts w:hint="cs"/>
          <w:rtl/>
        </w:rPr>
        <w:t xml:space="preserve">שכו </w:t>
      </w:r>
      <w:r w:rsidR="001761A0">
        <w:rPr>
          <w:rFonts w:hint="cs"/>
          <w:rtl/>
        </w:rPr>
        <w:t xml:space="preserve">של עונש </w:t>
      </w:r>
      <w:r w:rsidR="007877DC">
        <w:rPr>
          <w:rFonts w:hint="cs"/>
          <w:rtl/>
        </w:rPr>
        <w:t xml:space="preserve">פסילת הרישיונות </w:t>
      </w:r>
      <w:r>
        <w:rPr>
          <w:rFonts w:hint="cs"/>
          <w:rtl/>
        </w:rPr>
        <w:t>שהושת על המערער</w:t>
      </w:r>
      <w:r w:rsidR="00E14F90">
        <w:rPr>
          <w:rFonts w:hint="cs"/>
          <w:rtl/>
        </w:rPr>
        <w:t xml:space="preserve">. </w:t>
      </w:r>
      <w:r>
        <w:rPr>
          <w:rFonts w:hint="cs"/>
          <w:rtl/>
        </w:rPr>
        <w:t>אכן</w:t>
      </w:r>
      <w:r w:rsidR="003964CE">
        <w:rPr>
          <w:rFonts w:hint="cs"/>
          <w:rtl/>
        </w:rPr>
        <w:t xml:space="preserve">, ראוי </w:t>
      </w:r>
      <w:r>
        <w:rPr>
          <w:rFonts w:hint="cs"/>
          <w:rtl/>
        </w:rPr>
        <w:t>היה לקבוע מתחם ע</w:t>
      </w:r>
      <w:r w:rsidR="003964CE">
        <w:rPr>
          <w:rFonts w:hint="cs"/>
          <w:rtl/>
        </w:rPr>
        <w:t xml:space="preserve">ונש הולם אף </w:t>
      </w:r>
      <w:r>
        <w:rPr>
          <w:rFonts w:hint="cs"/>
          <w:rtl/>
        </w:rPr>
        <w:t>ביחס לרכיב עונשי זה</w:t>
      </w:r>
      <w:r w:rsidR="00C92543">
        <w:rPr>
          <w:rFonts w:hint="cs"/>
          <w:rtl/>
        </w:rPr>
        <w:t>, בהתאם להוראת תיקון 113 לחוק העונשין</w:t>
      </w:r>
      <w:r w:rsidR="001E366D">
        <w:rPr>
          <w:rFonts w:hint="cs"/>
          <w:rtl/>
        </w:rPr>
        <w:t xml:space="preserve"> (</w:t>
      </w:r>
      <w:r w:rsidR="007877DC">
        <w:rPr>
          <w:rFonts w:hint="cs"/>
          <w:rtl/>
        </w:rPr>
        <w:t xml:space="preserve">ראו </w:t>
      </w:r>
      <w:r w:rsidR="001E366D">
        <w:rPr>
          <w:rFonts w:hint="cs"/>
          <w:rtl/>
        </w:rPr>
        <w:t xml:space="preserve">ע/61/17 </w:t>
      </w:r>
      <w:r w:rsidR="001E366D" w:rsidRPr="001E366D">
        <w:rPr>
          <w:rFonts w:hint="cs"/>
          <w:b/>
          <w:bCs/>
          <w:rtl/>
        </w:rPr>
        <w:t>רב"ט טויטו נ' התובע הצבאי הראשי</w:t>
      </w:r>
      <w:r w:rsidR="001E366D">
        <w:rPr>
          <w:rFonts w:hint="cs"/>
          <w:b/>
          <w:bCs/>
          <w:rtl/>
        </w:rPr>
        <w:t xml:space="preserve"> </w:t>
      </w:r>
      <w:r w:rsidR="001E366D">
        <w:rPr>
          <w:rFonts w:hint="cs"/>
          <w:rtl/>
        </w:rPr>
        <w:t>(2017))</w:t>
      </w:r>
      <w:r w:rsidR="00836CDB">
        <w:rPr>
          <w:rFonts w:hint="cs"/>
          <w:rtl/>
        </w:rPr>
        <w:t>;</w:t>
      </w:r>
      <w:r w:rsidR="001E366D">
        <w:rPr>
          <w:rFonts w:hint="cs"/>
          <w:rtl/>
        </w:rPr>
        <w:t xml:space="preserve"> </w:t>
      </w:r>
      <w:r w:rsidR="00CC27B4">
        <w:rPr>
          <w:rFonts w:hint="cs"/>
          <w:rtl/>
        </w:rPr>
        <w:t>עם זאת</w:t>
      </w:r>
      <w:r w:rsidR="004D0C3D">
        <w:rPr>
          <w:rFonts w:hint="cs"/>
          <w:rtl/>
        </w:rPr>
        <w:t>,</w:t>
      </w:r>
      <w:r w:rsidR="00CC27B4">
        <w:rPr>
          <w:rFonts w:hint="cs"/>
          <w:rtl/>
        </w:rPr>
        <w:t xml:space="preserve"> </w:t>
      </w:r>
      <w:r w:rsidR="00F97D35">
        <w:rPr>
          <w:rFonts w:hint="cs"/>
          <w:rtl/>
        </w:rPr>
        <w:t xml:space="preserve">כידוע, </w:t>
      </w:r>
      <w:r w:rsidR="001E366D">
        <w:rPr>
          <w:rFonts w:hint="cs"/>
          <w:rtl/>
        </w:rPr>
        <w:t>אף כ</w:t>
      </w:r>
      <w:r w:rsidR="00CC27B4">
        <w:rPr>
          <w:rFonts w:hint="cs"/>
          <w:rtl/>
        </w:rPr>
        <w:t xml:space="preserve">אשר נפל </w:t>
      </w:r>
      <w:r w:rsidR="00C92543">
        <w:rPr>
          <w:rFonts w:hint="cs"/>
          <w:rtl/>
        </w:rPr>
        <w:t xml:space="preserve">פגם ביישומו של תיקון 113 לחוק העונשין, אין הדבר מחייב בהכרח התערבות בתוצאה העונשית </w:t>
      </w:r>
      <w:r w:rsidR="00CC27B4">
        <w:rPr>
          <w:rFonts w:hint="cs"/>
          <w:rtl/>
        </w:rPr>
        <w:t>ש</w:t>
      </w:r>
      <w:r w:rsidR="00C92543">
        <w:rPr>
          <w:rFonts w:hint="cs"/>
          <w:rtl/>
        </w:rPr>
        <w:t>אליה הגיעה הערכאה קמא, ויש ל</w:t>
      </w:r>
      <w:r w:rsidR="00CC27B4">
        <w:rPr>
          <w:rFonts w:hint="cs"/>
          <w:rtl/>
        </w:rPr>
        <w:t xml:space="preserve">בחון לגוף העניין, </w:t>
      </w:r>
      <w:r w:rsidR="00C92543">
        <w:rPr>
          <w:rFonts w:hint="cs"/>
          <w:rtl/>
        </w:rPr>
        <w:t xml:space="preserve">האם יש בעונש שהושת משום </w:t>
      </w:r>
      <w:r w:rsidR="00CC27B4">
        <w:rPr>
          <w:rFonts w:hint="cs"/>
          <w:rtl/>
        </w:rPr>
        <w:t>חריגה</w:t>
      </w:r>
      <w:r w:rsidR="004D0C3D">
        <w:rPr>
          <w:rFonts w:hint="cs"/>
          <w:rtl/>
        </w:rPr>
        <w:t xml:space="preserve"> </w:t>
      </w:r>
      <w:r w:rsidR="00CC27B4">
        <w:rPr>
          <w:rFonts w:hint="cs"/>
          <w:rtl/>
        </w:rPr>
        <w:t>מן העונש ההולם ו</w:t>
      </w:r>
      <w:r w:rsidR="00C92543">
        <w:rPr>
          <w:rFonts w:hint="cs"/>
          <w:rtl/>
        </w:rPr>
        <w:t>סטייה קיצונית מ</w:t>
      </w:r>
      <w:r w:rsidR="00CC27B4">
        <w:rPr>
          <w:rFonts w:hint="cs"/>
          <w:rtl/>
        </w:rPr>
        <w:t xml:space="preserve">מדיניות הענישה הנוהגת </w:t>
      </w:r>
      <w:r w:rsidR="00C92543">
        <w:rPr>
          <w:rFonts w:hint="cs"/>
          <w:rtl/>
        </w:rPr>
        <w:t xml:space="preserve">(ע"פ 5815/13 </w:t>
      </w:r>
      <w:r w:rsidR="00C92543">
        <w:rPr>
          <w:rFonts w:hint="cs"/>
          <w:b/>
          <w:bCs/>
          <w:rtl/>
        </w:rPr>
        <w:t>מדינת ישראל נ' אלעוקבי</w:t>
      </w:r>
      <w:r w:rsidR="00C92543">
        <w:rPr>
          <w:rFonts w:hint="cs"/>
          <w:rtl/>
        </w:rPr>
        <w:t xml:space="preserve">, פסקה 13 (1.1.2014)). לעונש </w:t>
      </w:r>
      <w:r w:rsidR="00CC27B4">
        <w:rPr>
          <w:rFonts w:hint="cs"/>
          <w:rtl/>
        </w:rPr>
        <w:t xml:space="preserve">של </w:t>
      </w:r>
      <w:r w:rsidR="00C92543">
        <w:rPr>
          <w:rFonts w:hint="cs"/>
          <w:rtl/>
        </w:rPr>
        <w:t xml:space="preserve">פסילת רישיונות </w:t>
      </w:r>
      <w:r w:rsidR="00CC27B4">
        <w:rPr>
          <w:rFonts w:hint="cs"/>
          <w:rtl/>
        </w:rPr>
        <w:t xml:space="preserve">נהיגה </w:t>
      </w:r>
      <w:r w:rsidR="00C92543">
        <w:rPr>
          <w:rFonts w:hint="cs"/>
          <w:rtl/>
        </w:rPr>
        <w:t>יש, כידוע</w:t>
      </w:r>
      <w:r w:rsidR="00CC27B4">
        <w:rPr>
          <w:rFonts w:hint="cs"/>
          <w:rtl/>
        </w:rPr>
        <w:t>,</w:t>
      </w:r>
      <w:r w:rsidR="00C92543">
        <w:rPr>
          <w:rFonts w:hint="cs"/>
          <w:rtl/>
        </w:rPr>
        <w:t xml:space="preserve"> </w:t>
      </w:r>
      <w:r w:rsidR="0026704B">
        <w:rPr>
          <w:rFonts w:hint="cs"/>
          <w:rtl/>
        </w:rPr>
        <w:t xml:space="preserve">תכלית </w:t>
      </w:r>
      <w:r w:rsidR="003E53B9">
        <w:rPr>
          <w:rFonts w:hint="cs"/>
          <w:rtl/>
        </w:rPr>
        <w:t xml:space="preserve">הרתעתית </w:t>
      </w:r>
      <w:r w:rsidR="0026704B">
        <w:rPr>
          <w:rFonts w:hint="cs"/>
          <w:rtl/>
        </w:rPr>
        <w:t>ו</w:t>
      </w:r>
      <w:r w:rsidR="00CC27B4">
        <w:rPr>
          <w:rFonts w:hint="cs"/>
          <w:rtl/>
        </w:rPr>
        <w:t xml:space="preserve">מניעתית </w:t>
      </w:r>
      <w:r w:rsidR="0026704B">
        <w:rPr>
          <w:rFonts w:hint="cs"/>
          <w:rtl/>
        </w:rPr>
        <w:t xml:space="preserve">גם יחד </w:t>
      </w:r>
      <w:r w:rsidR="003B38A0">
        <w:rPr>
          <w:rFonts w:hint="cs"/>
          <w:rtl/>
        </w:rPr>
        <w:t xml:space="preserve">(ע/54/20 </w:t>
      </w:r>
      <w:r w:rsidR="003B38A0">
        <w:rPr>
          <w:rFonts w:hint="cs"/>
          <w:b/>
          <w:bCs/>
          <w:rtl/>
        </w:rPr>
        <w:t>טור' שאשא נ' התובע הצבאי הראשי</w:t>
      </w:r>
      <w:r w:rsidR="003B38A0">
        <w:rPr>
          <w:rFonts w:hint="cs"/>
          <w:rtl/>
        </w:rPr>
        <w:t>, פסקה 23 והאסמכתאות שם (2021))</w:t>
      </w:r>
      <w:r w:rsidR="00CC27B4">
        <w:rPr>
          <w:rFonts w:hint="cs"/>
          <w:rtl/>
        </w:rPr>
        <w:t>.</w:t>
      </w:r>
      <w:r w:rsidR="007D0A9F">
        <w:rPr>
          <w:rFonts w:hint="cs"/>
          <w:rtl/>
        </w:rPr>
        <w:t xml:space="preserve"> </w:t>
      </w:r>
      <w:r w:rsidR="00CC27B4">
        <w:rPr>
          <w:rFonts w:hint="cs"/>
          <w:rtl/>
        </w:rPr>
        <w:t>בנסיבות המקרה שלפנינו, מ</w:t>
      </w:r>
      <w:r w:rsidR="00204C60">
        <w:rPr>
          <w:rFonts w:hint="cs"/>
          <w:rtl/>
        </w:rPr>
        <w:t xml:space="preserve">שיקולים של הלימה ואף בראי תמהיל הענישה הכולל, </w:t>
      </w:r>
      <w:r w:rsidR="00CC27B4">
        <w:rPr>
          <w:rFonts w:hint="cs"/>
          <w:rtl/>
        </w:rPr>
        <w:t>אכן ראוי היה להשית גם רכיב של פסיל</w:t>
      </w:r>
      <w:r w:rsidR="00204C60">
        <w:rPr>
          <w:rFonts w:hint="cs"/>
          <w:rtl/>
        </w:rPr>
        <w:t>ת רישיונות נהיגה (ראו:</w:t>
      </w:r>
      <w:r w:rsidR="00204C60">
        <w:rPr>
          <w:rFonts w:hint="cs"/>
        </w:rPr>
        <w:t xml:space="preserve"> </w:t>
      </w:r>
      <w:r w:rsidR="00204C60" w:rsidRPr="00204C60">
        <w:rPr>
          <w:rFonts w:hint="cs"/>
          <w:rtl/>
        </w:rPr>
        <w:t xml:space="preserve">ע/5/19 </w:t>
      </w:r>
      <w:r w:rsidR="00265741">
        <w:rPr>
          <w:rFonts w:hint="cs"/>
          <w:b/>
          <w:bCs/>
          <w:rtl/>
        </w:rPr>
        <w:t xml:space="preserve">רב"ט </w:t>
      </w:r>
      <w:r w:rsidR="00204C60" w:rsidRPr="00204C60">
        <w:rPr>
          <w:rFonts w:hint="cs"/>
          <w:b/>
          <w:bCs/>
          <w:rtl/>
        </w:rPr>
        <w:t xml:space="preserve">רחנייב </w:t>
      </w:r>
      <w:r w:rsidR="00204C60" w:rsidRPr="00204C60">
        <w:rPr>
          <w:rFonts w:hint="cs"/>
          <w:rtl/>
        </w:rPr>
        <w:t>שאוזכר לעיל, בפסקה 42))</w:t>
      </w:r>
      <w:r w:rsidR="00204C60">
        <w:rPr>
          <w:rFonts w:hint="cs"/>
          <w:rtl/>
        </w:rPr>
        <w:t xml:space="preserve">. </w:t>
      </w:r>
      <w:r w:rsidR="003B38A0">
        <w:rPr>
          <w:rFonts w:hint="cs"/>
          <w:rtl/>
        </w:rPr>
        <w:t>עם זאת, בשים</w:t>
      </w:r>
      <w:r w:rsidR="00106ABA">
        <w:rPr>
          <w:rFonts w:hint="cs"/>
          <w:rtl/>
        </w:rPr>
        <w:t>-</w:t>
      </w:r>
      <w:r w:rsidR="003B38A0">
        <w:rPr>
          <w:rFonts w:hint="cs"/>
          <w:rtl/>
        </w:rPr>
        <w:t xml:space="preserve">לב להיקף מעשי השימוש בסם </w:t>
      </w:r>
      <w:r w:rsidR="00862040">
        <w:rPr>
          <w:rFonts w:hint="cs"/>
          <w:rtl/>
        </w:rPr>
        <w:t>ש</w:t>
      </w:r>
      <w:r w:rsidR="003B38A0">
        <w:rPr>
          <w:rFonts w:hint="cs"/>
          <w:rtl/>
        </w:rPr>
        <w:t>בהם הורשע המערער</w:t>
      </w:r>
      <w:r w:rsidR="000E3883">
        <w:rPr>
          <w:rFonts w:hint="cs"/>
          <w:rtl/>
        </w:rPr>
        <w:t>;</w:t>
      </w:r>
      <w:r w:rsidR="003B38A0">
        <w:rPr>
          <w:rFonts w:hint="cs"/>
          <w:rtl/>
        </w:rPr>
        <w:t xml:space="preserve"> </w:t>
      </w:r>
      <w:r w:rsidR="003E53B9">
        <w:rPr>
          <w:rFonts w:hint="cs"/>
          <w:rtl/>
        </w:rPr>
        <w:t xml:space="preserve">למדיניות הענישה הנהוגה (ראו ע/4/19 </w:t>
      </w:r>
      <w:r w:rsidR="000E3883">
        <w:rPr>
          <w:rFonts w:hint="cs"/>
          <w:b/>
          <w:bCs/>
          <w:rtl/>
        </w:rPr>
        <w:t xml:space="preserve">רב"ט גרינברג </w:t>
      </w:r>
      <w:r w:rsidR="000E3883">
        <w:rPr>
          <w:rFonts w:hint="cs"/>
          <w:rtl/>
        </w:rPr>
        <w:t>הנ"ל</w:t>
      </w:r>
      <w:r w:rsidR="003E53B9">
        <w:rPr>
          <w:rFonts w:hint="cs"/>
          <w:rtl/>
        </w:rPr>
        <w:t xml:space="preserve">; ע/2/13 </w:t>
      </w:r>
      <w:r w:rsidR="003E53B9">
        <w:rPr>
          <w:rFonts w:hint="cs"/>
          <w:b/>
          <w:bCs/>
          <w:rtl/>
        </w:rPr>
        <w:t xml:space="preserve">התובע הצבאי נ' סמל בנש </w:t>
      </w:r>
      <w:r w:rsidR="003E53B9">
        <w:rPr>
          <w:rFonts w:hint="cs"/>
          <w:rtl/>
        </w:rPr>
        <w:t>(2013))</w:t>
      </w:r>
      <w:r w:rsidR="000E3883">
        <w:rPr>
          <w:rFonts w:hint="cs"/>
          <w:rtl/>
        </w:rPr>
        <w:t xml:space="preserve">; </w:t>
      </w:r>
      <w:r w:rsidR="009755DE">
        <w:rPr>
          <w:rFonts w:hint="cs"/>
          <w:rtl/>
        </w:rPr>
        <w:t>לתמהיל הענישה, הכולל כאמור החמרה ברכיב המאסר בפועל; ו</w:t>
      </w:r>
      <w:r w:rsidR="003E53B9">
        <w:rPr>
          <w:rFonts w:hint="cs"/>
          <w:rtl/>
        </w:rPr>
        <w:t xml:space="preserve">לכך שבבית הדין קמא, לא ביקשה התביעה למצות את הדין אלא </w:t>
      </w:r>
      <w:r w:rsidR="007D0A9F">
        <w:rPr>
          <w:rFonts w:hint="cs"/>
          <w:rtl/>
        </w:rPr>
        <w:t>הותירה רכיב זה לשיקול דעת בית הדין</w:t>
      </w:r>
      <w:r w:rsidR="009755DE">
        <w:rPr>
          <w:rFonts w:hint="cs"/>
          <w:rtl/>
        </w:rPr>
        <w:t xml:space="preserve"> </w:t>
      </w:r>
      <w:r w:rsidR="00106ABA" w:rsidRPr="001107B4">
        <w:rPr>
          <w:b/>
          <w:bCs/>
          <w:rtl/>
        </w:rPr>
        <w:t>–</w:t>
      </w:r>
      <w:r w:rsidR="007D0A9F">
        <w:rPr>
          <w:rFonts w:hint="cs"/>
          <w:rtl/>
        </w:rPr>
        <w:t xml:space="preserve"> </w:t>
      </w:r>
      <w:r w:rsidR="009755DE">
        <w:rPr>
          <w:rFonts w:hint="cs"/>
          <w:rtl/>
        </w:rPr>
        <w:t xml:space="preserve">ראינו </w:t>
      </w:r>
      <w:r w:rsidR="007D0A9F">
        <w:rPr>
          <w:rFonts w:hint="cs"/>
          <w:rtl/>
        </w:rPr>
        <w:t xml:space="preserve">להקל </w:t>
      </w:r>
      <w:r w:rsidR="008A43CF">
        <w:rPr>
          <w:rFonts w:hint="cs"/>
          <w:rtl/>
        </w:rPr>
        <w:t xml:space="preserve">במשכה </w:t>
      </w:r>
      <w:r w:rsidR="00204C60">
        <w:rPr>
          <w:rFonts w:hint="cs"/>
          <w:rtl/>
        </w:rPr>
        <w:t xml:space="preserve">של </w:t>
      </w:r>
      <w:r w:rsidR="008A43CF">
        <w:rPr>
          <w:rFonts w:hint="cs"/>
          <w:rtl/>
        </w:rPr>
        <w:t xml:space="preserve">פסילת הרישיונות בפועל, </w:t>
      </w:r>
      <w:r w:rsidR="007D0A9F">
        <w:rPr>
          <w:rFonts w:hint="cs"/>
          <w:rtl/>
        </w:rPr>
        <w:t xml:space="preserve">כך </w:t>
      </w:r>
      <w:r w:rsidR="008A43CF">
        <w:rPr>
          <w:rFonts w:hint="cs"/>
          <w:rtl/>
        </w:rPr>
        <w:t xml:space="preserve">שתעמוד </w:t>
      </w:r>
      <w:r w:rsidR="007D0A9F">
        <w:rPr>
          <w:rFonts w:hint="cs"/>
          <w:rtl/>
        </w:rPr>
        <w:t xml:space="preserve">על 60 ימים. </w:t>
      </w:r>
    </w:p>
    <w:p w14:paraId="4D5CE8A2" w14:textId="2B1DA521" w:rsidR="00691D99" w:rsidRDefault="007D0A9F" w:rsidP="00442F7D">
      <w:pPr>
        <w:pStyle w:val="ListParagraph"/>
        <w:numPr>
          <w:ilvl w:val="0"/>
          <w:numId w:val="20"/>
        </w:numPr>
        <w:tabs>
          <w:tab w:val="left" w:pos="276"/>
        </w:tabs>
        <w:spacing w:after="200"/>
        <w:ind w:left="-7" w:firstLine="0"/>
        <w:contextualSpacing/>
        <w:rPr>
          <w:rtl/>
        </w:rPr>
      </w:pPr>
      <w:r>
        <w:rPr>
          <w:rFonts w:hint="cs"/>
          <w:rtl/>
        </w:rPr>
        <w:t xml:space="preserve">עוד מצאנו לקבל את עתירת ההגנה </w:t>
      </w:r>
      <w:r w:rsidR="008A43CF">
        <w:rPr>
          <w:rFonts w:hint="cs"/>
          <w:rtl/>
        </w:rPr>
        <w:t xml:space="preserve">לצמצם את </w:t>
      </w:r>
      <w:r w:rsidR="00204C60">
        <w:rPr>
          <w:rFonts w:hint="cs"/>
          <w:rtl/>
        </w:rPr>
        <w:t xml:space="preserve">היקף </w:t>
      </w:r>
      <w:r>
        <w:rPr>
          <w:rFonts w:hint="cs"/>
          <w:rtl/>
        </w:rPr>
        <w:t>המאסר המותנה שהושת על המערער בגין הרשעתו בעבירה של הפרעה לשוטר צבאי</w:t>
      </w:r>
      <w:r w:rsidR="00691D99">
        <w:rPr>
          <w:rFonts w:hint="cs"/>
          <w:rtl/>
        </w:rPr>
        <w:t xml:space="preserve">. כידוע, עיקר תכליתו של עונש מאסר המותנה, היא להרתיע את הנאשם באופן אישי ולהזהירו כי אם יעבור עבירה נוספת מהסוג הרלוונטי להפעלת התנאי, ירצה עונש מאסר; ואולם עונש מאסר מותנה </w:t>
      </w:r>
      <w:r w:rsidR="00106ABA" w:rsidRPr="001107B4">
        <w:rPr>
          <w:b/>
          <w:bCs/>
          <w:rtl/>
        </w:rPr>
        <w:t>–</w:t>
      </w:r>
      <w:r w:rsidR="00691D99">
        <w:rPr>
          <w:rFonts w:hint="cs"/>
          <w:rtl/>
        </w:rPr>
        <w:t xml:space="preserve"> עדיין מאסר הוא</w:t>
      </w:r>
      <w:r w:rsidR="009B2A9A">
        <w:rPr>
          <w:rFonts w:hint="cs"/>
          <w:rtl/>
        </w:rPr>
        <w:t xml:space="preserve"> ומכאן שגם עונש זה כפוף לעיקרון ההלימה שנקבע בתיקון 113 לחוק העונשין</w:t>
      </w:r>
      <w:r w:rsidR="00691D99">
        <w:rPr>
          <w:rFonts w:hint="cs"/>
          <w:rtl/>
        </w:rPr>
        <w:t xml:space="preserve"> (ע"פ 2149/20</w:t>
      </w:r>
      <w:r w:rsidR="00691D99">
        <w:rPr>
          <w:rFonts w:hint="cs"/>
          <w:b/>
          <w:bCs/>
          <w:rtl/>
        </w:rPr>
        <w:t xml:space="preserve"> מרזן נ' מדינת ישראל</w:t>
      </w:r>
      <w:r w:rsidR="009B2A9A">
        <w:rPr>
          <w:rFonts w:hint="cs"/>
          <w:rtl/>
        </w:rPr>
        <w:t>, בפסקה 17</w:t>
      </w:r>
      <w:r w:rsidR="00691D99">
        <w:rPr>
          <w:rFonts w:hint="cs"/>
          <w:rtl/>
        </w:rPr>
        <w:t xml:space="preserve"> (22.7.2021)</w:t>
      </w:r>
      <w:r w:rsidR="00CE7F25">
        <w:rPr>
          <w:rFonts w:hint="cs"/>
          <w:rtl/>
        </w:rPr>
        <w:t>)</w:t>
      </w:r>
      <w:r w:rsidR="009B2A9A">
        <w:rPr>
          <w:rFonts w:hint="cs"/>
          <w:rtl/>
        </w:rPr>
        <w:t>. ראוי</w:t>
      </w:r>
      <w:r w:rsidR="00B42A4B">
        <w:rPr>
          <w:rFonts w:hint="cs"/>
          <w:rtl/>
        </w:rPr>
        <w:t>,</w:t>
      </w:r>
      <w:r w:rsidR="009B2A9A">
        <w:rPr>
          <w:rFonts w:hint="cs"/>
          <w:rtl/>
        </w:rPr>
        <w:t xml:space="preserve"> לפיכך</w:t>
      </w:r>
      <w:r w:rsidR="00B42A4B">
        <w:rPr>
          <w:rFonts w:hint="cs"/>
          <w:rtl/>
        </w:rPr>
        <w:t>,</w:t>
      </w:r>
      <w:r w:rsidR="009B2A9A">
        <w:rPr>
          <w:rFonts w:hint="cs"/>
          <w:rtl/>
        </w:rPr>
        <w:t xml:space="preserve"> כי גם היקפו של עונש המאסר המותנה </w:t>
      </w:r>
      <w:r w:rsidR="00810271">
        <w:rPr>
          <w:rFonts w:hint="cs"/>
          <w:rtl/>
        </w:rPr>
        <w:t>י</w:t>
      </w:r>
      <w:r w:rsidR="00B42A4B">
        <w:rPr>
          <w:rFonts w:hint="cs"/>
          <w:rtl/>
        </w:rPr>
        <w:t>הלום באופן מידתי את ה</w:t>
      </w:r>
      <w:r w:rsidR="00E902C3">
        <w:rPr>
          <w:rFonts w:hint="cs"/>
          <w:rtl/>
        </w:rPr>
        <w:t xml:space="preserve">עבירה שהובילה </w:t>
      </w:r>
      <w:r w:rsidR="00810271">
        <w:rPr>
          <w:rFonts w:hint="cs"/>
          <w:rtl/>
        </w:rPr>
        <w:t xml:space="preserve">לקביעתו. </w:t>
      </w:r>
    </w:p>
    <w:p w14:paraId="562DE2C4" w14:textId="1C86D65F" w:rsidR="007D0A9F" w:rsidRDefault="000F2F86" w:rsidP="00442F7D">
      <w:pPr>
        <w:pStyle w:val="ListParagraph"/>
        <w:numPr>
          <w:ilvl w:val="0"/>
          <w:numId w:val="20"/>
        </w:numPr>
        <w:tabs>
          <w:tab w:val="left" w:pos="276"/>
        </w:tabs>
        <w:spacing w:after="200"/>
        <w:ind w:left="-7" w:firstLine="0"/>
        <w:contextualSpacing/>
        <w:rPr>
          <w:rtl/>
        </w:rPr>
      </w:pPr>
      <w:r>
        <w:rPr>
          <w:rFonts w:hint="cs"/>
          <w:rtl/>
        </w:rPr>
        <w:t xml:space="preserve">בנוסף, </w:t>
      </w:r>
      <w:r w:rsidR="00204C60">
        <w:rPr>
          <w:rFonts w:hint="cs"/>
          <w:rtl/>
        </w:rPr>
        <w:t xml:space="preserve">כמפורט לעיל, </w:t>
      </w:r>
      <w:r w:rsidR="008A43CF">
        <w:rPr>
          <w:rFonts w:hint="cs"/>
          <w:rtl/>
        </w:rPr>
        <w:t>עתירתה של התביעה ב</w:t>
      </w:r>
      <w:r w:rsidR="007D0A9F">
        <w:rPr>
          <w:rFonts w:hint="cs"/>
          <w:rtl/>
        </w:rPr>
        <w:t xml:space="preserve">בית הדין קמא </w:t>
      </w:r>
      <w:r w:rsidR="008A43CF">
        <w:rPr>
          <w:rFonts w:hint="cs"/>
          <w:rtl/>
        </w:rPr>
        <w:t>הייתה כללית בלבד. לא למותר לציין</w:t>
      </w:r>
      <w:r>
        <w:rPr>
          <w:rFonts w:hint="cs"/>
          <w:rtl/>
        </w:rPr>
        <w:t xml:space="preserve"> גם</w:t>
      </w:r>
      <w:r w:rsidR="008A43CF">
        <w:rPr>
          <w:rFonts w:hint="cs"/>
          <w:rtl/>
        </w:rPr>
        <w:t xml:space="preserve">, כי חרף הרשעתה של רב"ט נועם </w:t>
      </w:r>
      <w:r w:rsidR="007D0A9F">
        <w:rPr>
          <w:rFonts w:hint="cs"/>
          <w:rtl/>
        </w:rPr>
        <w:t xml:space="preserve">בעבירה של </w:t>
      </w:r>
      <w:r w:rsidR="00387A33">
        <w:rPr>
          <w:rFonts w:hint="cs"/>
          <w:rtl/>
        </w:rPr>
        <w:t>הפרעה לשוטר צבאי</w:t>
      </w:r>
      <w:r w:rsidR="00204C60">
        <w:rPr>
          <w:rFonts w:hint="cs"/>
          <w:rtl/>
        </w:rPr>
        <w:t xml:space="preserve">, </w:t>
      </w:r>
      <w:r w:rsidR="00387A33">
        <w:rPr>
          <w:rFonts w:hint="cs"/>
          <w:rtl/>
        </w:rPr>
        <w:t xml:space="preserve">לא </w:t>
      </w:r>
      <w:r w:rsidR="00204C60">
        <w:rPr>
          <w:rFonts w:hint="cs"/>
          <w:rtl/>
        </w:rPr>
        <w:t xml:space="preserve">הוטל </w:t>
      </w:r>
      <w:r w:rsidR="008A43CF">
        <w:rPr>
          <w:rFonts w:hint="cs"/>
          <w:rtl/>
        </w:rPr>
        <w:t xml:space="preserve">עליה </w:t>
      </w:r>
      <w:r w:rsidR="00387A33">
        <w:rPr>
          <w:rFonts w:hint="cs"/>
          <w:rtl/>
        </w:rPr>
        <w:t>מאסר מותנה בגין עבירה זו</w:t>
      </w:r>
      <w:r w:rsidR="008A43CF">
        <w:rPr>
          <w:rFonts w:hint="cs"/>
          <w:rtl/>
        </w:rPr>
        <w:t xml:space="preserve">, ובעניין זה </w:t>
      </w:r>
      <w:r>
        <w:rPr>
          <w:rFonts w:hint="cs"/>
          <w:rtl/>
        </w:rPr>
        <w:t xml:space="preserve">אין </w:t>
      </w:r>
      <w:r w:rsidR="008A43CF">
        <w:rPr>
          <w:rFonts w:hint="cs"/>
          <w:rtl/>
        </w:rPr>
        <w:t xml:space="preserve">מוצדקת </w:t>
      </w:r>
      <w:r>
        <w:rPr>
          <w:rFonts w:hint="cs"/>
          <w:rtl/>
        </w:rPr>
        <w:t>אבחנה כה גורפת בין השניים</w:t>
      </w:r>
      <w:r w:rsidR="00387A33">
        <w:rPr>
          <w:rFonts w:hint="cs"/>
          <w:rtl/>
        </w:rPr>
        <w:t xml:space="preserve">. </w:t>
      </w:r>
      <w:r w:rsidR="00204C60">
        <w:rPr>
          <w:rFonts w:hint="cs"/>
          <w:rtl/>
        </w:rPr>
        <w:t xml:space="preserve">לפיכך, </w:t>
      </w:r>
      <w:r w:rsidR="00387A33">
        <w:rPr>
          <w:rFonts w:hint="cs"/>
          <w:rtl/>
        </w:rPr>
        <w:t xml:space="preserve">מצאנו לצמצם את היקפו של </w:t>
      </w:r>
      <w:r>
        <w:rPr>
          <w:rFonts w:hint="cs"/>
          <w:rtl/>
        </w:rPr>
        <w:t>התנאי</w:t>
      </w:r>
      <w:r w:rsidR="00387A33">
        <w:rPr>
          <w:rFonts w:hint="cs"/>
          <w:rtl/>
        </w:rPr>
        <w:t>, כך שיחול ב</w:t>
      </w:r>
      <w:r w:rsidR="00204C60">
        <w:rPr>
          <w:rFonts w:hint="cs"/>
          <w:rtl/>
        </w:rPr>
        <w:t>מקרה של הרשעה ב</w:t>
      </w:r>
      <w:r w:rsidR="00387A33">
        <w:rPr>
          <w:rFonts w:hint="cs"/>
          <w:rtl/>
        </w:rPr>
        <w:t>עביר</w:t>
      </w:r>
      <w:r w:rsidR="00A67945">
        <w:rPr>
          <w:rFonts w:hint="cs"/>
          <w:rtl/>
        </w:rPr>
        <w:t xml:space="preserve">ה </w:t>
      </w:r>
      <w:r w:rsidR="00387A33">
        <w:rPr>
          <w:rFonts w:hint="cs"/>
          <w:rtl/>
        </w:rPr>
        <w:t>של הפרעה לשוטר צבאי</w:t>
      </w:r>
      <w:r>
        <w:rPr>
          <w:rFonts w:hint="cs"/>
          <w:rtl/>
        </w:rPr>
        <w:t>, לפי חוק השיפוט הצבאי,</w:t>
      </w:r>
      <w:r w:rsidR="00836CDB">
        <w:rPr>
          <w:rFonts w:hint="cs"/>
          <w:rtl/>
        </w:rPr>
        <w:t xml:space="preserve"> </w:t>
      </w:r>
      <w:r w:rsidR="00A67945">
        <w:rPr>
          <w:rFonts w:hint="cs"/>
          <w:rtl/>
        </w:rPr>
        <w:t>ב</w:t>
      </w:r>
      <w:r w:rsidR="00387A33">
        <w:rPr>
          <w:rFonts w:hint="cs"/>
          <w:rtl/>
        </w:rPr>
        <w:t>עבירה של שיבוש מהלכי משפט</w:t>
      </w:r>
      <w:r>
        <w:rPr>
          <w:rFonts w:hint="cs"/>
          <w:rtl/>
        </w:rPr>
        <w:t xml:space="preserve">, </w:t>
      </w:r>
      <w:r w:rsidR="00387A33">
        <w:rPr>
          <w:rFonts w:hint="cs"/>
          <w:rtl/>
        </w:rPr>
        <w:t>לפי סעיף 244 לחוק העונשין</w:t>
      </w:r>
      <w:r>
        <w:rPr>
          <w:rFonts w:hint="cs"/>
          <w:rtl/>
        </w:rPr>
        <w:t>, או בעבירה של הדחה בחקירה, לפי סעיף 245 לחוק</w:t>
      </w:r>
      <w:r w:rsidR="009B2A9A">
        <w:rPr>
          <w:rFonts w:hint="cs"/>
          <w:rtl/>
        </w:rPr>
        <w:t xml:space="preserve"> העונשין. </w:t>
      </w:r>
    </w:p>
    <w:p w14:paraId="2CB6FE2C" w14:textId="614AE2C7" w:rsidR="00914343" w:rsidRDefault="00387A33" w:rsidP="00442F7D">
      <w:pPr>
        <w:pStyle w:val="ListParagraph"/>
        <w:numPr>
          <w:ilvl w:val="0"/>
          <w:numId w:val="20"/>
        </w:numPr>
        <w:tabs>
          <w:tab w:val="left" w:pos="276"/>
        </w:tabs>
        <w:spacing w:after="200"/>
        <w:ind w:left="-7" w:firstLine="0"/>
        <w:contextualSpacing/>
        <w:rPr>
          <w:rtl/>
        </w:rPr>
      </w:pPr>
      <w:r>
        <w:rPr>
          <w:rFonts w:hint="cs"/>
          <w:rtl/>
        </w:rPr>
        <w:t xml:space="preserve">ערעור </w:t>
      </w:r>
      <w:r w:rsidR="00A67945">
        <w:rPr>
          <w:rFonts w:hint="cs"/>
          <w:rtl/>
        </w:rPr>
        <w:t xml:space="preserve">ההגנה </w:t>
      </w:r>
      <w:r>
        <w:rPr>
          <w:rFonts w:hint="cs"/>
          <w:rtl/>
        </w:rPr>
        <w:t>מתקבל אפוא</w:t>
      </w:r>
      <w:r w:rsidR="00A67945">
        <w:rPr>
          <w:rFonts w:hint="cs"/>
          <w:rtl/>
        </w:rPr>
        <w:t xml:space="preserve"> באופן חלקי</w:t>
      </w:r>
      <w:r w:rsidR="0088585E">
        <w:rPr>
          <w:rFonts w:hint="cs"/>
          <w:rtl/>
        </w:rPr>
        <w:t xml:space="preserve">. עונש פסילת הרישיונות בפועל יעמוד על 60 ימים. </w:t>
      </w:r>
      <w:r>
        <w:rPr>
          <w:rFonts w:hint="cs"/>
          <w:rtl/>
        </w:rPr>
        <w:t>המאסר המותנה</w:t>
      </w:r>
      <w:r w:rsidR="00A67945">
        <w:rPr>
          <w:rFonts w:hint="cs"/>
          <w:rtl/>
        </w:rPr>
        <w:t>,</w:t>
      </w:r>
      <w:r>
        <w:rPr>
          <w:rFonts w:hint="cs"/>
          <w:rtl/>
        </w:rPr>
        <w:t xml:space="preserve"> בן 90 ימים למשך שנתיים</w:t>
      </w:r>
      <w:r w:rsidR="00A67945">
        <w:rPr>
          <w:rFonts w:hint="cs"/>
          <w:rtl/>
        </w:rPr>
        <w:t>,</w:t>
      </w:r>
      <w:r>
        <w:rPr>
          <w:rFonts w:hint="cs"/>
          <w:rtl/>
        </w:rPr>
        <w:t xml:space="preserve"> יחול על עבירות של הפרעה לשוטר צבאי</w:t>
      </w:r>
      <w:r w:rsidR="0088585E">
        <w:rPr>
          <w:rFonts w:hint="cs"/>
          <w:rtl/>
        </w:rPr>
        <w:t>,</w:t>
      </w:r>
      <w:r>
        <w:rPr>
          <w:rFonts w:hint="cs"/>
          <w:rtl/>
        </w:rPr>
        <w:t xml:space="preserve"> שיבוש מהלכי משפט</w:t>
      </w:r>
      <w:r w:rsidR="0088585E">
        <w:rPr>
          <w:rFonts w:hint="cs"/>
          <w:rtl/>
        </w:rPr>
        <w:t xml:space="preserve"> והדחה בחקירה</w:t>
      </w:r>
      <w:r>
        <w:rPr>
          <w:rFonts w:hint="cs"/>
          <w:rtl/>
        </w:rPr>
        <w:t xml:space="preserve">. </w:t>
      </w:r>
      <w:r w:rsidR="0088585E">
        <w:rPr>
          <w:rFonts w:hint="cs"/>
          <w:rtl/>
        </w:rPr>
        <w:t>אין שינוי ביתר רכיבי הענישה</w:t>
      </w:r>
      <w:r w:rsidR="00CE7F25">
        <w:rPr>
          <w:rFonts w:hint="cs"/>
          <w:rtl/>
        </w:rPr>
        <w:t>.</w:t>
      </w:r>
    </w:p>
    <w:p w14:paraId="3EBA1CC5" w14:textId="77777777" w:rsidR="00AD4EA9" w:rsidRPr="00CE7F25" w:rsidRDefault="00AD4EA9" w:rsidP="00B42A4B">
      <w:pPr>
        <w:spacing w:line="348" w:lineRule="auto"/>
        <w:ind w:left="-58"/>
        <w:jc w:val="left"/>
        <w:outlineLvl w:val="0"/>
        <w:rPr>
          <w:sz w:val="20"/>
          <w:szCs w:val="20"/>
          <w:rtl/>
        </w:rPr>
      </w:pPr>
    </w:p>
    <w:p w14:paraId="0341A459" w14:textId="22840B81" w:rsidR="004B333D" w:rsidRPr="00D963EB" w:rsidRDefault="004B333D" w:rsidP="00B42A4B">
      <w:pPr>
        <w:spacing w:line="348" w:lineRule="auto"/>
        <w:ind w:left="-58"/>
        <w:jc w:val="left"/>
        <w:outlineLvl w:val="0"/>
        <w:rPr>
          <w:rtl/>
        </w:rPr>
      </w:pPr>
      <w:r w:rsidRPr="00D963EB">
        <w:rPr>
          <w:rFonts w:hint="cs"/>
          <w:rtl/>
        </w:rPr>
        <w:t xml:space="preserve">ניתן </w:t>
      </w:r>
      <w:r>
        <w:rPr>
          <w:rFonts w:hint="cs"/>
          <w:rtl/>
        </w:rPr>
        <w:t xml:space="preserve">והודע </w:t>
      </w:r>
      <w:r w:rsidRPr="00D963EB">
        <w:rPr>
          <w:rFonts w:hint="cs"/>
          <w:rtl/>
        </w:rPr>
        <w:t>היום,</w:t>
      </w:r>
      <w:r w:rsidR="005E2612">
        <w:rPr>
          <w:rFonts w:hint="cs"/>
          <w:rtl/>
        </w:rPr>
        <w:t xml:space="preserve"> </w:t>
      </w:r>
      <w:r w:rsidR="004E69C2">
        <w:rPr>
          <w:rFonts w:hint="cs"/>
          <w:rtl/>
        </w:rPr>
        <w:t xml:space="preserve">כ"ט </w:t>
      </w:r>
      <w:r w:rsidR="00387A33">
        <w:rPr>
          <w:rFonts w:hint="cs"/>
          <w:rtl/>
        </w:rPr>
        <w:t xml:space="preserve"> באיי"ר התשפ"ב, </w:t>
      </w:r>
      <w:r w:rsidR="004E69C2">
        <w:rPr>
          <w:rFonts w:hint="cs"/>
          <w:rtl/>
        </w:rPr>
        <w:t xml:space="preserve">30 </w:t>
      </w:r>
      <w:r w:rsidR="004133F9">
        <w:rPr>
          <w:rFonts w:hint="cs"/>
          <w:rtl/>
        </w:rPr>
        <w:t>במאי 2022</w:t>
      </w:r>
      <w:r w:rsidRPr="00D963EB">
        <w:rPr>
          <w:rFonts w:hint="cs"/>
          <w:rtl/>
        </w:rPr>
        <w:t xml:space="preserve">, בפומבי ובמעמד הצדדים. </w:t>
      </w:r>
    </w:p>
    <w:p w14:paraId="4B7A4CFF" w14:textId="197AC4AA" w:rsidR="004C1166" w:rsidRPr="004B333D" w:rsidRDefault="004B333D" w:rsidP="00B42A4B">
      <w:pPr>
        <w:tabs>
          <w:tab w:val="center" w:pos="1599"/>
          <w:tab w:val="center" w:pos="4150"/>
          <w:tab w:val="center" w:pos="6702"/>
        </w:tabs>
        <w:spacing w:line="348" w:lineRule="auto"/>
        <w:rPr>
          <w:b/>
          <w:bCs/>
          <w:rtl/>
        </w:rPr>
      </w:pPr>
      <w:r w:rsidRPr="004B333D">
        <w:rPr>
          <w:rFonts w:hint="cs"/>
          <w:b/>
          <w:bCs/>
          <w:rtl/>
        </w:rPr>
        <w:tab/>
      </w:r>
      <w:r w:rsidRPr="004B333D">
        <w:rPr>
          <w:b/>
          <w:bCs/>
          <w:rtl/>
        </w:rPr>
        <w:t>______________</w:t>
      </w:r>
      <w:r w:rsidRPr="004B333D">
        <w:rPr>
          <w:rFonts w:hint="cs"/>
          <w:b/>
          <w:bCs/>
          <w:rtl/>
        </w:rPr>
        <w:tab/>
      </w:r>
      <w:r w:rsidRPr="004B333D">
        <w:rPr>
          <w:b/>
          <w:bCs/>
          <w:rtl/>
        </w:rPr>
        <w:t>______________</w:t>
      </w:r>
      <w:r w:rsidRPr="004B333D">
        <w:rPr>
          <w:rFonts w:hint="cs"/>
          <w:b/>
          <w:bCs/>
          <w:rtl/>
        </w:rPr>
        <w:tab/>
      </w:r>
      <w:r w:rsidRPr="004B333D">
        <w:rPr>
          <w:b/>
          <w:bCs/>
          <w:rtl/>
        </w:rPr>
        <w:t>______________</w:t>
      </w:r>
    </w:p>
    <w:p w14:paraId="380A2517" w14:textId="4904FBC1" w:rsidR="004C1166" w:rsidRDefault="004B333D" w:rsidP="00B42A4B">
      <w:pPr>
        <w:tabs>
          <w:tab w:val="center" w:pos="1599"/>
          <w:tab w:val="center" w:pos="4150"/>
          <w:tab w:val="center" w:pos="6702"/>
        </w:tabs>
        <w:spacing w:line="348" w:lineRule="auto"/>
        <w:rPr>
          <w:b/>
          <w:bCs/>
          <w:rtl/>
        </w:rPr>
      </w:pPr>
      <w:r w:rsidRPr="004B333D">
        <w:rPr>
          <w:rFonts w:hint="cs"/>
          <w:b/>
          <w:bCs/>
          <w:rtl/>
        </w:rPr>
        <w:tab/>
      </w:r>
      <w:r w:rsidR="004B0EC0">
        <w:rPr>
          <w:rFonts w:hint="cs"/>
          <w:b/>
          <w:bCs/>
          <w:rtl/>
        </w:rPr>
        <w:t>נשיאה</w:t>
      </w:r>
      <w:r w:rsidRPr="004B333D">
        <w:rPr>
          <w:rFonts w:hint="cs"/>
          <w:b/>
          <w:bCs/>
          <w:rtl/>
        </w:rPr>
        <w:tab/>
      </w:r>
      <w:r w:rsidR="004133F9">
        <w:rPr>
          <w:rFonts w:hint="cs"/>
          <w:b/>
          <w:bCs/>
          <w:rtl/>
        </w:rPr>
        <w:t>המשנה לנשיאה</w:t>
      </w:r>
      <w:r w:rsidRPr="004B333D">
        <w:rPr>
          <w:rFonts w:hint="cs"/>
          <w:b/>
          <w:bCs/>
          <w:rtl/>
        </w:rPr>
        <w:tab/>
      </w:r>
      <w:r w:rsidRPr="004B333D">
        <w:rPr>
          <w:b/>
          <w:bCs/>
          <w:rtl/>
        </w:rPr>
        <w:t>שופט</w:t>
      </w:r>
      <w:r w:rsidR="004B0EC0">
        <w:rPr>
          <w:rFonts w:hint="cs"/>
          <w:b/>
          <w:bCs/>
          <w:rtl/>
        </w:rPr>
        <w:t>ת</w:t>
      </w:r>
    </w:p>
    <w:p w14:paraId="5F3AF600" w14:textId="77777777" w:rsidR="00442F7D" w:rsidRDefault="00442F7D" w:rsidP="00B42A4B">
      <w:pPr>
        <w:tabs>
          <w:tab w:val="center" w:pos="1599"/>
          <w:tab w:val="center" w:pos="4150"/>
          <w:tab w:val="center" w:pos="6702"/>
        </w:tabs>
        <w:spacing w:line="348" w:lineRule="auto"/>
        <w:rPr>
          <w:b/>
          <w:bCs/>
          <w:rtl/>
        </w:rPr>
      </w:pPr>
    </w:p>
    <w:p w14:paraId="6CA564CE" w14:textId="77777777" w:rsidR="00442F7D" w:rsidRPr="00D03CAD" w:rsidRDefault="00442F7D" w:rsidP="00442F7D">
      <w:pPr>
        <w:rPr>
          <w:b/>
          <w:bCs/>
          <w:rtl/>
        </w:rPr>
      </w:pPr>
      <w:r w:rsidRPr="00D03CAD">
        <w:rPr>
          <w:b/>
          <w:bCs/>
          <w:rtl/>
        </w:rPr>
        <w:t>חתימת המגיה: _________________</w:t>
      </w:r>
      <w:r w:rsidRPr="00D03CAD">
        <w:rPr>
          <w:b/>
          <w:bCs/>
          <w:rtl/>
        </w:rPr>
        <w:tab/>
        <w:t xml:space="preserve">       העתק             נאמן           </w:t>
      </w:r>
      <w:r w:rsidRPr="00D03CAD">
        <w:rPr>
          <w:rFonts w:hint="cs"/>
          <w:b/>
          <w:bCs/>
          <w:rtl/>
        </w:rPr>
        <w:t xml:space="preserve">   </w:t>
      </w:r>
      <w:r w:rsidRPr="00D03CAD">
        <w:rPr>
          <w:b/>
          <w:bCs/>
          <w:rtl/>
        </w:rPr>
        <w:t xml:space="preserve">למקור                                                          </w:t>
      </w:r>
    </w:p>
    <w:p w14:paraId="20191538" w14:textId="4EE4656E" w:rsidR="00442F7D" w:rsidRPr="00D03CAD" w:rsidRDefault="00442F7D" w:rsidP="00442F7D">
      <w:pPr>
        <w:rPr>
          <w:b/>
          <w:bCs/>
          <w:rtl/>
        </w:rPr>
      </w:pPr>
      <w:r w:rsidRPr="00D03CAD">
        <w:rPr>
          <w:b/>
          <w:bCs/>
          <w:rtl/>
        </w:rPr>
        <w:tab/>
        <w:t xml:space="preserve">                                                                   </w:t>
      </w:r>
      <w:r>
        <w:rPr>
          <w:rFonts w:hint="cs"/>
          <w:b/>
          <w:bCs/>
          <w:rtl/>
        </w:rPr>
        <w:t xml:space="preserve">  </w:t>
      </w:r>
      <w:r w:rsidRPr="00D03CAD">
        <w:rPr>
          <w:rFonts w:hint="cs"/>
          <w:b/>
          <w:bCs/>
          <w:rtl/>
        </w:rPr>
        <w:t xml:space="preserve">סרן   </w:t>
      </w:r>
      <w:r w:rsidRPr="00D03CAD">
        <w:rPr>
          <w:b/>
          <w:bCs/>
          <w:rtl/>
        </w:rPr>
        <w:t xml:space="preserve">          </w:t>
      </w:r>
      <w:r w:rsidRPr="00D03CAD">
        <w:rPr>
          <w:rFonts w:hint="cs"/>
          <w:b/>
          <w:bCs/>
          <w:rtl/>
        </w:rPr>
        <w:t>כפיר</w:t>
      </w:r>
      <w:r w:rsidRPr="00D03CAD">
        <w:rPr>
          <w:b/>
          <w:bCs/>
          <w:rtl/>
        </w:rPr>
        <w:t xml:space="preserve">         </w:t>
      </w:r>
      <w:r w:rsidRPr="00D03CAD">
        <w:rPr>
          <w:rFonts w:hint="cs"/>
          <w:b/>
          <w:bCs/>
          <w:rtl/>
        </w:rPr>
        <w:t xml:space="preserve">   </w:t>
      </w:r>
      <w:r w:rsidRPr="00D03CAD">
        <w:rPr>
          <w:b/>
          <w:bCs/>
          <w:rtl/>
        </w:rPr>
        <w:t xml:space="preserve">    </w:t>
      </w:r>
      <w:r w:rsidR="00CE7F25">
        <w:rPr>
          <w:rFonts w:hint="cs"/>
          <w:b/>
          <w:bCs/>
          <w:rtl/>
        </w:rPr>
        <w:t xml:space="preserve"> </w:t>
      </w:r>
      <w:r w:rsidRPr="00D03CAD">
        <w:rPr>
          <w:rFonts w:hint="cs"/>
          <w:b/>
          <w:bCs/>
          <w:rtl/>
        </w:rPr>
        <w:t xml:space="preserve"> </w:t>
      </w:r>
      <w:r w:rsidRPr="00D03CAD">
        <w:rPr>
          <w:b/>
          <w:bCs/>
          <w:rtl/>
        </w:rPr>
        <w:t xml:space="preserve"> </w:t>
      </w:r>
      <w:r w:rsidRPr="00D03CAD">
        <w:rPr>
          <w:rFonts w:hint="cs"/>
          <w:b/>
          <w:bCs/>
          <w:rtl/>
        </w:rPr>
        <w:t>לב</w:t>
      </w:r>
    </w:p>
    <w:p w14:paraId="7D4FCBD9" w14:textId="3C5E00BD" w:rsidR="00442F7D" w:rsidRPr="00D03CAD" w:rsidRDefault="00442F7D" w:rsidP="00442F7D">
      <w:pPr>
        <w:rPr>
          <w:b/>
          <w:bCs/>
          <w:rtl/>
        </w:rPr>
      </w:pPr>
      <w:r w:rsidRPr="00D03CAD">
        <w:rPr>
          <w:b/>
          <w:bCs/>
          <w:rtl/>
        </w:rPr>
        <w:t>תאריך: ______________________</w:t>
      </w:r>
      <w:r w:rsidRPr="00D03CAD">
        <w:rPr>
          <w:b/>
          <w:bCs/>
          <w:rtl/>
        </w:rPr>
        <w:tab/>
        <w:t xml:space="preserve">      </w:t>
      </w:r>
      <w:r>
        <w:rPr>
          <w:rFonts w:hint="cs"/>
          <w:b/>
          <w:bCs/>
          <w:rtl/>
        </w:rPr>
        <w:t xml:space="preserve"> </w:t>
      </w:r>
      <w:r w:rsidRPr="00D03CAD">
        <w:rPr>
          <w:rFonts w:hint="cs"/>
          <w:b/>
          <w:bCs/>
          <w:rtl/>
        </w:rPr>
        <w:t xml:space="preserve">   </w:t>
      </w:r>
      <w:r w:rsidRPr="00D03CAD">
        <w:rPr>
          <w:b/>
          <w:bCs/>
          <w:rtl/>
        </w:rPr>
        <w:t>קצי</w:t>
      </w:r>
      <w:r w:rsidRPr="00D03CAD">
        <w:rPr>
          <w:rFonts w:hint="cs"/>
          <w:b/>
          <w:bCs/>
          <w:rtl/>
        </w:rPr>
        <w:t>ן</w:t>
      </w:r>
      <w:r w:rsidRPr="00D03CAD">
        <w:rPr>
          <w:b/>
          <w:bCs/>
          <w:rtl/>
        </w:rPr>
        <w:t xml:space="preserve">           </w:t>
      </w:r>
      <w:r w:rsidRPr="00D03CAD">
        <w:rPr>
          <w:rFonts w:hint="cs"/>
          <w:b/>
          <w:bCs/>
          <w:rtl/>
        </w:rPr>
        <w:t xml:space="preserve">  </w:t>
      </w:r>
      <w:r w:rsidR="00CE7F25">
        <w:rPr>
          <w:rFonts w:hint="cs"/>
          <w:b/>
          <w:bCs/>
          <w:rtl/>
        </w:rPr>
        <w:t xml:space="preserve"> </w:t>
      </w:r>
      <w:r w:rsidRPr="00D03CAD">
        <w:rPr>
          <w:b/>
          <w:bCs/>
          <w:rtl/>
        </w:rPr>
        <w:t xml:space="preserve">בית           </w:t>
      </w:r>
      <w:r w:rsidRPr="00D03CAD">
        <w:rPr>
          <w:rFonts w:hint="cs"/>
          <w:b/>
          <w:bCs/>
          <w:rtl/>
        </w:rPr>
        <w:t xml:space="preserve">  </w:t>
      </w:r>
      <w:r w:rsidRPr="00D03CAD">
        <w:rPr>
          <w:b/>
          <w:bCs/>
          <w:rtl/>
        </w:rPr>
        <w:t xml:space="preserve">   הדין</w:t>
      </w:r>
    </w:p>
    <w:sectPr w:rsidR="00442F7D" w:rsidRPr="00D03CAD" w:rsidSect="00316697">
      <w:headerReference w:type="default" r:id="rId10"/>
      <w:footerReference w:type="even"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4FA8A" w14:textId="77777777" w:rsidR="009540A4" w:rsidRDefault="009540A4">
      <w:r>
        <w:separator/>
      </w:r>
    </w:p>
  </w:endnote>
  <w:endnote w:type="continuationSeparator" w:id="0">
    <w:p w14:paraId="666C19BB" w14:textId="77777777" w:rsidR="009540A4" w:rsidRDefault="0095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97F8" w14:textId="77777777" w:rsidR="009F6EFA" w:rsidRDefault="009F6EFA" w:rsidP="00F15DD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134D63E" w14:textId="77777777" w:rsidR="009F6EFA" w:rsidRDefault="009F6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0E35" w14:textId="77777777" w:rsidR="009F6EFA" w:rsidRPr="00442F7D" w:rsidRDefault="009F6EFA" w:rsidP="00F15DD8">
    <w:pPr>
      <w:pStyle w:val="Footer"/>
      <w:framePr w:wrap="around" w:vAnchor="text" w:hAnchor="text" w:xAlign="center" w:y="1"/>
      <w:rPr>
        <w:rStyle w:val="PageNumber"/>
        <w:rFonts w:ascii="David" w:hAnsi="David"/>
      </w:rPr>
    </w:pPr>
    <w:r w:rsidRPr="00442F7D">
      <w:rPr>
        <w:rStyle w:val="PageNumber"/>
        <w:rFonts w:ascii="David" w:hAnsi="David" w:hint="cs"/>
        <w:rtl/>
      </w:rPr>
      <w:fldChar w:fldCharType="begin"/>
    </w:r>
    <w:r w:rsidRPr="00442F7D">
      <w:rPr>
        <w:rStyle w:val="PageNumber"/>
        <w:rFonts w:ascii="David" w:hAnsi="David" w:hint="cs"/>
      </w:rPr>
      <w:instrText xml:space="preserve">PAGE  </w:instrText>
    </w:r>
    <w:r w:rsidRPr="00442F7D">
      <w:rPr>
        <w:rStyle w:val="PageNumber"/>
        <w:rFonts w:ascii="David" w:hAnsi="David" w:hint="cs"/>
        <w:rtl/>
      </w:rPr>
      <w:fldChar w:fldCharType="separate"/>
    </w:r>
    <w:r w:rsidR="00160882" w:rsidRPr="00442F7D">
      <w:rPr>
        <w:rStyle w:val="PageNumber"/>
        <w:rFonts w:ascii="David" w:hAnsi="David" w:hint="cs"/>
        <w:noProof/>
        <w:rtl/>
      </w:rPr>
      <w:t>10</w:t>
    </w:r>
    <w:r w:rsidRPr="00442F7D">
      <w:rPr>
        <w:rStyle w:val="PageNumber"/>
        <w:rFonts w:ascii="David" w:hAnsi="David" w:hint="cs"/>
        <w:rtl/>
      </w:rPr>
      <w:fldChar w:fldCharType="end"/>
    </w:r>
  </w:p>
  <w:p w14:paraId="3EC8F6C0" w14:textId="77777777" w:rsidR="009F6EFA" w:rsidRPr="000C222C" w:rsidRDefault="009F6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C7D3" w14:textId="77777777" w:rsidR="009540A4" w:rsidRDefault="009540A4">
      <w:r>
        <w:separator/>
      </w:r>
    </w:p>
  </w:footnote>
  <w:footnote w:type="continuationSeparator" w:id="0">
    <w:p w14:paraId="27919F15" w14:textId="77777777" w:rsidR="009540A4" w:rsidRDefault="00954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BF72" w14:textId="4DF4DBB6" w:rsidR="003A6C86" w:rsidRDefault="009F6EFA" w:rsidP="004133F9">
    <w:pPr>
      <w:pStyle w:val="Header"/>
      <w:rPr>
        <w:rtl/>
      </w:rPr>
    </w:pPr>
    <w:r w:rsidRPr="00EA5CBF">
      <w:rPr>
        <w:rtl/>
      </w:rPr>
      <w:tab/>
    </w:r>
    <w:r w:rsidR="00EF1103">
      <w:rPr>
        <w:rFonts w:hint="cs"/>
        <w:rtl/>
      </w:rPr>
      <w:t>בלמ"ס</w:t>
    </w:r>
    <w:r w:rsidRPr="00EA5CBF">
      <w:tab/>
    </w:r>
    <w:r w:rsidR="003A6C86">
      <w:rPr>
        <w:rFonts w:hint="cs"/>
        <w:rtl/>
      </w:rPr>
      <w:t>ע/11/22</w:t>
    </w:r>
  </w:p>
  <w:p w14:paraId="02BD4691" w14:textId="465777CA" w:rsidR="004133F9" w:rsidRPr="00EA5CBF" w:rsidRDefault="004133F9" w:rsidP="004133F9">
    <w:pPr>
      <w:pStyle w:val="Header"/>
      <w:rPr>
        <w:rtl/>
      </w:rPr>
    </w:pPr>
    <w:r>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743"/>
    <w:multiLevelType w:val="hybridMultilevel"/>
    <w:tmpl w:val="28C20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6001B"/>
    <w:multiLevelType w:val="hybridMultilevel"/>
    <w:tmpl w:val="5570FE84"/>
    <w:lvl w:ilvl="0" w:tplc="5F9C772A">
      <w:start w:val="1"/>
      <w:numFmt w:val="decimal"/>
      <w:pStyle w:val="Ruller4"/>
      <w:lvlText w:val="%1."/>
      <w:lvlJc w:val="left"/>
      <w:pPr>
        <w:tabs>
          <w:tab w:val="num" w:pos="907"/>
        </w:tabs>
        <w:ind w:left="0" w:firstLine="0"/>
      </w:pPr>
    </w:lvl>
    <w:lvl w:ilvl="1" w:tplc="5F7A3AF6">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44A1D09"/>
    <w:multiLevelType w:val="hybridMultilevel"/>
    <w:tmpl w:val="E094232E"/>
    <w:lvl w:ilvl="0" w:tplc="E96694A4">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055268"/>
    <w:multiLevelType w:val="hybridMultilevel"/>
    <w:tmpl w:val="9A96EC7E"/>
    <w:lvl w:ilvl="0" w:tplc="3D4E4354">
      <w:start w:val="1"/>
      <w:numFmt w:val="decimal"/>
      <w:pStyle w:val="2"/>
      <w:suff w:val="space"/>
      <w:lvlText w:val="%1."/>
      <w:lvlJc w:val="left"/>
      <w:pPr>
        <w:ind w:left="720" w:hanging="360"/>
      </w:pPr>
      <w:rPr>
        <w:rFonts w:hint="default"/>
        <w:b/>
        <w:bCs w:val="0"/>
        <w:lang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766302E"/>
    <w:multiLevelType w:val="hybridMultilevel"/>
    <w:tmpl w:val="F7204ED8"/>
    <w:lvl w:ilvl="0" w:tplc="293435B4">
      <w:start w:val="1"/>
      <w:numFmt w:val="decimal"/>
      <w:lvlText w:val="%1."/>
      <w:lvlJc w:val="left"/>
      <w:pPr>
        <w:ind w:left="360" w:hanging="360"/>
      </w:pPr>
      <w:rPr>
        <w:rFonts w:cs="David"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493C29"/>
    <w:multiLevelType w:val="hybridMultilevel"/>
    <w:tmpl w:val="29007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D7C0B"/>
    <w:multiLevelType w:val="hybridMultilevel"/>
    <w:tmpl w:val="DB8C384C"/>
    <w:lvl w:ilvl="0" w:tplc="B15488BE">
      <w:start w:val="1"/>
      <w:numFmt w:val="decimal"/>
      <w:suff w:val="space"/>
      <w:lvlText w:val="%1."/>
      <w:lvlJc w:val="left"/>
      <w:pPr>
        <w:ind w:left="746" w:hanging="3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DA0514"/>
    <w:multiLevelType w:val="hybridMultilevel"/>
    <w:tmpl w:val="80FCECCA"/>
    <w:lvl w:ilvl="0" w:tplc="FC9C9744">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 w15:restartNumberingAfterBreak="0">
    <w:nsid w:val="4EE27D39"/>
    <w:multiLevelType w:val="hybridMultilevel"/>
    <w:tmpl w:val="82AA209C"/>
    <w:lvl w:ilvl="0" w:tplc="D5140176">
      <w:start w:val="1"/>
      <w:numFmt w:val="hebrew1"/>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4EF26C19"/>
    <w:multiLevelType w:val="multilevel"/>
    <w:tmpl w:val="0A0A8AA8"/>
    <w:lvl w:ilvl="0">
      <w:start w:val="1"/>
      <w:numFmt w:val="decimal"/>
      <w:lvlText w:val="%1."/>
      <w:lvlJc w:val="left"/>
      <w:pPr>
        <w:ind w:left="360" w:hanging="360"/>
      </w:pPr>
      <w:rPr>
        <w:rFonts w:ascii="David" w:hAnsi="David" w:hint="default"/>
        <w:b/>
        <w:bCs w:val="0"/>
        <w:sz w:val="28"/>
        <w:szCs w:val="24"/>
        <w:lang w:val="en-US"/>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6C45934"/>
    <w:multiLevelType w:val="hybridMultilevel"/>
    <w:tmpl w:val="DA78A68C"/>
    <w:lvl w:ilvl="0" w:tplc="0409000F">
      <w:start w:val="1"/>
      <w:numFmt w:val="decimal"/>
      <w:lvlText w:val="%1."/>
      <w:lvlJc w:val="left"/>
      <w:pPr>
        <w:tabs>
          <w:tab w:val="num" w:pos="360"/>
        </w:tabs>
        <w:ind w:left="360" w:hanging="360"/>
      </w:pPr>
      <w:rPr>
        <w:rFonts w:hint="default"/>
      </w:rPr>
    </w:lvl>
    <w:lvl w:ilvl="1" w:tplc="6658B36A">
      <w:start w:val="1"/>
      <w:numFmt w:val="hebrew1"/>
      <w:lvlText w:val="%2."/>
      <w:lvlJc w:val="center"/>
      <w:pPr>
        <w:tabs>
          <w:tab w:val="num" w:pos="1080"/>
        </w:tabs>
        <w:ind w:left="1080" w:hanging="360"/>
      </w:pPr>
      <w:rPr>
        <w:rFonts w:hint="default"/>
      </w:rPr>
    </w:lvl>
    <w:lvl w:ilvl="2" w:tplc="43265D5E">
      <w:start w:val="9"/>
      <w:numFmt w:val="bullet"/>
      <w:lvlText w:val="-"/>
      <w:lvlJc w:val="left"/>
      <w:pPr>
        <w:tabs>
          <w:tab w:val="num" w:pos="1980"/>
        </w:tabs>
        <w:ind w:left="1980" w:hanging="360"/>
      </w:pPr>
      <w:rPr>
        <w:rFonts w:ascii="Arial" w:eastAsia="Times New Roman" w:hAnsi="Arial" w:cs="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0305654"/>
    <w:multiLevelType w:val="hybridMultilevel"/>
    <w:tmpl w:val="2E7001E2"/>
    <w:lvl w:ilvl="0" w:tplc="469656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C6681D"/>
    <w:multiLevelType w:val="hybridMultilevel"/>
    <w:tmpl w:val="521A4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F13D68"/>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352"/>
        </w:tabs>
        <w:ind w:left="1352"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3876F90"/>
    <w:multiLevelType w:val="hybridMultilevel"/>
    <w:tmpl w:val="509C0A74"/>
    <w:lvl w:ilvl="0" w:tplc="F9DAAC3E">
      <w:start w:val="1"/>
      <w:numFmt w:val="hebrew1"/>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5" w15:restartNumberingAfterBreak="0">
    <w:nsid w:val="6BB12229"/>
    <w:multiLevelType w:val="hybridMultilevel"/>
    <w:tmpl w:val="DB8C384C"/>
    <w:lvl w:ilvl="0" w:tplc="B15488BE">
      <w:start w:val="1"/>
      <w:numFmt w:val="decimal"/>
      <w:suff w:val="space"/>
      <w:lvlText w:val="%1."/>
      <w:lvlJc w:val="left"/>
      <w:pPr>
        <w:ind w:left="746" w:hanging="3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342B9"/>
    <w:multiLevelType w:val="hybridMultilevel"/>
    <w:tmpl w:val="72E071B0"/>
    <w:lvl w:ilvl="0" w:tplc="04D8353A">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32A62B1"/>
    <w:multiLevelType w:val="hybridMultilevel"/>
    <w:tmpl w:val="D286DCD2"/>
    <w:lvl w:ilvl="0" w:tplc="7534A79E">
      <w:start w:val="1"/>
      <w:numFmt w:val="decimal"/>
      <w:suff w:val="space"/>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307960"/>
    <w:multiLevelType w:val="hybridMultilevel"/>
    <w:tmpl w:val="25767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7"/>
  </w:num>
  <w:num w:numId="5">
    <w:abstractNumId w:val="8"/>
  </w:num>
  <w:num w:numId="6">
    <w:abstractNumId w:val="1"/>
  </w:num>
  <w:num w:numId="7">
    <w:abstractNumId w:val="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1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18"/>
  </w:num>
  <w:num w:numId="17">
    <w:abstractNumId w:val="3"/>
  </w:num>
  <w:num w:numId="18">
    <w:abstractNumId w:val="6"/>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BF"/>
    <w:rsid w:val="00004564"/>
    <w:rsid w:val="00006850"/>
    <w:rsid w:val="000134C3"/>
    <w:rsid w:val="0001774D"/>
    <w:rsid w:val="00023011"/>
    <w:rsid w:val="00033128"/>
    <w:rsid w:val="00042524"/>
    <w:rsid w:val="000444C7"/>
    <w:rsid w:val="000464DC"/>
    <w:rsid w:val="00047670"/>
    <w:rsid w:val="000523BF"/>
    <w:rsid w:val="000623CC"/>
    <w:rsid w:val="000628D4"/>
    <w:rsid w:val="00065578"/>
    <w:rsid w:val="00070BEE"/>
    <w:rsid w:val="00071493"/>
    <w:rsid w:val="00072E05"/>
    <w:rsid w:val="000767D0"/>
    <w:rsid w:val="00081718"/>
    <w:rsid w:val="00082C0F"/>
    <w:rsid w:val="00086364"/>
    <w:rsid w:val="00090F12"/>
    <w:rsid w:val="00092ACD"/>
    <w:rsid w:val="000955D6"/>
    <w:rsid w:val="0009629D"/>
    <w:rsid w:val="00096CFF"/>
    <w:rsid w:val="000A2F16"/>
    <w:rsid w:val="000A3815"/>
    <w:rsid w:val="000A6004"/>
    <w:rsid w:val="000B2D46"/>
    <w:rsid w:val="000B428B"/>
    <w:rsid w:val="000B4AC4"/>
    <w:rsid w:val="000B5F37"/>
    <w:rsid w:val="000B69AB"/>
    <w:rsid w:val="000C12E7"/>
    <w:rsid w:val="000C222C"/>
    <w:rsid w:val="000D4C86"/>
    <w:rsid w:val="000D50D6"/>
    <w:rsid w:val="000D70FC"/>
    <w:rsid w:val="000D74A5"/>
    <w:rsid w:val="000D7897"/>
    <w:rsid w:val="000E3883"/>
    <w:rsid w:val="000E42F7"/>
    <w:rsid w:val="000F04D5"/>
    <w:rsid w:val="000F2F86"/>
    <w:rsid w:val="000F4C20"/>
    <w:rsid w:val="000F4C5A"/>
    <w:rsid w:val="00101815"/>
    <w:rsid w:val="001042CE"/>
    <w:rsid w:val="00106ABA"/>
    <w:rsid w:val="00107841"/>
    <w:rsid w:val="00117D56"/>
    <w:rsid w:val="00117F88"/>
    <w:rsid w:val="0012530C"/>
    <w:rsid w:val="00130AD0"/>
    <w:rsid w:val="00135224"/>
    <w:rsid w:val="00143636"/>
    <w:rsid w:val="00143A55"/>
    <w:rsid w:val="00146115"/>
    <w:rsid w:val="00154BE9"/>
    <w:rsid w:val="00154DA1"/>
    <w:rsid w:val="00154F04"/>
    <w:rsid w:val="001551CB"/>
    <w:rsid w:val="00157DD5"/>
    <w:rsid w:val="00160882"/>
    <w:rsid w:val="001678ED"/>
    <w:rsid w:val="00170C10"/>
    <w:rsid w:val="0017300D"/>
    <w:rsid w:val="00174F85"/>
    <w:rsid w:val="001761A0"/>
    <w:rsid w:val="001767E9"/>
    <w:rsid w:val="00183417"/>
    <w:rsid w:val="00190295"/>
    <w:rsid w:val="0019406D"/>
    <w:rsid w:val="00197DA9"/>
    <w:rsid w:val="001A02BA"/>
    <w:rsid w:val="001A3D1F"/>
    <w:rsid w:val="001A5BE1"/>
    <w:rsid w:val="001B294A"/>
    <w:rsid w:val="001B4794"/>
    <w:rsid w:val="001B47D4"/>
    <w:rsid w:val="001B5F33"/>
    <w:rsid w:val="001C1B1E"/>
    <w:rsid w:val="001C439F"/>
    <w:rsid w:val="001C5574"/>
    <w:rsid w:val="001C6BFF"/>
    <w:rsid w:val="001D3E15"/>
    <w:rsid w:val="001D4C9B"/>
    <w:rsid w:val="001D6DFC"/>
    <w:rsid w:val="001D7C2A"/>
    <w:rsid w:val="001E1B95"/>
    <w:rsid w:val="001E366D"/>
    <w:rsid w:val="001E7A39"/>
    <w:rsid w:val="001F4A37"/>
    <w:rsid w:val="00204C60"/>
    <w:rsid w:val="00210109"/>
    <w:rsid w:val="00211B67"/>
    <w:rsid w:val="002205E9"/>
    <w:rsid w:val="0022103D"/>
    <w:rsid w:val="00223F8E"/>
    <w:rsid w:val="0023081C"/>
    <w:rsid w:val="00232836"/>
    <w:rsid w:val="00234B0D"/>
    <w:rsid w:val="002364F2"/>
    <w:rsid w:val="00241368"/>
    <w:rsid w:val="002422CA"/>
    <w:rsid w:val="00247194"/>
    <w:rsid w:val="002545DB"/>
    <w:rsid w:val="002566A6"/>
    <w:rsid w:val="002574EF"/>
    <w:rsid w:val="00265741"/>
    <w:rsid w:val="0026704B"/>
    <w:rsid w:val="0027016C"/>
    <w:rsid w:val="00271AE0"/>
    <w:rsid w:val="00272C18"/>
    <w:rsid w:val="00275102"/>
    <w:rsid w:val="002757A7"/>
    <w:rsid w:val="00276273"/>
    <w:rsid w:val="00277204"/>
    <w:rsid w:val="002807B3"/>
    <w:rsid w:val="00281417"/>
    <w:rsid w:val="00282B3C"/>
    <w:rsid w:val="002909F7"/>
    <w:rsid w:val="0029225C"/>
    <w:rsid w:val="0029661C"/>
    <w:rsid w:val="002A01B4"/>
    <w:rsid w:val="002C1509"/>
    <w:rsid w:val="002C51A9"/>
    <w:rsid w:val="002C6133"/>
    <w:rsid w:val="002C7619"/>
    <w:rsid w:val="002D1FA6"/>
    <w:rsid w:val="002D527C"/>
    <w:rsid w:val="002D6358"/>
    <w:rsid w:val="002E0BDE"/>
    <w:rsid w:val="002E38F6"/>
    <w:rsid w:val="002E59C4"/>
    <w:rsid w:val="002F2C8C"/>
    <w:rsid w:val="002F3395"/>
    <w:rsid w:val="002F4EEE"/>
    <w:rsid w:val="002F6BFD"/>
    <w:rsid w:val="002F7E05"/>
    <w:rsid w:val="00300570"/>
    <w:rsid w:val="00313817"/>
    <w:rsid w:val="00314BA3"/>
    <w:rsid w:val="00316697"/>
    <w:rsid w:val="00323DC4"/>
    <w:rsid w:val="003255B9"/>
    <w:rsid w:val="00326513"/>
    <w:rsid w:val="003278EB"/>
    <w:rsid w:val="00331FCE"/>
    <w:rsid w:val="00334196"/>
    <w:rsid w:val="00334411"/>
    <w:rsid w:val="003357E1"/>
    <w:rsid w:val="003413B2"/>
    <w:rsid w:val="00344506"/>
    <w:rsid w:val="003447B4"/>
    <w:rsid w:val="0034656B"/>
    <w:rsid w:val="00350BFE"/>
    <w:rsid w:val="00351DBE"/>
    <w:rsid w:val="003556DB"/>
    <w:rsid w:val="003566C3"/>
    <w:rsid w:val="0035684D"/>
    <w:rsid w:val="00361542"/>
    <w:rsid w:val="00362579"/>
    <w:rsid w:val="0036577D"/>
    <w:rsid w:val="003701DD"/>
    <w:rsid w:val="00376CAB"/>
    <w:rsid w:val="00377748"/>
    <w:rsid w:val="00387A33"/>
    <w:rsid w:val="003902B3"/>
    <w:rsid w:val="003964CE"/>
    <w:rsid w:val="003A0B4C"/>
    <w:rsid w:val="003A6C86"/>
    <w:rsid w:val="003B38A0"/>
    <w:rsid w:val="003B4948"/>
    <w:rsid w:val="003C287A"/>
    <w:rsid w:val="003C2C30"/>
    <w:rsid w:val="003C4D97"/>
    <w:rsid w:val="003C5738"/>
    <w:rsid w:val="003D2447"/>
    <w:rsid w:val="003D4673"/>
    <w:rsid w:val="003E2154"/>
    <w:rsid w:val="003E3705"/>
    <w:rsid w:val="003E53B9"/>
    <w:rsid w:val="003E5F64"/>
    <w:rsid w:val="003F1E5C"/>
    <w:rsid w:val="003F389B"/>
    <w:rsid w:val="003F3E87"/>
    <w:rsid w:val="003F4D5F"/>
    <w:rsid w:val="003F5149"/>
    <w:rsid w:val="00400023"/>
    <w:rsid w:val="00401AC4"/>
    <w:rsid w:val="00402C9A"/>
    <w:rsid w:val="00402E8D"/>
    <w:rsid w:val="004044E6"/>
    <w:rsid w:val="00412D30"/>
    <w:rsid w:val="004133F9"/>
    <w:rsid w:val="004176E6"/>
    <w:rsid w:val="004235E6"/>
    <w:rsid w:val="00424EAA"/>
    <w:rsid w:val="00425676"/>
    <w:rsid w:val="0042577A"/>
    <w:rsid w:val="00426F04"/>
    <w:rsid w:val="00433DC4"/>
    <w:rsid w:val="004342D0"/>
    <w:rsid w:val="00437112"/>
    <w:rsid w:val="00442F7D"/>
    <w:rsid w:val="004440D6"/>
    <w:rsid w:val="00444FF3"/>
    <w:rsid w:val="0044709D"/>
    <w:rsid w:val="004477A5"/>
    <w:rsid w:val="004479FF"/>
    <w:rsid w:val="00450582"/>
    <w:rsid w:val="00454043"/>
    <w:rsid w:val="004554E8"/>
    <w:rsid w:val="0045731C"/>
    <w:rsid w:val="0045749F"/>
    <w:rsid w:val="00461E4E"/>
    <w:rsid w:val="00462FF5"/>
    <w:rsid w:val="004645D4"/>
    <w:rsid w:val="004679F8"/>
    <w:rsid w:val="0047227A"/>
    <w:rsid w:val="00474E58"/>
    <w:rsid w:val="0047641A"/>
    <w:rsid w:val="004804BE"/>
    <w:rsid w:val="00491506"/>
    <w:rsid w:val="0049178B"/>
    <w:rsid w:val="004917EC"/>
    <w:rsid w:val="00492AB0"/>
    <w:rsid w:val="00493241"/>
    <w:rsid w:val="00495AE9"/>
    <w:rsid w:val="00496235"/>
    <w:rsid w:val="00496FBF"/>
    <w:rsid w:val="004A15B3"/>
    <w:rsid w:val="004A3246"/>
    <w:rsid w:val="004A33D1"/>
    <w:rsid w:val="004A4FF8"/>
    <w:rsid w:val="004A6406"/>
    <w:rsid w:val="004B0EC0"/>
    <w:rsid w:val="004B333D"/>
    <w:rsid w:val="004B45B0"/>
    <w:rsid w:val="004C1166"/>
    <w:rsid w:val="004D0C3D"/>
    <w:rsid w:val="004D1682"/>
    <w:rsid w:val="004D1EC0"/>
    <w:rsid w:val="004D79DD"/>
    <w:rsid w:val="004D7FE1"/>
    <w:rsid w:val="004E28CA"/>
    <w:rsid w:val="004E28DC"/>
    <w:rsid w:val="004E69C2"/>
    <w:rsid w:val="004F7F64"/>
    <w:rsid w:val="0050025A"/>
    <w:rsid w:val="005009CF"/>
    <w:rsid w:val="00504E60"/>
    <w:rsid w:val="00512642"/>
    <w:rsid w:val="0051755E"/>
    <w:rsid w:val="00523968"/>
    <w:rsid w:val="005249D6"/>
    <w:rsid w:val="00525077"/>
    <w:rsid w:val="00536A35"/>
    <w:rsid w:val="0053711A"/>
    <w:rsid w:val="005374BE"/>
    <w:rsid w:val="005460AC"/>
    <w:rsid w:val="005634E3"/>
    <w:rsid w:val="005639F7"/>
    <w:rsid w:val="0056495A"/>
    <w:rsid w:val="0056552F"/>
    <w:rsid w:val="00576620"/>
    <w:rsid w:val="00581179"/>
    <w:rsid w:val="00583621"/>
    <w:rsid w:val="00584FA4"/>
    <w:rsid w:val="00586477"/>
    <w:rsid w:val="00587233"/>
    <w:rsid w:val="0058731C"/>
    <w:rsid w:val="00587880"/>
    <w:rsid w:val="005904B9"/>
    <w:rsid w:val="0059440D"/>
    <w:rsid w:val="00595E4E"/>
    <w:rsid w:val="00597F36"/>
    <w:rsid w:val="005A0AFB"/>
    <w:rsid w:val="005A43DF"/>
    <w:rsid w:val="005A6B77"/>
    <w:rsid w:val="005A7351"/>
    <w:rsid w:val="005B1E9B"/>
    <w:rsid w:val="005C3F03"/>
    <w:rsid w:val="005D4628"/>
    <w:rsid w:val="005E2612"/>
    <w:rsid w:val="005E592C"/>
    <w:rsid w:val="005E6B0B"/>
    <w:rsid w:val="005F0B60"/>
    <w:rsid w:val="005F0B8D"/>
    <w:rsid w:val="005F0F46"/>
    <w:rsid w:val="005F10C0"/>
    <w:rsid w:val="005F21BA"/>
    <w:rsid w:val="005F78C6"/>
    <w:rsid w:val="006044F5"/>
    <w:rsid w:val="00605546"/>
    <w:rsid w:val="006074FF"/>
    <w:rsid w:val="0062262D"/>
    <w:rsid w:val="00624756"/>
    <w:rsid w:val="006250B9"/>
    <w:rsid w:val="006252EA"/>
    <w:rsid w:val="00630BD7"/>
    <w:rsid w:val="00631479"/>
    <w:rsid w:val="006316AA"/>
    <w:rsid w:val="00633AE8"/>
    <w:rsid w:val="00637E54"/>
    <w:rsid w:val="006549F9"/>
    <w:rsid w:val="00657096"/>
    <w:rsid w:val="00660BE8"/>
    <w:rsid w:val="00663AB1"/>
    <w:rsid w:val="00665DF5"/>
    <w:rsid w:val="00672731"/>
    <w:rsid w:val="00673F49"/>
    <w:rsid w:val="00676B42"/>
    <w:rsid w:val="006776FF"/>
    <w:rsid w:val="00677E33"/>
    <w:rsid w:val="00685D31"/>
    <w:rsid w:val="00686795"/>
    <w:rsid w:val="00691D99"/>
    <w:rsid w:val="006A0607"/>
    <w:rsid w:val="006A2918"/>
    <w:rsid w:val="006A301A"/>
    <w:rsid w:val="006A69A3"/>
    <w:rsid w:val="006B1198"/>
    <w:rsid w:val="006B5A00"/>
    <w:rsid w:val="006B74F6"/>
    <w:rsid w:val="006C433B"/>
    <w:rsid w:val="006C4505"/>
    <w:rsid w:val="006D0830"/>
    <w:rsid w:val="006E465C"/>
    <w:rsid w:val="006E720F"/>
    <w:rsid w:val="006E7880"/>
    <w:rsid w:val="006F0279"/>
    <w:rsid w:val="006F0AF8"/>
    <w:rsid w:val="007019EB"/>
    <w:rsid w:val="00703556"/>
    <w:rsid w:val="00706A9A"/>
    <w:rsid w:val="00706D6E"/>
    <w:rsid w:val="00707FD2"/>
    <w:rsid w:val="007101E7"/>
    <w:rsid w:val="0071034E"/>
    <w:rsid w:val="0071337F"/>
    <w:rsid w:val="007146F3"/>
    <w:rsid w:val="00716A5C"/>
    <w:rsid w:val="007178F5"/>
    <w:rsid w:val="00726F46"/>
    <w:rsid w:val="00733469"/>
    <w:rsid w:val="00742FAF"/>
    <w:rsid w:val="00744CD8"/>
    <w:rsid w:val="0074770D"/>
    <w:rsid w:val="00751D54"/>
    <w:rsid w:val="00752944"/>
    <w:rsid w:val="0075496D"/>
    <w:rsid w:val="0075507F"/>
    <w:rsid w:val="00757882"/>
    <w:rsid w:val="00764F56"/>
    <w:rsid w:val="00765B4D"/>
    <w:rsid w:val="007705A1"/>
    <w:rsid w:val="00771A9F"/>
    <w:rsid w:val="00776D09"/>
    <w:rsid w:val="007802DE"/>
    <w:rsid w:val="00784352"/>
    <w:rsid w:val="00785B5B"/>
    <w:rsid w:val="007877DC"/>
    <w:rsid w:val="0079051B"/>
    <w:rsid w:val="00790C48"/>
    <w:rsid w:val="00797792"/>
    <w:rsid w:val="007A0A30"/>
    <w:rsid w:val="007B760A"/>
    <w:rsid w:val="007C2552"/>
    <w:rsid w:val="007C6C72"/>
    <w:rsid w:val="007D0A9F"/>
    <w:rsid w:val="007D297B"/>
    <w:rsid w:val="007D30C1"/>
    <w:rsid w:val="007E562B"/>
    <w:rsid w:val="007F2CF7"/>
    <w:rsid w:val="007F3F88"/>
    <w:rsid w:val="007F7F78"/>
    <w:rsid w:val="00810271"/>
    <w:rsid w:val="008103DB"/>
    <w:rsid w:val="00811778"/>
    <w:rsid w:val="00813321"/>
    <w:rsid w:val="008161D3"/>
    <w:rsid w:val="008241A5"/>
    <w:rsid w:val="00824395"/>
    <w:rsid w:val="00833BA9"/>
    <w:rsid w:val="008346CA"/>
    <w:rsid w:val="00834A7E"/>
    <w:rsid w:val="00834AFA"/>
    <w:rsid w:val="00834F33"/>
    <w:rsid w:val="00836CDB"/>
    <w:rsid w:val="00837AAD"/>
    <w:rsid w:val="00841F7F"/>
    <w:rsid w:val="00844B5D"/>
    <w:rsid w:val="00844E35"/>
    <w:rsid w:val="00852165"/>
    <w:rsid w:val="008550AF"/>
    <w:rsid w:val="008578D1"/>
    <w:rsid w:val="00860318"/>
    <w:rsid w:val="00861331"/>
    <w:rsid w:val="00862040"/>
    <w:rsid w:val="00863AC8"/>
    <w:rsid w:val="00863FE2"/>
    <w:rsid w:val="00865370"/>
    <w:rsid w:val="00867CBC"/>
    <w:rsid w:val="008744BE"/>
    <w:rsid w:val="00875F57"/>
    <w:rsid w:val="0088585E"/>
    <w:rsid w:val="00885E26"/>
    <w:rsid w:val="00892305"/>
    <w:rsid w:val="0089230B"/>
    <w:rsid w:val="00893A01"/>
    <w:rsid w:val="008A1799"/>
    <w:rsid w:val="008A43CF"/>
    <w:rsid w:val="008A5512"/>
    <w:rsid w:val="008A7900"/>
    <w:rsid w:val="008A7B3E"/>
    <w:rsid w:val="008B263A"/>
    <w:rsid w:val="008B3ED8"/>
    <w:rsid w:val="008B4403"/>
    <w:rsid w:val="008C5D27"/>
    <w:rsid w:val="008C6F0D"/>
    <w:rsid w:val="008C7E01"/>
    <w:rsid w:val="008D6300"/>
    <w:rsid w:val="008D73A1"/>
    <w:rsid w:val="008E54E3"/>
    <w:rsid w:val="008F17AD"/>
    <w:rsid w:val="008F4D4C"/>
    <w:rsid w:val="008F711A"/>
    <w:rsid w:val="00907180"/>
    <w:rsid w:val="00912909"/>
    <w:rsid w:val="0091385D"/>
    <w:rsid w:val="00914343"/>
    <w:rsid w:val="00924475"/>
    <w:rsid w:val="00926821"/>
    <w:rsid w:val="009305F1"/>
    <w:rsid w:val="00930AF9"/>
    <w:rsid w:val="009357D7"/>
    <w:rsid w:val="00942673"/>
    <w:rsid w:val="00942C1D"/>
    <w:rsid w:val="00945988"/>
    <w:rsid w:val="0095087B"/>
    <w:rsid w:val="00951D93"/>
    <w:rsid w:val="009540A4"/>
    <w:rsid w:val="00955039"/>
    <w:rsid w:val="00961EE7"/>
    <w:rsid w:val="0096669A"/>
    <w:rsid w:val="00967705"/>
    <w:rsid w:val="00973CD2"/>
    <w:rsid w:val="009755DE"/>
    <w:rsid w:val="00975AAF"/>
    <w:rsid w:val="00976FA6"/>
    <w:rsid w:val="009805AA"/>
    <w:rsid w:val="00980A95"/>
    <w:rsid w:val="00981205"/>
    <w:rsid w:val="009857EF"/>
    <w:rsid w:val="009860A8"/>
    <w:rsid w:val="0099020B"/>
    <w:rsid w:val="00992EE0"/>
    <w:rsid w:val="0099412F"/>
    <w:rsid w:val="009A36D7"/>
    <w:rsid w:val="009B0A93"/>
    <w:rsid w:val="009B1BC1"/>
    <w:rsid w:val="009B2A9A"/>
    <w:rsid w:val="009C179A"/>
    <w:rsid w:val="009C1DC1"/>
    <w:rsid w:val="009C6209"/>
    <w:rsid w:val="009D1FEA"/>
    <w:rsid w:val="009D2DE0"/>
    <w:rsid w:val="009D3C0E"/>
    <w:rsid w:val="009D459B"/>
    <w:rsid w:val="009E1052"/>
    <w:rsid w:val="009E6799"/>
    <w:rsid w:val="009F349F"/>
    <w:rsid w:val="009F3D59"/>
    <w:rsid w:val="009F6EFA"/>
    <w:rsid w:val="009F7CA8"/>
    <w:rsid w:val="00A00179"/>
    <w:rsid w:val="00A00B6A"/>
    <w:rsid w:val="00A023BC"/>
    <w:rsid w:val="00A06F36"/>
    <w:rsid w:val="00A07D42"/>
    <w:rsid w:val="00A109CF"/>
    <w:rsid w:val="00A24D0D"/>
    <w:rsid w:val="00A25DCE"/>
    <w:rsid w:val="00A304E5"/>
    <w:rsid w:val="00A35D3D"/>
    <w:rsid w:val="00A37435"/>
    <w:rsid w:val="00A426DB"/>
    <w:rsid w:val="00A44095"/>
    <w:rsid w:val="00A444B6"/>
    <w:rsid w:val="00A46374"/>
    <w:rsid w:val="00A50E54"/>
    <w:rsid w:val="00A51CB5"/>
    <w:rsid w:val="00A5341F"/>
    <w:rsid w:val="00A57CA5"/>
    <w:rsid w:val="00A63F29"/>
    <w:rsid w:val="00A6489E"/>
    <w:rsid w:val="00A67945"/>
    <w:rsid w:val="00A72D87"/>
    <w:rsid w:val="00A80540"/>
    <w:rsid w:val="00A86827"/>
    <w:rsid w:val="00A90FCA"/>
    <w:rsid w:val="00AA06B7"/>
    <w:rsid w:val="00AA17AF"/>
    <w:rsid w:val="00AA6922"/>
    <w:rsid w:val="00AB2BCE"/>
    <w:rsid w:val="00AB5976"/>
    <w:rsid w:val="00AB7D8C"/>
    <w:rsid w:val="00AC313D"/>
    <w:rsid w:val="00AC3AE0"/>
    <w:rsid w:val="00AC5E35"/>
    <w:rsid w:val="00AD002D"/>
    <w:rsid w:val="00AD4EA9"/>
    <w:rsid w:val="00AD6663"/>
    <w:rsid w:val="00AD7AB6"/>
    <w:rsid w:val="00AE2098"/>
    <w:rsid w:val="00AE5E1E"/>
    <w:rsid w:val="00AE74DD"/>
    <w:rsid w:val="00AE76C3"/>
    <w:rsid w:val="00AF27E6"/>
    <w:rsid w:val="00AF7106"/>
    <w:rsid w:val="00B016B2"/>
    <w:rsid w:val="00B017BD"/>
    <w:rsid w:val="00B02A64"/>
    <w:rsid w:val="00B11E04"/>
    <w:rsid w:val="00B20197"/>
    <w:rsid w:val="00B20634"/>
    <w:rsid w:val="00B42A4B"/>
    <w:rsid w:val="00B50EA2"/>
    <w:rsid w:val="00B51315"/>
    <w:rsid w:val="00B6232D"/>
    <w:rsid w:val="00B63276"/>
    <w:rsid w:val="00B63C32"/>
    <w:rsid w:val="00B67E94"/>
    <w:rsid w:val="00B707A4"/>
    <w:rsid w:val="00B8208D"/>
    <w:rsid w:val="00B92811"/>
    <w:rsid w:val="00B96B08"/>
    <w:rsid w:val="00BA1F2B"/>
    <w:rsid w:val="00BA2795"/>
    <w:rsid w:val="00BA5781"/>
    <w:rsid w:val="00BA5FC7"/>
    <w:rsid w:val="00BB51BB"/>
    <w:rsid w:val="00BC1128"/>
    <w:rsid w:val="00BC1296"/>
    <w:rsid w:val="00BC14E5"/>
    <w:rsid w:val="00BC1AD7"/>
    <w:rsid w:val="00BC2635"/>
    <w:rsid w:val="00BC56C0"/>
    <w:rsid w:val="00BE498A"/>
    <w:rsid w:val="00BE5CB0"/>
    <w:rsid w:val="00BF04CC"/>
    <w:rsid w:val="00BF22F2"/>
    <w:rsid w:val="00BF3627"/>
    <w:rsid w:val="00BF5770"/>
    <w:rsid w:val="00C0135E"/>
    <w:rsid w:val="00C0349D"/>
    <w:rsid w:val="00C03528"/>
    <w:rsid w:val="00C04F6B"/>
    <w:rsid w:val="00C05110"/>
    <w:rsid w:val="00C1070E"/>
    <w:rsid w:val="00C135DB"/>
    <w:rsid w:val="00C20CA4"/>
    <w:rsid w:val="00C23CF1"/>
    <w:rsid w:val="00C24670"/>
    <w:rsid w:val="00C329E8"/>
    <w:rsid w:val="00C335A8"/>
    <w:rsid w:val="00C33BC3"/>
    <w:rsid w:val="00C41E1F"/>
    <w:rsid w:val="00C46769"/>
    <w:rsid w:val="00C50B6B"/>
    <w:rsid w:val="00C510E0"/>
    <w:rsid w:val="00C51CCF"/>
    <w:rsid w:val="00C57C6D"/>
    <w:rsid w:val="00C60095"/>
    <w:rsid w:val="00C62BF9"/>
    <w:rsid w:val="00C63BDD"/>
    <w:rsid w:val="00C665B7"/>
    <w:rsid w:val="00C75EEF"/>
    <w:rsid w:val="00C81C54"/>
    <w:rsid w:val="00C91AE9"/>
    <w:rsid w:val="00C92543"/>
    <w:rsid w:val="00C92EDB"/>
    <w:rsid w:val="00C94E6C"/>
    <w:rsid w:val="00CA0347"/>
    <w:rsid w:val="00CA4734"/>
    <w:rsid w:val="00CA7797"/>
    <w:rsid w:val="00CB1C97"/>
    <w:rsid w:val="00CB3482"/>
    <w:rsid w:val="00CB7546"/>
    <w:rsid w:val="00CB7BDD"/>
    <w:rsid w:val="00CC094F"/>
    <w:rsid w:val="00CC23D0"/>
    <w:rsid w:val="00CC27B4"/>
    <w:rsid w:val="00CC47E3"/>
    <w:rsid w:val="00CD0ABC"/>
    <w:rsid w:val="00CD4EEA"/>
    <w:rsid w:val="00CE1C1D"/>
    <w:rsid w:val="00CE2211"/>
    <w:rsid w:val="00CE44C4"/>
    <w:rsid w:val="00CE59BC"/>
    <w:rsid w:val="00CE7F25"/>
    <w:rsid w:val="00CF048F"/>
    <w:rsid w:val="00CF25D2"/>
    <w:rsid w:val="00CF28A8"/>
    <w:rsid w:val="00CF3760"/>
    <w:rsid w:val="00CF4418"/>
    <w:rsid w:val="00D01DD8"/>
    <w:rsid w:val="00D024EC"/>
    <w:rsid w:val="00D05F06"/>
    <w:rsid w:val="00D143F1"/>
    <w:rsid w:val="00D15639"/>
    <w:rsid w:val="00D250C8"/>
    <w:rsid w:val="00D27EBE"/>
    <w:rsid w:val="00D3061E"/>
    <w:rsid w:val="00D30A0A"/>
    <w:rsid w:val="00D425E4"/>
    <w:rsid w:val="00D4461E"/>
    <w:rsid w:val="00D446AF"/>
    <w:rsid w:val="00D4556F"/>
    <w:rsid w:val="00D45A66"/>
    <w:rsid w:val="00D466DC"/>
    <w:rsid w:val="00D5306D"/>
    <w:rsid w:val="00D6023C"/>
    <w:rsid w:val="00D65B37"/>
    <w:rsid w:val="00D661DA"/>
    <w:rsid w:val="00D67B6E"/>
    <w:rsid w:val="00D7084B"/>
    <w:rsid w:val="00D7474E"/>
    <w:rsid w:val="00D7519F"/>
    <w:rsid w:val="00D771BC"/>
    <w:rsid w:val="00D84DD1"/>
    <w:rsid w:val="00D85733"/>
    <w:rsid w:val="00D86FF4"/>
    <w:rsid w:val="00D87A23"/>
    <w:rsid w:val="00D9107F"/>
    <w:rsid w:val="00D911E7"/>
    <w:rsid w:val="00D917A5"/>
    <w:rsid w:val="00D929F6"/>
    <w:rsid w:val="00DA3C15"/>
    <w:rsid w:val="00DA4011"/>
    <w:rsid w:val="00DB14E4"/>
    <w:rsid w:val="00DC4095"/>
    <w:rsid w:val="00DC420B"/>
    <w:rsid w:val="00DD112D"/>
    <w:rsid w:val="00DE682A"/>
    <w:rsid w:val="00DE6EA6"/>
    <w:rsid w:val="00DF3750"/>
    <w:rsid w:val="00DF486F"/>
    <w:rsid w:val="00E01372"/>
    <w:rsid w:val="00E01727"/>
    <w:rsid w:val="00E03686"/>
    <w:rsid w:val="00E06583"/>
    <w:rsid w:val="00E06F68"/>
    <w:rsid w:val="00E14F90"/>
    <w:rsid w:val="00E15BE0"/>
    <w:rsid w:val="00E15D57"/>
    <w:rsid w:val="00E17979"/>
    <w:rsid w:val="00E17DE5"/>
    <w:rsid w:val="00E244B9"/>
    <w:rsid w:val="00E30CFC"/>
    <w:rsid w:val="00E310DA"/>
    <w:rsid w:val="00E33554"/>
    <w:rsid w:val="00E33E2F"/>
    <w:rsid w:val="00E3412C"/>
    <w:rsid w:val="00E5727A"/>
    <w:rsid w:val="00E60BB7"/>
    <w:rsid w:val="00E664EC"/>
    <w:rsid w:val="00E70904"/>
    <w:rsid w:val="00E72B30"/>
    <w:rsid w:val="00E75B25"/>
    <w:rsid w:val="00E82235"/>
    <w:rsid w:val="00E84E20"/>
    <w:rsid w:val="00E902C3"/>
    <w:rsid w:val="00E91621"/>
    <w:rsid w:val="00E956CE"/>
    <w:rsid w:val="00E977DF"/>
    <w:rsid w:val="00EA5CBF"/>
    <w:rsid w:val="00EB5D1E"/>
    <w:rsid w:val="00EC3553"/>
    <w:rsid w:val="00ED442B"/>
    <w:rsid w:val="00ED5009"/>
    <w:rsid w:val="00EE3A29"/>
    <w:rsid w:val="00EF1103"/>
    <w:rsid w:val="00EF5639"/>
    <w:rsid w:val="00F00527"/>
    <w:rsid w:val="00F04D09"/>
    <w:rsid w:val="00F061C5"/>
    <w:rsid w:val="00F079DF"/>
    <w:rsid w:val="00F1077B"/>
    <w:rsid w:val="00F15DD8"/>
    <w:rsid w:val="00F369EC"/>
    <w:rsid w:val="00F376A7"/>
    <w:rsid w:val="00F4111C"/>
    <w:rsid w:val="00F41904"/>
    <w:rsid w:val="00F41FDE"/>
    <w:rsid w:val="00F426E0"/>
    <w:rsid w:val="00F42F0B"/>
    <w:rsid w:val="00F4560D"/>
    <w:rsid w:val="00F45704"/>
    <w:rsid w:val="00F4792C"/>
    <w:rsid w:val="00F53403"/>
    <w:rsid w:val="00F55115"/>
    <w:rsid w:val="00F57673"/>
    <w:rsid w:val="00F61314"/>
    <w:rsid w:val="00F63BE6"/>
    <w:rsid w:val="00F6412E"/>
    <w:rsid w:val="00F7302F"/>
    <w:rsid w:val="00F75645"/>
    <w:rsid w:val="00F819FF"/>
    <w:rsid w:val="00F830E4"/>
    <w:rsid w:val="00F9086D"/>
    <w:rsid w:val="00F9148F"/>
    <w:rsid w:val="00F91505"/>
    <w:rsid w:val="00F93912"/>
    <w:rsid w:val="00F94713"/>
    <w:rsid w:val="00F954A5"/>
    <w:rsid w:val="00F96C41"/>
    <w:rsid w:val="00F97D35"/>
    <w:rsid w:val="00FA557D"/>
    <w:rsid w:val="00FA5AB4"/>
    <w:rsid w:val="00FA6DC5"/>
    <w:rsid w:val="00FB13FB"/>
    <w:rsid w:val="00FB1E57"/>
    <w:rsid w:val="00FB3920"/>
    <w:rsid w:val="00FB6768"/>
    <w:rsid w:val="00FC2FC1"/>
    <w:rsid w:val="00FD7888"/>
    <w:rsid w:val="00FD7A7B"/>
    <w:rsid w:val="00FE2653"/>
    <w:rsid w:val="00FF6A7B"/>
    <w:rsid w:val="00FF6D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600C68"/>
  <w15:docId w15:val="{D979EB80-4F74-4B8D-8DD4-40118518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06D"/>
    <w:pPr>
      <w:bidi/>
      <w:spacing w:line="360" w:lineRule="auto"/>
      <w:jc w:val="both"/>
    </w:pPr>
    <w:rPr>
      <w:rFonts w:cs="Dav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5CBF"/>
    <w:pPr>
      <w:tabs>
        <w:tab w:val="center" w:pos="4153"/>
        <w:tab w:val="right" w:pos="8306"/>
      </w:tabs>
    </w:pPr>
  </w:style>
  <w:style w:type="paragraph" w:styleId="Footer">
    <w:name w:val="footer"/>
    <w:basedOn w:val="Normal"/>
    <w:rsid w:val="00EA5CBF"/>
    <w:pPr>
      <w:tabs>
        <w:tab w:val="center" w:pos="4153"/>
        <w:tab w:val="right" w:pos="8306"/>
      </w:tabs>
    </w:pPr>
  </w:style>
  <w:style w:type="character" w:styleId="PageNumber">
    <w:name w:val="page number"/>
    <w:basedOn w:val="DefaultParagraphFont"/>
    <w:rsid w:val="000C222C"/>
  </w:style>
  <w:style w:type="table" w:styleId="TableGrid">
    <w:name w:val="Table Grid"/>
    <w:basedOn w:val="TableNormal"/>
    <w:rsid w:val="00F41FDE"/>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5306D"/>
    <w:pPr>
      <w:shd w:val="clear" w:color="auto" w:fill="000080"/>
    </w:pPr>
    <w:rPr>
      <w:rFonts w:ascii="Tahoma" w:hAnsi="Tahoma" w:cs="Tahoma"/>
      <w:sz w:val="20"/>
      <w:szCs w:val="20"/>
    </w:rPr>
  </w:style>
  <w:style w:type="character" w:styleId="Strong">
    <w:name w:val="Strong"/>
    <w:qFormat/>
    <w:rsid w:val="00B92811"/>
    <w:rPr>
      <w:b/>
      <w:bCs/>
    </w:rPr>
  </w:style>
  <w:style w:type="paragraph" w:customStyle="1" w:styleId="Ruller4">
    <w:name w:val="Ruller 4 ממוספר"/>
    <w:basedOn w:val="Normal"/>
    <w:next w:val="Normal"/>
    <w:rsid w:val="00FA5AB4"/>
    <w:pPr>
      <w:numPr>
        <w:numId w:val="1"/>
      </w:numPr>
      <w:tabs>
        <w:tab w:val="left" w:pos="800"/>
      </w:tabs>
      <w:overflowPunct w:val="0"/>
      <w:autoSpaceDE w:val="0"/>
      <w:autoSpaceDN w:val="0"/>
      <w:adjustRightInd w:val="0"/>
    </w:pPr>
    <w:rPr>
      <w:rFonts w:ascii="Garamond" w:hAnsi="Garamond" w:cs="FrankRuehl"/>
      <w:spacing w:val="10"/>
      <w:sz w:val="24"/>
    </w:rPr>
  </w:style>
  <w:style w:type="paragraph" w:customStyle="1" w:styleId="Ruller40">
    <w:name w:val="Ruller4"/>
    <w:basedOn w:val="Normal"/>
    <w:rsid w:val="001C1B1E"/>
    <w:pPr>
      <w:tabs>
        <w:tab w:val="left" w:pos="800"/>
      </w:tabs>
      <w:overflowPunct w:val="0"/>
      <w:autoSpaceDE w:val="0"/>
      <w:autoSpaceDN w:val="0"/>
      <w:adjustRightInd w:val="0"/>
    </w:pPr>
    <w:rPr>
      <w:rFonts w:ascii="Arial TUR" w:hAnsi="Arial TUR" w:cs="FrankRuehl"/>
      <w:spacing w:val="10"/>
      <w:sz w:val="22"/>
    </w:rPr>
  </w:style>
  <w:style w:type="character" w:customStyle="1" w:styleId="default">
    <w:name w:val="default"/>
    <w:rsid w:val="001C1B1E"/>
    <w:rPr>
      <w:rFonts w:ascii="Times New Roman" w:hAnsi="Times New Roman" w:cs="Times New Roman" w:hint="default"/>
      <w:sz w:val="26"/>
      <w:szCs w:val="26"/>
    </w:rPr>
  </w:style>
  <w:style w:type="paragraph" w:styleId="ListParagraph">
    <w:name w:val="List Paragraph"/>
    <w:basedOn w:val="Normal"/>
    <w:link w:val="ListParagraphChar"/>
    <w:uiPriority w:val="34"/>
    <w:qFormat/>
    <w:rsid w:val="00401AC4"/>
    <w:pPr>
      <w:ind w:left="720"/>
    </w:pPr>
  </w:style>
  <w:style w:type="character" w:customStyle="1" w:styleId="ListParagraphChar">
    <w:name w:val="List Paragraph Char"/>
    <w:link w:val="ListParagraph"/>
    <w:uiPriority w:val="34"/>
    <w:rsid w:val="00D6023C"/>
    <w:rPr>
      <w:rFonts w:cs="David"/>
      <w:sz w:val="28"/>
      <w:szCs w:val="28"/>
    </w:rPr>
  </w:style>
  <w:style w:type="paragraph" w:styleId="BalloonText">
    <w:name w:val="Balloon Text"/>
    <w:basedOn w:val="Normal"/>
    <w:link w:val="BalloonTextChar"/>
    <w:rsid w:val="007178F5"/>
    <w:pPr>
      <w:spacing w:line="240" w:lineRule="auto"/>
    </w:pPr>
    <w:rPr>
      <w:rFonts w:ascii="Tahoma" w:hAnsi="Tahoma" w:cs="Tahoma"/>
      <w:sz w:val="18"/>
      <w:szCs w:val="18"/>
    </w:rPr>
  </w:style>
  <w:style w:type="character" w:customStyle="1" w:styleId="BalloonTextChar">
    <w:name w:val="Balloon Text Char"/>
    <w:link w:val="BalloonText"/>
    <w:rsid w:val="007178F5"/>
    <w:rPr>
      <w:rFonts w:ascii="Tahoma" w:hAnsi="Tahoma" w:cs="Tahoma"/>
      <w:sz w:val="18"/>
      <w:szCs w:val="18"/>
    </w:rPr>
  </w:style>
  <w:style w:type="paragraph" w:styleId="BodyText">
    <w:name w:val="Body Text"/>
    <w:basedOn w:val="Normal"/>
    <w:link w:val="BodyTextChar"/>
    <w:rsid w:val="003255B9"/>
    <w:pPr>
      <w:spacing w:line="240" w:lineRule="auto"/>
    </w:pPr>
    <w:rPr>
      <w:rFonts w:cs="Miriam"/>
      <w:noProof/>
      <w:sz w:val="20"/>
      <w:szCs w:val="20"/>
      <w:lang w:eastAsia="he-IL"/>
    </w:rPr>
  </w:style>
  <w:style w:type="character" w:customStyle="1" w:styleId="BodyTextChar">
    <w:name w:val="Body Text Char"/>
    <w:link w:val="BodyText"/>
    <w:rsid w:val="003255B9"/>
    <w:rPr>
      <w:rFonts w:cs="Miriam"/>
      <w:noProof/>
      <w:lang w:eastAsia="he-IL"/>
    </w:rPr>
  </w:style>
  <w:style w:type="paragraph" w:customStyle="1" w:styleId="2">
    <w:name w:val="סגנון2"/>
    <w:basedOn w:val="Normal"/>
    <w:qFormat/>
    <w:rsid w:val="00B016B2"/>
    <w:pPr>
      <w:numPr>
        <w:numId w:val="17"/>
      </w:numPr>
      <w:contextualSpacing/>
    </w:pPr>
  </w:style>
  <w:style w:type="character" w:styleId="CommentReference">
    <w:name w:val="annotation reference"/>
    <w:rsid w:val="004044E6"/>
    <w:rPr>
      <w:sz w:val="16"/>
      <w:szCs w:val="16"/>
    </w:rPr>
  </w:style>
  <w:style w:type="paragraph" w:styleId="CommentText">
    <w:name w:val="annotation text"/>
    <w:basedOn w:val="Normal"/>
    <w:link w:val="CommentTextChar"/>
    <w:rsid w:val="004044E6"/>
    <w:rPr>
      <w:sz w:val="20"/>
      <w:szCs w:val="20"/>
    </w:rPr>
  </w:style>
  <w:style w:type="character" w:customStyle="1" w:styleId="CommentTextChar">
    <w:name w:val="Comment Text Char"/>
    <w:link w:val="CommentText"/>
    <w:rsid w:val="004044E6"/>
    <w:rPr>
      <w:rFonts w:cs="David"/>
    </w:rPr>
  </w:style>
  <w:style w:type="paragraph" w:styleId="CommentSubject">
    <w:name w:val="annotation subject"/>
    <w:basedOn w:val="CommentText"/>
    <w:next w:val="CommentText"/>
    <w:link w:val="CommentSubjectChar"/>
    <w:rsid w:val="004044E6"/>
    <w:rPr>
      <w:b/>
      <w:bCs/>
    </w:rPr>
  </w:style>
  <w:style w:type="character" w:customStyle="1" w:styleId="CommentSubjectChar">
    <w:name w:val="Comment Subject Char"/>
    <w:link w:val="CommentSubject"/>
    <w:rsid w:val="004044E6"/>
    <w:rPr>
      <w:rFonts w:cs="David"/>
      <w:b/>
      <w:bCs/>
    </w:rPr>
  </w:style>
  <w:style w:type="character" w:styleId="Hyperlink">
    <w:name w:val="Hyperlink"/>
    <w:uiPriority w:val="99"/>
    <w:unhideWhenUsed/>
    <w:rsid w:val="00F079DF"/>
    <w:rPr>
      <w:color w:val="0000FF"/>
      <w:u w:val="single"/>
    </w:rPr>
  </w:style>
  <w:style w:type="paragraph" w:styleId="Revision">
    <w:name w:val="Revision"/>
    <w:hidden/>
    <w:uiPriority w:val="99"/>
    <w:semiHidden/>
    <w:rsid w:val="00BC14E5"/>
    <w:rPr>
      <w:rFonts w:cs="David"/>
      <w:sz w:val="28"/>
      <w:szCs w:val="28"/>
    </w:rPr>
  </w:style>
  <w:style w:type="paragraph" w:styleId="EndnoteText">
    <w:name w:val="endnote text"/>
    <w:basedOn w:val="Normal"/>
    <w:link w:val="EndnoteTextChar"/>
    <w:semiHidden/>
    <w:unhideWhenUsed/>
    <w:rsid w:val="007019EB"/>
    <w:pPr>
      <w:spacing w:line="240" w:lineRule="auto"/>
    </w:pPr>
    <w:rPr>
      <w:sz w:val="20"/>
      <w:szCs w:val="20"/>
    </w:rPr>
  </w:style>
  <w:style w:type="character" w:customStyle="1" w:styleId="EndnoteTextChar">
    <w:name w:val="Endnote Text Char"/>
    <w:basedOn w:val="DefaultParagraphFont"/>
    <w:link w:val="EndnoteText"/>
    <w:semiHidden/>
    <w:rsid w:val="007019EB"/>
    <w:rPr>
      <w:rFonts w:cs="David"/>
    </w:rPr>
  </w:style>
  <w:style w:type="character" w:styleId="EndnoteReference">
    <w:name w:val="endnote reference"/>
    <w:basedOn w:val="DefaultParagraphFont"/>
    <w:semiHidden/>
    <w:unhideWhenUsed/>
    <w:rsid w:val="007019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153">
      <w:bodyDiv w:val="1"/>
      <w:marLeft w:val="0"/>
      <w:marRight w:val="0"/>
      <w:marTop w:val="0"/>
      <w:marBottom w:val="0"/>
      <w:divBdr>
        <w:top w:val="none" w:sz="0" w:space="0" w:color="auto"/>
        <w:left w:val="none" w:sz="0" w:space="0" w:color="auto"/>
        <w:bottom w:val="none" w:sz="0" w:space="0" w:color="auto"/>
        <w:right w:val="none" w:sz="0" w:space="0" w:color="auto"/>
      </w:divBdr>
    </w:div>
    <w:div w:id="119881836">
      <w:bodyDiv w:val="1"/>
      <w:marLeft w:val="0"/>
      <w:marRight w:val="0"/>
      <w:marTop w:val="0"/>
      <w:marBottom w:val="0"/>
      <w:divBdr>
        <w:top w:val="none" w:sz="0" w:space="0" w:color="auto"/>
        <w:left w:val="none" w:sz="0" w:space="0" w:color="auto"/>
        <w:bottom w:val="none" w:sz="0" w:space="0" w:color="auto"/>
        <w:right w:val="none" w:sz="0" w:space="0" w:color="auto"/>
      </w:divBdr>
    </w:div>
    <w:div w:id="416093867">
      <w:bodyDiv w:val="1"/>
      <w:marLeft w:val="0"/>
      <w:marRight w:val="0"/>
      <w:marTop w:val="0"/>
      <w:marBottom w:val="0"/>
      <w:divBdr>
        <w:top w:val="none" w:sz="0" w:space="0" w:color="auto"/>
        <w:left w:val="none" w:sz="0" w:space="0" w:color="auto"/>
        <w:bottom w:val="none" w:sz="0" w:space="0" w:color="auto"/>
        <w:right w:val="none" w:sz="0" w:space="0" w:color="auto"/>
      </w:divBdr>
    </w:div>
    <w:div w:id="621570271">
      <w:bodyDiv w:val="1"/>
      <w:marLeft w:val="0"/>
      <w:marRight w:val="0"/>
      <w:marTop w:val="0"/>
      <w:marBottom w:val="0"/>
      <w:divBdr>
        <w:top w:val="none" w:sz="0" w:space="0" w:color="auto"/>
        <w:left w:val="none" w:sz="0" w:space="0" w:color="auto"/>
        <w:bottom w:val="none" w:sz="0" w:space="0" w:color="auto"/>
        <w:right w:val="none" w:sz="0" w:space="0" w:color="auto"/>
      </w:divBdr>
    </w:div>
    <w:div w:id="719279513">
      <w:bodyDiv w:val="1"/>
      <w:marLeft w:val="0"/>
      <w:marRight w:val="0"/>
      <w:marTop w:val="0"/>
      <w:marBottom w:val="0"/>
      <w:divBdr>
        <w:top w:val="none" w:sz="0" w:space="0" w:color="auto"/>
        <w:left w:val="none" w:sz="0" w:space="0" w:color="auto"/>
        <w:bottom w:val="none" w:sz="0" w:space="0" w:color="auto"/>
        <w:right w:val="none" w:sz="0" w:space="0" w:color="auto"/>
      </w:divBdr>
    </w:div>
    <w:div w:id="761336834">
      <w:bodyDiv w:val="1"/>
      <w:marLeft w:val="0"/>
      <w:marRight w:val="0"/>
      <w:marTop w:val="0"/>
      <w:marBottom w:val="0"/>
      <w:divBdr>
        <w:top w:val="none" w:sz="0" w:space="0" w:color="auto"/>
        <w:left w:val="none" w:sz="0" w:space="0" w:color="auto"/>
        <w:bottom w:val="none" w:sz="0" w:space="0" w:color="auto"/>
        <w:right w:val="none" w:sz="0" w:space="0" w:color="auto"/>
      </w:divBdr>
    </w:div>
    <w:div w:id="852182742">
      <w:bodyDiv w:val="1"/>
      <w:marLeft w:val="0"/>
      <w:marRight w:val="0"/>
      <w:marTop w:val="0"/>
      <w:marBottom w:val="0"/>
      <w:divBdr>
        <w:top w:val="none" w:sz="0" w:space="0" w:color="auto"/>
        <w:left w:val="none" w:sz="0" w:space="0" w:color="auto"/>
        <w:bottom w:val="none" w:sz="0" w:space="0" w:color="auto"/>
        <w:right w:val="none" w:sz="0" w:space="0" w:color="auto"/>
      </w:divBdr>
    </w:div>
    <w:div w:id="967782304">
      <w:bodyDiv w:val="1"/>
      <w:marLeft w:val="0"/>
      <w:marRight w:val="0"/>
      <w:marTop w:val="0"/>
      <w:marBottom w:val="0"/>
      <w:divBdr>
        <w:top w:val="none" w:sz="0" w:space="0" w:color="auto"/>
        <w:left w:val="none" w:sz="0" w:space="0" w:color="auto"/>
        <w:bottom w:val="none" w:sz="0" w:space="0" w:color="auto"/>
        <w:right w:val="none" w:sz="0" w:space="0" w:color="auto"/>
      </w:divBdr>
    </w:div>
    <w:div w:id="1258103197">
      <w:bodyDiv w:val="1"/>
      <w:marLeft w:val="0"/>
      <w:marRight w:val="0"/>
      <w:marTop w:val="0"/>
      <w:marBottom w:val="0"/>
      <w:divBdr>
        <w:top w:val="none" w:sz="0" w:space="0" w:color="auto"/>
        <w:left w:val="none" w:sz="0" w:space="0" w:color="auto"/>
        <w:bottom w:val="none" w:sz="0" w:space="0" w:color="auto"/>
        <w:right w:val="none" w:sz="0" w:space="0" w:color="auto"/>
      </w:divBdr>
    </w:div>
    <w:div w:id="1279682639">
      <w:bodyDiv w:val="1"/>
      <w:marLeft w:val="0"/>
      <w:marRight w:val="0"/>
      <w:marTop w:val="0"/>
      <w:marBottom w:val="0"/>
      <w:divBdr>
        <w:top w:val="none" w:sz="0" w:space="0" w:color="auto"/>
        <w:left w:val="none" w:sz="0" w:space="0" w:color="auto"/>
        <w:bottom w:val="none" w:sz="0" w:space="0" w:color="auto"/>
        <w:right w:val="none" w:sz="0" w:space="0" w:color="auto"/>
      </w:divBdr>
    </w:div>
    <w:div w:id="1536498212">
      <w:bodyDiv w:val="1"/>
      <w:marLeft w:val="0"/>
      <w:marRight w:val="0"/>
      <w:marTop w:val="0"/>
      <w:marBottom w:val="0"/>
      <w:divBdr>
        <w:top w:val="none" w:sz="0" w:space="0" w:color="auto"/>
        <w:left w:val="none" w:sz="0" w:space="0" w:color="auto"/>
        <w:bottom w:val="none" w:sz="0" w:space="0" w:color="auto"/>
        <w:right w:val="none" w:sz="0" w:space="0" w:color="auto"/>
      </w:divBdr>
    </w:div>
    <w:div w:id="1580401604">
      <w:bodyDiv w:val="1"/>
      <w:marLeft w:val="0"/>
      <w:marRight w:val="0"/>
      <w:marTop w:val="0"/>
      <w:marBottom w:val="0"/>
      <w:divBdr>
        <w:top w:val="none" w:sz="0" w:space="0" w:color="auto"/>
        <w:left w:val="none" w:sz="0" w:space="0" w:color="auto"/>
        <w:bottom w:val="none" w:sz="0" w:space="0" w:color="auto"/>
        <w:right w:val="none" w:sz="0" w:space="0" w:color="auto"/>
      </w:divBdr>
    </w:div>
    <w:div w:id="1635527068">
      <w:bodyDiv w:val="1"/>
      <w:marLeft w:val="0"/>
      <w:marRight w:val="0"/>
      <w:marTop w:val="0"/>
      <w:marBottom w:val="0"/>
      <w:divBdr>
        <w:top w:val="none" w:sz="0" w:space="0" w:color="auto"/>
        <w:left w:val="none" w:sz="0" w:space="0" w:color="auto"/>
        <w:bottom w:val="none" w:sz="0" w:space="0" w:color="auto"/>
        <w:right w:val="none" w:sz="0" w:space="0" w:color="auto"/>
      </w:divBdr>
    </w:div>
    <w:div w:id="1637638910">
      <w:bodyDiv w:val="1"/>
      <w:marLeft w:val="0"/>
      <w:marRight w:val="0"/>
      <w:marTop w:val="0"/>
      <w:marBottom w:val="0"/>
      <w:divBdr>
        <w:top w:val="none" w:sz="0" w:space="0" w:color="auto"/>
        <w:left w:val="none" w:sz="0" w:space="0" w:color="auto"/>
        <w:bottom w:val="none" w:sz="0" w:space="0" w:color="auto"/>
        <w:right w:val="none" w:sz="0" w:space="0" w:color="auto"/>
      </w:divBdr>
    </w:div>
    <w:div w:id="1651640430">
      <w:bodyDiv w:val="1"/>
      <w:marLeft w:val="0"/>
      <w:marRight w:val="0"/>
      <w:marTop w:val="0"/>
      <w:marBottom w:val="0"/>
      <w:divBdr>
        <w:top w:val="none" w:sz="0" w:space="0" w:color="auto"/>
        <w:left w:val="none" w:sz="0" w:space="0" w:color="auto"/>
        <w:bottom w:val="none" w:sz="0" w:space="0" w:color="auto"/>
        <w:right w:val="none" w:sz="0" w:space="0" w:color="auto"/>
      </w:divBdr>
    </w:div>
    <w:div w:id="1717313979">
      <w:bodyDiv w:val="1"/>
      <w:marLeft w:val="0"/>
      <w:marRight w:val="0"/>
      <w:marTop w:val="0"/>
      <w:marBottom w:val="0"/>
      <w:divBdr>
        <w:top w:val="none" w:sz="0" w:space="0" w:color="auto"/>
        <w:left w:val="none" w:sz="0" w:space="0" w:color="auto"/>
        <w:bottom w:val="none" w:sz="0" w:space="0" w:color="auto"/>
        <w:right w:val="none" w:sz="0" w:space="0" w:color="auto"/>
      </w:divBdr>
    </w:div>
    <w:div w:id="1816794687">
      <w:bodyDiv w:val="1"/>
      <w:marLeft w:val="0"/>
      <w:marRight w:val="0"/>
      <w:marTop w:val="0"/>
      <w:marBottom w:val="0"/>
      <w:divBdr>
        <w:top w:val="none" w:sz="0" w:space="0" w:color="auto"/>
        <w:left w:val="none" w:sz="0" w:space="0" w:color="auto"/>
        <w:bottom w:val="none" w:sz="0" w:space="0" w:color="auto"/>
        <w:right w:val="none" w:sz="0" w:space="0" w:color="auto"/>
      </w:divBdr>
    </w:div>
    <w:div w:id="185148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2D05A-131F-47E3-85BE-71FFE80D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3431</Words>
  <Characters>17158</Characters>
  <Application>Microsoft Office Word</Application>
  <DocSecurity>0</DocSecurity>
  <Lines>142</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בבית הדין הצבאי לערעורים</vt:lpstr>
      <vt:lpstr>בבית הדין הצבאי לערעורים</vt:lpstr>
    </vt:vector>
  </TitlesOfParts>
  <Company>Mamram</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בבית הדין הצבאי לערעורים</dc:title>
  <dc:subject/>
  <dc:creator>s9162086</dc:creator>
  <cp:keywords/>
  <cp:lastModifiedBy>יבד"ץ 205/בית הדין לערעורים/עוזרת משפטי/קורן שמח</cp:lastModifiedBy>
  <cp:revision>9</cp:revision>
  <cp:lastPrinted>2022-06-13T09:10:00Z</cp:lastPrinted>
  <dcterms:created xsi:type="dcterms:W3CDTF">2022-05-31T08:44:00Z</dcterms:created>
  <dcterms:modified xsi:type="dcterms:W3CDTF">2022-06-13T09:11:00Z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b9bfc-c426-492e-a46c-1a922d5fe54b_Enabled">
    <vt:lpwstr>true</vt:lpwstr>
  </property>
  <property fmtid="{D5CDD505-2E9C-101B-9397-08002B2CF9AE}" pid="3" name="MSIP_Label_701b9bfc-c426-492e-a46c-1a922d5fe54b_SetDate">
    <vt:lpwstr>2022-05-23T13:57:59Z</vt:lpwstr>
  </property>
  <property fmtid="{D5CDD505-2E9C-101B-9397-08002B2CF9AE}" pid="4" name="MSIP_Label_701b9bfc-c426-492e-a46c-1a922d5fe54b_Method">
    <vt:lpwstr>Privileged</vt:lpwstr>
  </property>
  <property fmtid="{D5CDD505-2E9C-101B-9397-08002B2CF9AE}" pid="5" name="MSIP_Label_701b9bfc-c426-492e-a46c-1a922d5fe54b_Name">
    <vt:lpwstr>בלמ"ס</vt:lpwstr>
  </property>
  <property fmtid="{D5CDD505-2E9C-101B-9397-08002B2CF9AE}" pid="6" name="MSIP_Label_701b9bfc-c426-492e-a46c-1a922d5fe54b_SiteId">
    <vt:lpwstr>78820852-55fa-450b-908d-45c0d911e76b</vt:lpwstr>
  </property>
  <property fmtid="{D5CDD505-2E9C-101B-9397-08002B2CF9AE}" pid="7" name="MSIP_Label_701b9bfc-c426-492e-a46c-1a922d5fe54b_ActionId">
    <vt:lpwstr>812362ba-2a22-4fe1-86ff-645e41b92c17</vt:lpwstr>
  </property>
  <property fmtid="{D5CDD505-2E9C-101B-9397-08002B2CF9AE}" pid="8" name="MSIP_Label_701b9bfc-c426-492e-a46c-1a922d5fe54b_ContentBits">
    <vt:lpwstr>1</vt:lpwstr>
  </property>
</Properties>
</file>