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״,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כוחות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מגלים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ומגיעים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להישגים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הגזרות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איתנה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ואזרחיה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ההישגים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כוחותינו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אתגרים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בהפעלת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נורמטיביים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הפעילות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נדרשים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להילחם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לאזורי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מסחר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נותרים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וסחורות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לתושבי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ובמסירות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הנפש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בסדיר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ובמילואים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עדים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לתופעות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פסולות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והשחתת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המנוגדות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פקודיך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תופעת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שיסייעו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חשיבות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המשמעת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וטוהר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ליכולתנו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במשימותינו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מתרחשת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כשחייל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לצרכיו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ובניגוד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ננטש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שייהרס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תמורה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האסורה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מנוגדת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מנוגדת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ולדמותו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גניבה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במשמעת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ובמקצועיות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ולהתפתחותה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שיביאו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שחיקה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מוסרית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התמיכה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הציבורית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הנרחבת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יורד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="360" w:lineRule="auto"/>
        <w:ind w:left="720" w:hanging="360"/>
      </w:pPr>
      <w:r w:rsidDel="00000000" w:rsidR="00000000" w:rsidRPr="00000000">
        <w:rPr>
          <w:rFonts w:ascii="David" w:cs="David" w:eastAsia="David" w:hAnsi="David"/>
          <w:rtl w:val="1"/>
        </w:rPr>
        <w:t xml:space="preserve">חשיפה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בתקשורת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תודעתי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ומסייעת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בלגיטימציה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העולמית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חיוניים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מסמכים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ושלל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טכני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כדוגמת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וארגוני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ובאישור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שרשרת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הפיקוד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פיקודיים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פועלים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בנחישות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איתנה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ובהתמדה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בגזרות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ובתווך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מלחמתנו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בארגוני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ובמחבלים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הפועלים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ריכוזי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אוכלוסייה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באזרחים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נוכח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הגוברת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להבחין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לאסור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ולפעול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מהחובה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במשימותינו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טוהר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מעצב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דמותו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נשתמש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בנשקנו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ובכוחנו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הנדרשת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ונקפיד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והנהלים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מרחבי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והשהייה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מחזקת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חוסנם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יכולתם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במשימתם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אתגרי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שלמותם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וצמצום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הקפדה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מעצבת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דמותו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ממלכתי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ניצבים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הלגיטימציה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להבטיח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חופש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משימותיו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כתיבה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חופשית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....</w:t>
      </w:r>
    </w:p>
    <w:p w:rsidR="00000000" w:rsidDel="00000000" w:rsidP="00000000" w:rsidRDefault="00000000" w:rsidRPr="00000000" w14:paraId="00000027">
      <w:pPr>
        <w:bidi w:val="1"/>
        <w:spacing w:line="48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QNCZhlpyeK9AweeyoSYNPj3VA==">CgMxLjA4AHIhMUxpVGZyU2hBRlNieWlHWVl0dHJQSVd4ZER0cGhvRVd5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