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60" w:rsidRPr="00F775D3" w:rsidRDefault="00C23E60" w:rsidP="00C23E60">
      <w:pPr>
        <w:ind w:left="29"/>
        <w:jc w:val="center"/>
        <w:rPr>
          <w:b/>
          <w:bCs/>
          <w:sz w:val="32"/>
          <w:szCs w:val="32"/>
          <w:rtl/>
        </w:rPr>
      </w:pPr>
      <w:r>
        <w:rPr>
          <w:rFonts w:hint="cs"/>
          <w:b/>
          <w:bCs/>
          <w:sz w:val="32"/>
          <w:szCs w:val="32"/>
          <w:rtl/>
        </w:rPr>
        <w:t xml:space="preserve">צ ב א      </w:t>
      </w:r>
      <w:r w:rsidRPr="00F775D3">
        <w:rPr>
          <w:rFonts w:hint="cs"/>
          <w:b/>
          <w:bCs/>
          <w:sz w:val="32"/>
          <w:szCs w:val="32"/>
          <w:rtl/>
        </w:rPr>
        <w:t>ה ג נ ה      ל י ש ר א ל</w:t>
      </w:r>
    </w:p>
    <w:p w:rsidR="00C23E60" w:rsidRDefault="00C23E60" w:rsidP="00C23E60">
      <w:pPr>
        <w:ind w:left="29"/>
        <w:jc w:val="center"/>
        <w:rPr>
          <w:rtl/>
        </w:rPr>
      </w:pPr>
    </w:p>
    <w:p w:rsidR="00C23E60" w:rsidRDefault="00C23E60" w:rsidP="00C23E60">
      <w:pPr>
        <w:ind w:left="29"/>
        <w:jc w:val="center"/>
        <w:rPr>
          <w:rtl/>
        </w:rPr>
      </w:pPr>
    </w:p>
    <w:p w:rsidR="00C23E60" w:rsidRPr="00614426" w:rsidRDefault="00C23E60" w:rsidP="00D83F2B">
      <w:pPr>
        <w:ind w:left="29"/>
        <w:jc w:val="center"/>
        <w:rPr>
          <w:b/>
          <w:bCs/>
          <w:sz w:val="30"/>
          <w:szCs w:val="30"/>
          <w:rtl/>
        </w:rPr>
      </w:pPr>
      <w:r w:rsidRPr="00614426">
        <w:rPr>
          <w:rFonts w:hint="cs"/>
          <w:b/>
          <w:bCs/>
          <w:sz w:val="30"/>
          <w:szCs w:val="30"/>
          <w:rtl/>
        </w:rPr>
        <w:t xml:space="preserve">צו בדבר ניהול מועצות </w:t>
      </w:r>
      <w:r>
        <w:rPr>
          <w:rFonts w:hint="cs"/>
          <w:b/>
          <w:bCs/>
          <w:sz w:val="30"/>
          <w:szCs w:val="30"/>
          <w:rtl/>
        </w:rPr>
        <w:t>מקומיות</w:t>
      </w:r>
      <w:r w:rsidRPr="00614426">
        <w:rPr>
          <w:rFonts w:hint="cs"/>
          <w:b/>
          <w:bCs/>
          <w:sz w:val="30"/>
          <w:szCs w:val="30"/>
          <w:rtl/>
        </w:rPr>
        <w:t xml:space="preserve"> (יהודה והשומרון) (מס' </w:t>
      </w:r>
      <w:r>
        <w:rPr>
          <w:rFonts w:hint="cs"/>
          <w:b/>
          <w:bCs/>
          <w:sz w:val="30"/>
          <w:szCs w:val="30"/>
          <w:rtl/>
        </w:rPr>
        <w:t>892</w:t>
      </w:r>
      <w:r w:rsidRPr="00614426">
        <w:rPr>
          <w:rFonts w:hint="cs"/>
          <w:b/>
          <w:bCs/>
          <w:sz w:val="30"/>
          <w:szCs w:val="30"/>
          <w:rtl/>
        </w:rPr>
        <w:t xml:space="preserve">), </w:t>
      </w:r>
      <w:r>
        <w:rPr>
          <w:rFonts w:hint="cs"/>
          <w:b/>
          <w:bCs/>
          <w:sz w:val="30"/>
          <w:szCs w:val="30"/>
          <w:rtl/>
        </w:rPr>
        <w:t>תשמ"א-1981</w:t>
      </w:r>
    </w:p>
    <w:p w:rsidR="00C23E60" w:rsidRDefault="00C23E60" w:rsidP="00C23E60">
      <w:pPr>
        <w:ind w:left="29"/>
        <w:jc w:val="center"/>
        <w:rPr>
          <w:b/>
          <w:bCs/>
          <w:sz w:val="30"/>
          <w:szCs w:val="30"/>
          <w:u w:val="single"/>
          <w:rtl/>
        </w:rPr>
      </w:pPr>
    </w:p>
    <w:p w:rsidR="00C23E60" w:rsidRDefault="00C23E60" w:rsidP="00C23E60">
      <w:pPr>
        <w:ind w:left="29"/>
        <w:jc w:val="center"/>
        <w:rPr>
          <w:b/>
          <w:bCs/>
          <w:sz w:val="30"/>
          <w:szCs w:val="30"/>
          <w:u w:val="single"/>
          <w:rtl/>
        </w:rPr>
      </w:pPr>
    </w:p>
    <w:p w:rsidR="00C23E60" w:rsidRPr="00614426" w:rsidRDefault="00C23E60" w:rsidP="00D82976">
      <w:pPr>
        <w:ind w:left="29"/>
        <w:jc w:val="center"/>
        <w:rPr>
          <w:b/>
          <w:bCs/>
          <w:sz w:val="30"/>
          <w:szCs w:val="30"/>
          <w:rtl/>
        </w:rPr>
      </w:pPr>
      <w:r>
        <w:rPr>
          <w:rFonts w:hint="cs"/>
          <w:b/>
          <w:bCs/>
          <w:sz w:val="30"/>
          <w:szCs w:val="30"/>
          <w:rtl/>
        </w:rPr>
        <w:t xml:space="preserve">תקנון המועצות המקומיות (תיקון מס' </w:t>
      </w:r>
      <w:r w:rsidR="00D82976">
        <w:rPr>
          <w:rFonts w:hint="cs"/>
          <w:b/>
          <w:bCs/>
          <w:sz w:val="30"/>
          <w:szCs w:val="30"/>
          <w:rtl/>
        </w:rPr>
        <w:t>229</w:t>
      </w:r>
      <w:r>
        <w:rPr>
          <w:rFonts w:hint="cs"/>
          <w:b/>
          <w:bCs/>
          <w:sz w:val="30"/>
          <w:szCs w:val="30"/>
          <w:rtl/>
        </w:rPr>
        <w:t>)</w:t>
      </w:r>
    </w:p>
    <w:p w:rsidR="00C23E60" w:rsidRDefault="00C23E60" w:rsidP="00C23E60">
      <w:pPr>
        <w:rPr>
          <w:rtl/>
        </w:rPr>
      </w:pPr>
    </w:p>
    <w:p w:rsidR="00C23E60" w:rsidRDefault="00C23E60" w:rsidP="00C23E60">
      <w:pPr>
        <w:rPr>
          <w:rtl/>
        </w:rPr>
      </w:pPr>
    </w:p>
    <w:p w:rsidR="00C23E60" w:rsidRDefault="00C23E60" w:rsidP="00C23E60">
      <w:pPr>
        <w:rPr>
          <w:rtl/>
        </w:rPr>
      </w:pPr>
    </w:p>
    <w:p w:rsidR="00C23E60" w:rsidRDefault="00C23E60" w:rsidP="00D83F2B">
      <w:pPr>
        <w:pStyle w:val="a3"/>
        <w:ind w:left="-180" w:right="-360"/>
        <w:jc w:val="both"/>
        <w:rPr>
          <w:sz w:val="26"/>
          <w:szCs w:val="26"/>
          <w:rtl/>
        </w:rPr>
      </w:pPr>
      <w:r w:rsidRPr="00F775D3">
        <w:rPr>
          <w:sz w:val="26"/>
          <w:szCs w:val="26"/>
          <w:rtl/>
        </w:rPr>
        <w:t>בתו</w:t>
      </w:r>
      <w:r>
        <w:rPr>
          <w:sz w:val="26"/>
          <w:szCs w:val="26"/>
          <w:rtl/>
        </w:rPr>
        <w:t xml:space="preserve">קף סמכותי </w:t>
      </w:r>
      <w:r>
        <w:rPr>
          <w:rFonts w:hint="cs"/>
          <w:sz w:val="26"/>
          <w:szCs w:val="26"/>
          <w:rtl/>
        </w:rPr>
        <w:t xml:space="preserve">לפי סעיף 2 לצו בדבר ניהול מועצות מקומיות </w:t>
      </w:r>
      <w:r w:rsidRPr="00076FD0">
        <w:rPr>
          <w:sz w:val="26"/>
          <w:szCs w:val="26"/>
          <w:rtl/>
        </w:rPr>
        <w:t>(יהודה והשומרון) (מס' 892), תשמ"א-1981</w:t>
      </w:r>
      <w:r>
        <w:rPr>
          <w:rFonts w:hint="cs"/>
          <w:sz w:val="26"/>
          <w:szCs w:val="26"/>
          <w:rtl/>
        </w:rPr>
        <w:t>, ויתר סמכויותיי לפי כל דין ותחיקת בטחון,</w:t>
      </w:r>
      <w:r w:rsidRPr="00F775D3">
        <w:rPr>
          <w:sz w:val="26"/>
          <w:szCs w:val="26"/>
          <w:rtl/>
        </w:rPr>
        <w:t xml:space="preserve"> </w:t>
      </w:r>
      <w:r>
        <w:rPr>
          <w:sz w:val="26"/>
          <w:szCs w:val="26"/>
          <w:rtl/>
        </w:rPr>
        <w:t>הנני מצווה ב</w:t>
      </w:r>
      <w:r>
        <w:rPr>
          <w:rFonts w:hint="cs"/>
          <w:sz w:val="26"/>
          <w:szCs w:val="26"/>
          <w:rtl/>
        </w:rPr>
        <w:t>זה</w:t>
      </w:r>
      <w:r w:rsidRPr="00F775D3">
        <w:rPr>
          <w:sz w:val="26"/>
          <w:szCs w:val="26"/>
          <w:rtl/>
        </w:rPr>
        <w:t xml:space="preserve"> לאמור:</w:t>
      </w:r>
    </w:p>
    <w:p w:rsidR="00B9007C" w:rsidRDefault="00D82976">
      <w:pPr>
        <w:rPr>
          <w:rtl/>
        </w:rPr>
      </w:pPr>
    </w:p>
    <w:p w:rsidR="00C23E60" w:rsidRDefault="00C23E60">
      <w:pPr>
        <w:rPr>
          <w:rtl/>
        </w:rPr>
      </w:pPr>
    </w:p>
    <w:p w:rsidR="00C23E60" w:rsidRDefault="00C23E60">
      <w:pPr>
        <w:rPr>
          <w:rtl/>
        </w:rPr>
      </w:pPr>
    </w:p>
    <w:tbl>
      <w:tblPr>
        <w:bidiVisual/>
        <w:tblW w:w="11057" w:type="dxa"/>
        <w:tblInd w:w="-1225" w:type="dxa"/>
        <w:tblLayout w:type="fixed"/>
        <w:tblLook w:val="0000" w:firstRow="0" w:lastRow="0" w:firstColumn="0" w:lastColumn="0" w:noHBand="0" w:noVBand="0"/>
      </w:tblPr>
      <w:tblGrid>
        <w:gridCol w:w="1275"/>
        <w:gridCol w:w="1134"/>
        <w:gridCol w:w="851"/>
        <w:gridCol w:w="567"/>
        <w:gridCol w:w="573"/>
        <w:gridCol w:w="561"/>
        <w:gridCol w:w="6096"/>
      </w:tblGrid>
      <w:tr w:rsidR="00DA0438" w:rsidTr="005A10F9">
        <w:tc>
          <w:tcPr>
            <w:tcW w:w="1275" w:type="dxa"/>
          </w:tcPr>
          <w:p w:rsidR="00DA0438" w:rsidRPr="00DA0438" w:rsidRDefault="00DA0438" w:rsidP="001941D3">
            <w:pPr>
              <w:rPr>
                <w:b/>
                <w:bCs/>
                <w:sz w:val="16"/>
                <w:szCs w:val="24"/>
                <w:rtl/>
              </w:rPr>
            </w:pPr>
            <w:r w:rsidRPr="00DA0438">
              <w:rPr>
                <w:rFonts w:hint="cs"/>
                <w:b/>
                <w:bCs/>
                <w:sz w:val="16"/>
                <w:szCs w:val="24"/>
                <w:rtl/>
              </w:rPr>
              <w:t>התקשרויות</w:t>
            </w:r>
          </w:p>
        </w:tc>
        <w:tc>
          <w:tcPr>
            <w:tcW w:w="1134" w:type="dxa"/>
          </w:tcPr>
          <w:p w:rsidR="00DA0438" w:rsidRDefault="00DA0438" w:rsidP="00DA0438">
            <w:pPr>
              <w:jc w:val="center"/>
              <w:rPr>
                <w:rtl/>
              </w:rPr>
            </w:pPr>
            <w:r>
              <w:rPr>
                <w:rFonts w:hint="cs"/>
                <w:rtl/>
              </w:rPr>
              <w:t>1.</w:t>
            </w:r>
          </w:p>
        </w:tc>
        <w:tc>
          <w:tcPr>
            <w:tcW w:w="8648" w:type="dxa"/>
            <w:gridSpan w:val="5"/>
          </w:tcPr>
          <w:p w:rsidR="00DA0438" w:rsidRDefault="00DA0438" w:rsidP="001941D3">
            <w:pPr>
              <w:jc w:val="both"/>
              <w:rPr>
                <w:rtl/>
              </w:rPr>
            </w:pPr>
            <w:r>
              <w:rPr>
                <w:rFonts w:hint="cs"/>
                <w:rtl/>
              </w:rPr>
              <w:t>בתקנון המועצות המקומיות (יהודה והשומרון), תשמ"א-1981 (להלן - התקנון), אחרי סעיף 75י יבוא:</w:t>
            </w:r>
          </w:p>
        </w:tc>
      </w:tr>
      <w:tr w:rsidR="00DA0438" w:rsidTr="005A10F9">
        <w:tc>
          <w:tcPr>
            <w:tcW w:w="1275" w:type="dxa"/>
          </w:tcPr>
          <w:p w:rsidR="00DA0438" w:rsidRPr="00DA0438" w:rsidRDefault="00DA0438" w:rsidP="001941D3">
            <w:pPr>
              <w:rPr>
                <w:b/>
                <w:bCs/>
                <w:sz w:val="16"/>
                <w:szCs w:val="24"/>
                <w:rtl/>
              </w:rPr>
            </w:pPr>
          </w:p>
        </w:tc>
        <w:tc>
          <w:tcPr>
            <w:tcW w:w="1134" w:type="dxa"/>
          </w:tcPr>
          <w:p w:rsidR="00DA0438" w:rsidRDefault="00DA0438" w:rsidP="00DA0438">
            <w:pPr>
              <w:jc w:val="center"/>
              <w:rPr>
                <w:rtl/>
              </w:rPr>
            </w:pPr>
          </w:p>
        </w:tc>
        <w:tc>
          <w:tcPr>
            <w:tcW w:w="8648" w:type="dxa"/>
            <w:gridSpan w:val="5"/>
          </w:tcPr>
          <w:p w:rsidR="00DA0438" w:rsidRDefault="00DA0438" w:rsidP="001941D3">
            <w:pPr>
              <w:jc w:val="both"/>
              <w:rPr>
                <w:rtl/>
              </w:rPr>
            </w:pPr>
          </w:p>
        </w:tc>
      </w:tr>
      <w:tr w:rsidR="00DA0438" w:rsidTr="005A10F9">
        <w:tc>
          <w:tcPr>
            <w:tcW w:w="1275" w:type="dxa"/>
          </w:tcPr>
          <w:p w:rsidR="00DA0438" w:rsidRPr="00406D0F" w:rsidRDefault="00DA0438" w:rsidP="001941D3">
            <w:pPr>
              <w:rPr>
                <w:b/>
                <w:bCs/>
                <w:rtl/>
              </w:rPr>
            </w:pPr>
          </w:p>
        </w:tc>
        <w:tc>
          <w:tcPr>
            <w:tcW w:w="1134" w:type="dxa"/>
          </w:tcPr>
          <w:p w:rsidR="00DA0438" w:rsidRPr="00DA0438" w:rsidRDefault="00DA0438" w:rsidP="001941D3">
            <w:pPr>
              <w:jc w:val="both"/>
              <w:rPr>
                <w:b/>
                <w:bCs/>
                <w:sz w:val="14"/>
                <w:szCs w:val="22"/>
                <w:rtl/>
              </w:rPr>
            </w:pPr>
            <w:r w:rsidRPr="00DA0438">
              <w:rPr>
                <w:rFonts w:hint="cs"/>
                <w:b/>
                <w:bCs/>
                <w:sz w:val="14"/>
                <w:szCs w:val="22"/>
                <w:rtl/>
              </w:rPr>
              <w:t>"התקשרות בין איגוד רשויות מקומיות לרשות מקומית</w:t>
            </w:r>
          </w:p>
        </w:tc>
        <w:tc>
          <w:tcPr>
            <w:tcW w:w="851" w:type="dxa"/>
          </w:tcPr>
          <w:p w:rsidR="00DA0438" w:rsidRDefault="00DA0438" w:rsidP="001941D3">
            <w:pPr>
              <w:jc w:val="both"/>
              <w:rPr>
                <w:rtl/>
              </w:rPr>
            </w:pPr>
            <w:r>
              <w:rPr>
                <w:rFonts w:hint="cs"/>
                <w:rtl/>
              </w:rPr>
              <w:t>75י1</w:t>
            </w:r>
          </w:p>
        </w:tc>
        <w:tc>
          <w:tcPr>
            <w:tcW w:w="567" w:type="dxa"/>
          </w:tcPr>
          <w:p w:rsidR="00DA0438" w:rsidRDefault="00DA0438" w:rsidP="001941D3">
            <w:pPr>
              <w:jc w:val="both"/>
              <w:rPr>
                <w:rtl/>
              </w:rPr>
            </w:pPr>
            <w:r>
              <w:rPr>
                <w:rFonts w:hint="cs"/>
                <w:rtl/>
              </w:rPr>
              <w:t>(א)</w:t>
            </w:r>
          </w:p>
        </w:tc>
        <w:tc>
          <w:tcPr>
            <w:tcW w:w="7230" w:type="dxa"/>
            <w:gridSpan w:val="3"/>
          </w:tcPr>
          <w:p w:rsidR="00DA0438" w:rsidRPr="00DA0438" w:rsidRDefault="00DA0438" w:rsidP="00DA0438">
            <w:pPr>
              <w:jc w:val="both"/>
              <w:rPr>
                <w:rtl/>
              </w:rPr>
            </w:pPr>
            <w:r w:rsidRPr="00DA0438">
              <w:rPr>
                <w:rtl/>
              </w:rPr>
              <w:t xml:space="preserve">התקשרות בחוזה למכירת טובין מרשות מקומית החברה באיגוד </w:t>
            </w:r>
            <w:r>
              <w:rPr>
                <w:rFonts w:hint="cs"/>
                <w:rtl/>
              </w:rPr>
              <w:t>רשויות מקומיות</w:t>
            </w:r>
            <w:r w:rsidRPr="00DA0438">
              <w:rPr>
                <w:rtl/>
              </w:rPr>
              <w:t xml:space="preserve"> לאיגוד, לצורך מילוי תפקידיו, אינה טעונה מכרז, ובלבד שמועצת האיגוד ברוב חבריה החליטה על כך, לאחר שהונחה לפניה חוות דעת גזבר האיגוד שלפיה התמורה המשולמת בעבור הטובין אינה חורגת מהתמורה המקובלת לטובין כאמור.</w:t>
            </w:r>
          </w:p>
        </w:tc>
      </w:tr>
      <w:tr w:rsidR="00DA0438" w:rsidTr="005A10F9">
        <w:tc>
          <w:tcPr>
            <w:tcW w:w="1275" w:type="dxa"/>
          </w:tcPr>
          <w:p w:rsidR="00DA0438" w:rsidRPr="00406D0F" w:rsidRDefault="00DA0438" w:rsidP="001941D3">
            <w:pPr>
              <w:rPr>
                <w:b/>
                <w:bCs/>
                <w:rtl/>
              </w:rPr>
            </w:pPr>
          </w:p>
        </w:tc>
        <w:tc>
          <w:tcPr>
            <w:tcW w:w="1134" w:type="dxa"/>
          </w:tcPr>
          <w:p w:rsidR="00DA0438" w:rsidRPr="00DA0438" w:rsidRDefault="00DA0438" w:rsidP="001941D3">
            <w:pPr>
              <w:jc w:val="both"/>
              <w:rPr>
                <w:b/>
                <w:bCs/>
                <w:sz w:val="14"/>
                <w:szCs w:val="22"/>
                <w:rtl/>
              </w:rPr>
            </w:pPr>
          </w:p>
        </w:tc>
        <w:tc>
          <w:tcPr>
            <w:tcW w:w="851" w:type="dxa"/>
          </w:tcPr>
          <w:p w:rsidR="00DA0438" w:rsidRDefault="00DA0438" w:rsidP="001941D3">
            <w:pPr>
              <w:jc w:val="both"/>
              <w:rPr>
                <w:rtl/>
              </w:rPr>
            </w:pPr>
          </w:p>
        </w:tc>
        <w:tc>
          <w:tcPr>
            <w:tcW w:w="567" w:type="dxa"/>
          </w:tcPr>
          <w:p w:rsidR="00DA0438" w:rsidRDefault="00DA0438" w:rsidP="001941D3">
            <w:pPr>
              <w:jc w:val="both"/>
              <w:rPr>
                <w:rtl/>
              </w:rPr>
            </w:pPr>
          </w:p>
        </w:tc>
        <w:tc>
          <w:tcPr>
            <w:tcW w:w="7230" w:type="dxa"/>
            <w:gridSpan w:val="3"/>
          </w:tcPr>
          <w:p w:rsidR="00DA0438" w:rsidRPr="00DA0438" w:rsidRDefault="00DA0438" w:rsidP="00DA0438">
            <w:pPr>
              <w:jc w:val="both"/>
              <w:rPr>
                <w:rtl/>
              </w:rPr>
            </w:pPr>
          </w:p>
        </w:tc>
      </w:tr>
      <w:tr w:rsidR="00DA0438" w:rsidTr="005A10F9">
        <w:tc>
          <w:tcPr>
            <w:tcW w:w="1275" w:type="dxa"/>
          </w:tcPr>
          <w:p w:rsidR="00DA0438" w:rsidRPr="00406D0F" w:rsidRDefault="00DA0438" w:rsidP="001941D3">
            <w:pPr>
              <w:rPr>
                <w:b/>
                <w:bCs/>
                <w:rtl/>
              </w:rPr>
            </w:pPr>
          </w:p>
        </w:tc>
        <w:tc>
          <w:tcPr>
            <w:tcW w:w="1134" w:type="dxa"/>
          </w:tcPr>
          <w:p w:rsidR="00DA0438" w:rsidRPr="00DA0438" w:rsidRDefault="00DA0438" w:rsidP="001941D3">
            <w:pPr>
              <w:jc w:val="both"/>
              <w:rPr>
                <w:b/>
                <w:bCs/>
                <w:sz w:val="14"/>
                <w:szCs w:val="22"/>
                <w:rtl/>
              </w:rPr>
            </w:pPr>
          </w:p>
        </w:tc>
        <w:tc>
          <w:tcPr>
            <w:tcW w:w="851" w:type="dxa"/>
          </w:tcPr>
          <w:p w:rsidR="00DA0438" w:rsidRDefault="00DA0438" w:rsidP="001941D3">
            <w:pPr>
              <w:jc w:val="both"/>
              <w:rPr>
                <w:rtl/>
              </w:rPr>
            </w:pPr>
          </w:p>
        </w:tc>
        <w:tc>
          <w:tcPr>
            <w:tcW w:w="567" w:type="dxa"/>
          </w:tcPr>
          <w:p w:rsidR="00DA0438" w:rsidRDefault="00DA0438" w:rsidP="001941D3">
            <w:pPr>
              <w:jc w:val="both"/>
              <w:rPr>
                <w:rtl/>
              </w:rPr>
            </w:pPr>
            <w:r>
              <w:rPr>
                <w:rFonts w:hint="cs"/>
                <w:rtl/>
              </w:rPr>
              <w:t>(ב)</w:t>
            </w:r>
          </w:p>
        </w:tc>
        <w:tc>
          <w:tcPr>
            <w:tcW w:w="7230" w:type="dxa"/>
            <w:gridSpan w:val="3"/>
          </w:tcPr>
          <w:p w:rsidR="00DA0438" w:rsidRPr="00DA0438" w:rsidRDefault="00DA0438" w:rsidP="00DA0438">
            <w:pPr>
              <w:jc w:val="both"/>
              <w:rPr>
                <w:rtl/>
              </w:rPr>
            </w:pPr>
            <w:r>
              <w:rPr>
                <w:rFonts w:hint="cs"/>
                <w:rtl/>
              </w:rPr>
              <w:t>הממונה רשאי לקבוע כללים לעניין סעיף קטן (א).</w:t>
            </w:r>
            <w:r w:rsidR="00A440BF">
              <w:rPr>
                <w:rFonts w:hint="cs"/>
                <w:rtl/>
              </w:rPr>
              <w:t>".</w:t>
            </w:r>
          </w:p>
        </w:tc>
      </w:tr>
      <w:tr w:rsidR="00DA0438" w:rsidTr="005A10F9">
        <w:tc>
          <w:tcPr>
            <w:tcW w:w="1275" w:type="dxa"/>
          </w:tcPr>
          <w:p w:rsidR="00DA0438" w:rsidRPr="00406D0F" w:rsidRDefault="00DA0438" w:rsidP="001941D3">
            <w:pPr>
              <w:rPr>
                <w:b/>
                <w:bCs/>
                <w:rtl/>
              </w:rPr>
            </w:pPr>
          </w:p>
        </w:tc>
        <w:tc>
          <w:tcPr>
            <w:tcW w:w="1134" w:type="dxa"/>
          </w:tcPr>
          <w:p w:rsidR="00DA0438" w:rsidRPr="00DA0438" w:rsidRDefault="00DA0438" w:rsidP="001941D3">
            <w:pPr>
              <w:jc w:val="both"/>
              <w:rPr>
                <w:b/>
                <w:bCs/>
                <w:sz w:val="14"/>
                <w:szCs w:val="22"/>
                <w:rtl/>
              </w:rPr>
            </w:pPr>
          </w:p>
        </w:tc>
        <w:tc>
          <w:tcPr>
            <w:tcW w:w="851" w:type="dxa"/>
          </w:tcPr>
          <w:p w:rsidR="00DA0438" w:rsidRDefault="00DA0438" w:rsidP="001941D3">
            <w:pPr>
              <w:jc w:val="both"/>
              <w:rPr>
                <w:rtl/>
              </w:rPr>
            </w:pPr>
          </w:p>
        </w:tc>
        <w:tc>
          <w:tcPr>
            <w:tcW w:w="567" w:type="dxa"/>
          </w:tcPr>
          <w:p w:rsidR="00DA0438" w:rsidRDefault="00DA0438" w:rsidP="001941D3">
            <w:pPr>
              <w:jc w:val="both"/>
              <w:rPr>
                <w:rtl/>
              </w:rPr>
            </w:pPr>
          </w:p>
        </w:tc>
        <w:tc>
          <w:tcPr>
            <w:tcW w:w="7230" w:type="dxa"/>
            <w:gridSpan w:val="3"/>
          </w:tcPr>
          <w:p w:rsidR="00DA0438" w:rsidRPr="00DA0438" w:rsidRDefault="00DA0438" w:rsidP="00DA0438">
            <w:pPr>
              <w:jc w:val="both"/>
              <w:rPr>
                <w:rtl/>
              </w:rPr>
            </w:pPr>
          </w:p>
        </w:tc>
      </w:tr>
      <w:tr w:rsidR="00AF44AB" w:rsidTr="005A10F9">
        <w:tc>
          <w:tcPr>
            <w:tcW w:w="1275" w:type="dxa"/>
          </w:tcPr>
          <w:p w:rsidR="00AF44AB" w:rsidRPr="006C092C" w:rsidRDefault="00406D0F" w:rsidP="00406D0F">
            <w:pPr>
              <w:jc w:val="both"/>
              <w:rPr>
                <w:b/>
                <w:bCs/>
                <w:rtl/>
              </w:rPr>
            </w:pPr>
            <w:r w:rsidRPr="006C092C">
              <w:rPr>
                <w:b/>
                <w:bCs/>
                <w:rtl/>
              </w:rPr>
              <w:t xml:space="preserve"> </w:t>
            </w:r>
            <w:r w:rsidRPr="006C092C">
              <w:rPr>
                <w:rFonts w:hint="cs"/>
                <w:b/>
                <w:bCs/>
                <w:rtl/>
              </w:rPr>
              <w:t>איגודי רשויות מקומיות</w:t>
            </w:r>
          </w:p>
        </w:tc>
        <w:tc>
          <w:tcPr>
            <w:tcW w:w="1134" w:type="dxa"/>
          </w:tcPr>
          <w:p w:rsidR="00AF44AB" w:rsidRPr="00796C75" w:rsidRDefault="00DA0438" w:rsidP="00DA0438">
            <w:pPr>
              <w:ind w:left="360"/>
              <w:jc w:val="both"/>
              <w:rPr>
                <w:rtl/>
              </w:rPr>
            </w:pPr>
            <w:r>
              <w:rPr>
                <w:rFonts w:hint="cs"/>
                <w:rtl/>
              </w:rPr>
              <w:t>2.</w:t>
            </w:r>
          </w:p>
        </w:tc>
        <w:tc>
          <w:tcPr>
            <w:tcW w:w="8648" w:type="dxa"/>
            <w:gridSpan w:val="5"/>
          </w:tcPr>
          <w:p w:rsidR="00AF44AB" w:rsidRPr="000A67BB" w:rsidRDefault="00DA0438" w:rsidP="00DD5C76">
            <w:pPr>
              <w:jc w:val="both"/>
              <w:rPr>
                <w:rtl/>
              </w:rPr>
            </w:pPr>
            <w:r>
              <w:rPr>
                <w:rFonts w:hint="cs"/>
                <w:rtl/>
              </w:rPr>
              <w:t xml:space="preserve">אחרי </w:t>
            </w:r>
            <w:r w:rsidR="00406D0F">
              <w:rPr>
                <w:rFonts w:hint="cs"/>
                <w:rtl/>
              </w:rPr>
              <w:t>סעיף 75כא1 יבוא:</w:t>
            </w:r>
          </w:p>
        </w:tc>
      </w:tr>
      <w:tr w:rsidR="00406D0F" w:rsidTr="005A10F9">
        <w:tc>
          <w:tcPr>
            <w:tcW w:w="1275" w:type="dxa"/>
          </w:tcPr>
          <w:p w:rsidR="00406D0F" w:rsidRPr="00DE4863" w:rsidRDefault="00406D0F" w:rsidP="001941D3">
            <w:pPr>
              <w:jc w:val="both"/>
              <w:rPr>
                <w:rtl/>
              </w:rPr>
            </w:pPr>
          </w:p>
        </w:tc>
        <w:tc>
          <w:tcPr>
            <w:tcW w:w="1134" w:type="dxa"/>
            <w:vMerge w:val="restart"/>
          </w:tcPr>
          <w:p w:rsidR="00406D0F" w:rsidRPr="00406D0F" w:rsidRDefault="00406D0F" w:rsidP="00406D0F">
            <w:pPr>
              <w:jc w:val="both"/>
              <w:rPr>
                <w:b/>
                <w:bCs/>
                <w:rtl/>
              </w:rPr>
            </w:pPr>
            <w:r>
              <w:rPr>
                <w:rFonts w:hint="cs"/>
                <w:b/>
                <w:bCs/>
                <w:rtl/>
              </w:rPr>
              <w:t>"</w:t>
            </w:r>
            <w:r w:rsidRPr="00406D0F">
              <w:rPr>
                <w:b/>
                <w:bCs/>
                <w:rtl/>
              </w:rPr>
              <w:t>איגודי רשויות מקומיות</w:t>
            </w:r>
          </w:p>
          <w:p w:rsidR="00406D0F" w:rsidRPr="00406D0F" w:rsidRDefault="00406D0F" w:rsidP="00406D0F">
            <w:pPr>
              <w:jc w:val="both"/>
              <w:rPr>
                <w:b/>
                <w:bCs/>
                <w:rtl/>
              </w:rPr>
            </w:pPr>
            <w:r w:rsidRPr="00406D0F">
              <w:rPr>
                <w:b/>
                <w:bCs/>
                <w:rtl/>
              </w:rPr>
              <w:t xml:space="preserve">מסוג אשכול </w:t>
            </w:r>
          </w:p>
          <w:p w:rsidR="00406D0F" w:rsidRPr="00796C75" w:rsidRDefault="00406D0F" w:rsidP="00406D0F">
            <w:pPr>
              <w:jc w:val="both"/>
              <w:rPr>
                <w:rtl/>
              </w:rPr>
            </w:pPr>
            <w:r w:rsidRPr="00406D0F">
              <w:rPr>
                <w:b/>
                <w:bCs/>
                <w:rtl/>
              </w:rPr>
              <w:t xml:space="preserve">רשויות מקומיות            </w:t>
            </w:r>
          </w:p>
        </w:tc>
        <w:tc>
          <w:tcPr>
            <w:tcW w:w="851" w:type="dxa"/>
          </w:tcPr>
          <w:p w:rsidR="00406D0F" w:rsidRDefault="00406D0F" w:rsidP="001941D3">
            <w:pPr>
              <w:ind w:right="-611"/>
              <w:jc w:val="both"/>
              <w:rPr>
                <w:rtl/>
              </w:rPr>
            </w:pPr>
            <w:r>
              <w:rPr>
                <w:rFonts w:hint="cs"/>
                <w:rtl/>
              </w:rPr>
              <w:t>75כא2</w:t>
            </w:r>
          </w:p>
        </w:tc>
        <w:tc>
          <w:tcPr>
            <w:tcW w:w="7797" w:type="dxa"/>
            <w:gridSpan w:val="4"/>
          </w:tcPr>
          <w:p w:rsidR="00406D0F" w:rsidRPr="005F08B4" w:rsidRDefault="001A08EA" w:rsidP="00406D0F">
            <w:pPr>
              <w:jc w:val="both"/>
              <w:rPr>
                <w:b/>
                <w:bCs/>
                <w:sz w:val="20"/>
                <w:szCs w:val="20"/>
              </w:rPr>
            </w:pPr>
            <w:r>
              <w:rPr>
                <w:rFonts w:hint="cs"/>
                <w:noProof/>
                <w:rtl/>
              </w:rPr>
              <w:t>הוראות פרק זה יחולו גם על איגוד</w:t>
            </w:r>
            <w:r w:rsidR="00406D0F" w:rsidRPr="005F08B4">
              <w:rPr>
                <w:rFonts w:hint="cs"/>
                <w:noProof/>
                <w:rtl/>
              </w:rPr>
              <w:t xml:space="preserve"> רשויות מקומיות שהוא אשכול רשויות מקומיות, המוקם כדי לעודד פיתוח אזורי וקידום שיתופי פעולה, בנושאים שונים, בין הרשויות המקומיו</w:t>
            </w:r>
            <w:r w:rsidR="008D0C47">
              <w:rPr>
                <w:rFonts w:hint="cs"/>
                <w:noProof/>
                <w:rtl/>
              </w:rPr>
              <w:t xml:space="preserve">ת החברות בו (בפרק זה – אשכול), </w:t>
            </w:r>
            <w:r w:rsidR="00406D0F" w:rsidRPr="005F08B4">
              <w:rPr>
                <w:rFonts w:hint="cs"/>
                <w:noProof/>
                <w:rtl/>
              </w:rPr>
              <w:t>בשינויים המחויבים ובשינויים אלה:</w:t>
            </w:r>
          </w:p>
          <w:p w:rsidR="00406D0F" w:rsidRPr="00406D0F" w:rsidRDefault="00406D0F" w:rsidP="001941D3">
            <w:pPr>
              <w:jc w:val="both"/>
              <w:rPr>
                <w:rtl/>
              </w:rPr>
            </w:pPr>
          </w:p>
        </w:tc>
      </w:tr>
      <w:tr w:rsidR="00406D0F" w:rsidTr="005A10F9">
        <w:tc>
          <w:tcPr>
            <w:tcW w:w="1275" w:type="dxa"/>
          </w:tcPr>
          <w:p w:rsidR="00406D0F" w:rsidRPr="00DE4863" w:rsidRDefault="00406D0F" w:rsidP="001941D3">
            <w:pPr>
              <w:jc w:val="both"/>
              <w:rPr>
                <w:rtl/>
              </w:rPr>
            </w:pPr>
          </w:p>
        </w:tc>
        <w:tc>
          <w:tcPr>
            <w:tcW w:w="1134" w:type="dxa"/>
            <w:vMerge/>
          </w:tcPr>
          <w:p w:rsidR="00406D0F" w:rsidRDefault="00406D0F" w:rsidP="00406D0F">
            <w:pPr>
              <w:jc w:val="both"/>
              <w:rPr>
                <w:b/>
                <w:bCs/>
                <w:rtl/>
              </w:rPr>
            </w:pPr>
          </w:p>
        </w:tc>
        <w:tc>
          <w:tcPr>
            <w:tcW w:w="851" w:type="dxa"/>
          </w:tcPr>
          <w:p w:rsidR="00406D0F" w:rsidRDefault="00406D0F" w:rsidP="001941D3">
            <w:pPr>
              <w:ind w:right="-611"/>
              <w:jc w:val="both"/>
              <w:rPr>
                <w:rtl/>
              </w:rPr>
            </w:pPr>
          </w:p>
        </w:tc>
        <w:tc>
          <w:tcPr>
            <w:tcW w:w="7797" w:type="dxa"/>
            <w:gridSpan w:val="4"/>
          </w:tcPr>
          <w:p w:rsidR="00406D0F" w:rsidRPr="005F08B4" w:rsidRDefault="00406D0F" w:rsidP="00406D0F">
            <w:pPr>
              <w:jc w:val="both"/>
              <w:rPr>
                <w:noProof/>
                <w:rtl/>
              </w:rPr>
            </w:pPr>
          </w:p>
        </w:tc>
      </w:tr>
      <w:tr w:rsidR="00406D0F" w:rsidTr="005A10F9">
        <w:tc>
          <w:tcPr>
            <w:tcW w:w="1275" w:type="dxa"/>
          </w:tcPr>
          <w:p w:rsidR="00406D0F" w:rsidRPr="00DE4863" w:rsidRDefault="00406D0F" w:rsidP="001941D3">
            <w:pPr>
              <w:jc w:val="both"/>
              <w:rPr>
                <w:rtl/>
              </w:rPr>
            </w:pPr>
          </w:p>
        </w:tc>
        <w:tc>
          <w:tcPr>
            <w:tcW w:w="1134" w:type="dxa"/>
            <w:vMerge/>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r>
              <w:rPr>
                <w:rFonts w:hint="cs"/>
                <w:rtl/>
              </w:rPr>
              <w:t>(1)</w:t>
            </w:r>
          </w:p>
        </w:tc>
        <w:tc>
          <w:tcPr>
            <w:tcW w:w="7230" w:type="dxa"/>
            <w:gridSpan w:val="3"/>
            <w:shd w:val="clear" w:color="auto" w:fill="auto"/>
          </w:tcPr>
          <w:p w:rsidR="00406D0F" w:rsidRPr="000A67BB" w:rsidRDefault="00406D0F" w:rsidP="001941D3">
            <w:pPr>
              <w:jc w:val="both"/>
              <w:rPr>
                <w:rtl/>
              </w:rPr>
            </w:pPr>
            <w:r w:rsidRPr="005F08B4">
              <w:rPr>
                <w:rFonts w:hint="cs"/>
                <w:noProof/>
                <w:rtl/>
              </w:rPr>
              <w:t>בכפוף להוראות סעיף 75ב, לא יוקם אשכול אלא לבקשת הרשויות המקומיות האמורות להיכלל בתחומו;</w:t>
            </w:r>
          </w:p>
        </w:tc>
      </w:tr>
      <w:tr w:rsidR="00406D0F" w:rsidTr="005A10F9">
        <w:tc>
          <w:tcPr>
            <w:tcW w:w="1275" w:type="dxa"/>
          </w:tcPr>
          <w:p w:rsidR="00406D0F" w:rsidRPr="00DE4863" w:rsidRDefault="00406D0F" w:rsidP="001941D3">
            <w:pPr>
              <w:jc w:val="both"/>
              <w:rPr>
                <w:rtl/>
              </w:rPr>
            </w:pPr>
          </w:p>
        </w:tc>
        <w:tc>
          <w:tcPr>
            <w:tcW w:w="1134" w:type="dxa"/>
            <w:vMerge/>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7230" w:type="dxa"/>
            <w:gridSpan w:val="3"/>
            <w:shd w:val="clear" w:color="auto" w:fill="auto"/>
          </w:tcPr>
          <w:p w:rsidR="00406D0F" w:rsidRPr="005F08B4" w:rsidRDefault="00406D0F" w:rsidP="001941D3">
            <w:pPr>
              <w:jc w:val="both"/>
              <w:rPr>
                <w:noProof/>
                <w:rtl/>
              </w:rPr>
            </w:pPr>
          </w:p>
        </w:tc>
      </w:tr>
      <w:tr w:rsidR="00406D0F" w:rsidTr="005A10F9">
        <w:tc>
          <w:tcPr>
            <w:tcW w:w="1275" w:type="dxa"/>
          </w:tcPr>
          <w:p w:rsidR="00406D0F" w:rsidRPr="00DE4863" w:rsidRDefault="00406D0F" w:rsidP="001941D3">
            <w:pPr>
              <w:jc w:val="both"/>
              <w:rPr>
                <w:rtl/>
              </w:rPr>
            </w:pPr>
          </w:p>
        </w:tc>
        <w:tc>
          <w:tcPr>
            <w:tcW w:w="1134" w:type="dxa"/>
            <w:vMerge/>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r>
              <w:rPr>
                <w:rFonts w:hint="cs"/>
                <w:rtl/>
              </w:rPr>
              <w:t>(2)</w:t>
            </w:r>
          </w:p>
        </w:tc>
        <w:tc>
          <w:tcPr>
            <w:tcW w:w="573" w:type="dxa"/>
            <w:shd w:val="clear" w:color="auto" w:fill="auto"/>
          </w:tcPr>
          <w:p w:rsidR="00406D0F" w:rsidRDefault="00406D0F" w:rsidP="001941D3">
            <w:pPr>
              <w:jc w:val="both"/>
              <w:rPr>
                <w:rtl/>
              </w:rPr>
            </w:pPr>
            <w:r>
              <w:rPr>
                <w:rFonts w:hint="cs"/>
                <w:rtl/>
              </w:rPr>
              <w:t>(א)</w:t>
            </w:r>
          </w:p>
        </w:tc>
        <w:tc>
          <w:tcPr>
            <w:tcW w:w="6657" w:type="dxa"/>
            <w:gridSpan w:val="2"/>
            <w:shd w:val="clear" w:color="auto" w:fill="auto"/>
          </w:tcPr>
          <w:p w:rsidR="00406D0F" w:rsidRPr="000A67BB" w:rsidRDefault="00406D0F" w:rsidP="00406D0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34"/>
              <w:jc w:val="both"/>
              <w:rPr>
                <w:noProof/>
                <w:rtl/>
              </w:rPr>
            </w:pPr>
            <w:r w:rsidRPr="005F08B4">
              <w:rPr>
                <w:rFonts w:hint="cs"/>
                <w:noProof/>
                <w:rtl/>
              </w:rPr>
              <w:t>נוסף על תפקידיו וסמכויותיו של אשכול שנקבעו בצו המקים לפי סעיף 75יד(3), ובכפוף להוראות שנקבעו בו, רשות מקומית החברה באשכול רשאית, על פי הצעת ראש הרשות המקומית שאושרה בידי מועצת הרשות המקומית, לאצול לאשכול מסמכותה על פי כל חיקוק או להטיל עליו תפקיד שהוטל עליה על פי כל חיקוק;</w:t>
            </w: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573" w:type="dxa"/>
            <w:shd w:val="clear" w:color="auto" w:fill="auto"/>
          </w:tcPr>
          <w:p w:rsidR="00406D0F" w:rsidRDefault="00406D0F" w:rsidP="001941D3">
            <w:pPr>
              <w:jc w:val="both"/>
              <w:rPr>
                <w:rtl/>
              </w:rPr>
            </w:pPr>
          </w:p>
        </w:tc>
        <w:tc>
          <w:tcPr>
            <w:tcW w:w="6657" w:type="dxa"/>
            <w:gridSpan w:val="2"/>
            <w:shd w:val="clear" w:color="auto" w:fill="auto"/>
          </w:tcPr>
          <w:p w:rsidR="00406D0F" w:rsidRPr="000A67BB" w:rsidRDefault="00406D0F" w:rsidP="001941D3">
            <w:pPr>
              <w:jc w:val="both"/>
              <w:rPr>
                <w:rtl/>
              </w:rPr>
            </w:pP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573" w:type="dxa"/>
            <w:shd w:val="clear" w:color="auto" w:fill="auto"/>
          </w:tcPr>
          <w:p w:rsidR="00406D0F" w:rsidRDefault="00406D0F" w:rsidP="001941D3">
            <w:pPr>
              <w:jc w:val="both"/>
              <w:rPr>
                <w:rtl/>
              </w:rPr>
            </w:pPr>
            <w:r>
              <w:rPr>
                <w:rFonts w:hint="cs"/>
                <w:rtl/>
              </w:rPr>
              <w:t>(ב)</w:t>
            </w:r>
          </w:p>
        </w:tc>
        <w:tc>
          <w:tcPr>
            <w:tcW w:w="6657" w:type="dxa"/>
            <w:gridSpan w:val="2"/>
            <w:shd w:val="clear" w:color="auto" w:fill="auto"/>
          </w:tcPr>
          <w:p w:rsidR="00406D0F" w:rsidRPr="000A67BB" w:rsidRDefault="00406D0F" w:rsidP="001941D3">
            <w:pPr>
              <w:jc w:val="both"/>
              <w:rPr>
                <w:rtl/>
              </w:rPr>
            </w:pPr>
            <w:r w:rsidRPr="005F08B4">
              <w:rPr>
                <w:rFonts w:hint="cs"/>
                <w:noProof/>
                <w:rtl/>
              </w:rPr>
              <w:t>אצילת סמכות או הטלת תפקיד לפי פסקה זו טעונה החלטה של מועצת האשכול ברוב חבריה, לאחר שהשתכנעה שלא יהיה בכך כדי לפגוע ביכולתו של האשכול למלא את התפקידים והסמכויות שנקבעו בצו המקים; רשות מקומית החברה באשכול והרואה את עצמה נפגעת מהחלטת המועצה לפי פסקת משנה זו רשאית להגיש לממונה ערר מנומק בכתב על ההחלטה בתוך 7 ימים מיום קבלת ההחלטה; הוגש ערר כאמור, רשאי הממונה לבטל את ההחלטה או לאשרה, בשינויים או בתנאים;</w:t>
            </w: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573" w:type="dxa"/>
            <w:shd w:val="clear" w:color="auto" w:fill="auto"/>
          </w:tcPr>
          <w:p w:rsidR="00406D0F" w:rsidRDefault="00406D0F" w:rsidP="001941D3">
            <w:pPr>
              <w:jc w:val="both"/>
              <w:rPr>
                <w:rtl/>
              </w:rPr>
            </w:pPr>
          </w:p>
        </w:tc>
        <w:tc>
          <w:tcPr>
            <w:tcW w:w="6657" w:type="dxa"/>
            <w:gridSpan w:val="2"/>
            <w:shd w:val="clear" w:color="auto" w:fill="auto"/>
          </w:tcPr>
          <w:p w:rsidR="00406D0F" w:rsidRPr="005F08B4" w:rsidRDefault="00406D0F" w:rsidP="001941D3">
            <w:pPr>
              <w:jc w:val="both"/>
              <w:rPr>
                <w:noProof/>
                <w:rtl/>
              </w:rPr>
            </w:pP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573" w:type="dxa"/>
            <w:shd w:val="clear" w:color="auto" w:fill="auto"/>
          </w:tcPr>
          <w:p w:rsidR="00406D0F" w:rsidRDefault="00406D0F" w:rsidP="001941D3">
            <w:pPr>
              <w:jc w:val="both"/>
              <w:rPr>
                <w:rtl/>
              </w:rPr>
            </w:pPr>
            <w:r>
              <w:rPr>
                <w:rFonts w:hint="cs"/>
                <w:rtl/>
              </w:rPr>
              <w:t>(ג)</w:t>
            </w:r>
          </w:p>
        </w:tc>
        <w:tc>
          <w:tcPr>
            <w:tcW w:w="6657" w:type="dxa"/>
            <w:gridSpan w:val="2"/>
            <w:shd w:val="clear" w:color="auto" w:fill="auto"/>
          </w:tcPr>
          <w:p w:rsidR="00406D0F" w:rsidRPr="005F08B4" w:rsidRDefault="00406D0F" w:rsidP="00D83F2B">
            <w:pPr>
              <w:jc w:val="both"/>
              <w:rPr>
                <w:noProof/>
                <w:rtl/>
              </w:rPr>
            </w:pPr>
            <w:r w:rsidRPr="005F08B4">
              <w:rPr>
                <w:rFonts w:hint="cs"/>
                <w:noProof/>
                <w:rtl/>
              </w:rPr>
              <w:t>הודעה על אצילת סמכות או הטלת תפקיד לפי פסקה זו תפורסם באתר האינטרנט של האשכול ובאתר</w:t>
            </w:r>
            <w:r w:rsidR="00D83F2B">
              <w:rPr>
                <w:rFonts w:hint="cs"/>
                <w:noProof/>
                <w:rtl/>
              </w:rPr>
              <w:t>י</w:t>
            </w:r>
            <w:r w:rsidRPr="005F08B4">
              <w:rPr>
                <w:rFonts w:hint="cs"/>
                <w:noProof/>
                <w:rtl/>
              </w:rPr>
              <w:t xml:space="preserve"> האינטרנט של הרשו</w:t>
            </w:r>
            <w:r w:rsidR="00D83F2B">
              <w:rPr>
                <w:rFonts w:hint="cs"/>
                <w:noProof/>
                <w:rtl/>
              </w:rPr>
              <w:t>יו</w:t>
            </w:r>
            <w:r w:rsidRPr="005F08B4">
              <w:rPr>
                <w:rFonts w:hint="cs"/>
                <w:noProof/>
                <w:rtl/>
              </w:rPr>
              <w:t>ת המקומ</w:t>
            </w:r>
            <w:r w:rsidR="00D83F2B">
              <w:rPr>
                <w:rFonts w:hint="cs"/>
                <w:noProof/>
                <w:rtl/>
              </w:rPr>
              <w:t>י</w:t>
            </w:r>
            <w:r w:rsidRPr="005F08B4">
              <w:rPr>
                <w:rFonts w:hint="cs"/>
                <w:noProof/>
                <w:rtl/>
              </w:rPr>
              <w:t>ות והיא תיכנס לתוקף בתום 7 ימים מיום קבלת ההחלטה כאמור בסעיף קטן (ב), ואם הוגש ערר כאמור באותו סעיף קטן – ביום החלטת הממונה בערר;</w:t>
            </w: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573" w:type="dxa"/>
            <w:shd w:val="clear" w:color="auto" w:fill="auto"/>
          </w:tcPr>
          <w:p w:rsidR="00406D0F" w:rsidRDefault="00406D0F" w:rsidP="001941D3">
            <w:pPr>
              <w:jc w:val="both"/>
              <w:rPr>
                <w:rtl/>
              </w:rPr>
            </w:pPr>
          </w:p>
        </w:tc>
        <w:tc>
          <w:tcPr>
            <w:tcW w:w="6657" w:type="dxa"/>
            <w:gridSpan w:val="2"/>
            <w:shd w:val="clear" w:color="auto" w:fill="auto"/>
          </w:tcPr>
          <w:p w:rsidR="00406D0F" w:rsidRPr="005F08B4" w:rsidRDefault="00406D0F" w:rsidP="001941D3">
            <w:pPr>
              <w:jc w:val="both"/>
              <w:rPr>
                <w:noProof/>
                <w:rtl/>
              </w:rPr>
            </w:pP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573" w:type="dxa"/>
            <w:shd w:val="clear" w:color="auto" w:fill="auto"/>
          </w:tcPr>
          <w:p w:rsidR="00406D0F" w:rsidRDefault="00406D0F" w:rsidP="001941D3">
            <w:pPr>
              <w:jc w:val="both"/>
              <w:rPr>
                <w:rtl/>
              </w:rPr>
            </w:pPr>
            <w:r>
              <w:rPr>
                <w:rFonts w:hint="cs"/>
                <w:rtl/>
              </w:rPr>
              <w:t>(ד)</w:t>
            </w:r>
          </w:p>
        </w:tc>
        <w:tc>
          <w:tcPr>
            <w:tcW w:w="6657" w:type="dxa"/>
            <w:gridSpan w:val="2"/>
            <w:shd w:val="clear" w:color="auto" w:fill="auto"/>
          </w:tcPr>
          <w:p w:rsidR="00406D0F" w:rsidRPr="000A67BB" w:rsidRDefault="00406D0F" w:rsidP="001941D3">
            <w:pPr>
              <w:jc w:val="both"/>
              <w:rPr>
                <w:rtl/>
              </w:rPr>
            </w:pPr>
            <w:r w:rsidRPr="005F08B4">
              <w:rPr>
                <w:rFonts w:hint="cs"/>
                <w:noProof/>
                <w:rtl/>
              </w:rPr>
              <w:t>על סמכויות שנאצלו ותפקידים שהוטלו לפי פסקה זו לא יחולו הוראות סעיף 75ט;</w:t>
            </w: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573" w:type="dxa"/>
            <w:shd w:val="clear" w:color="auto" w:fill="auto"/>
          </w:tcPr>
          <w:p w:rsidR="00406D0F" w:rsidRDefault="00406D0F" w:rsidP="001941D3">
            <w:pPr>
              <w:jc w:val="both"/>
              <w:rPr>
                <w:rtl/>
              </w:rPr>
            </w:pPr>
          </w:p>
        </w:tc>
        <w:tc>
          <w:tcPr>
            <w:tcW w:w="6657" w:type="dxa"/>
            <w:gridSpan w:val="2"/>
            <w:shd w:val="clear" w:color="auto" w:fill="auto"/>
          </w:tcPr>
          <w:p w:rsidR="00406D0F" w:rsidRPr="005F08B4" w:rsidRDefault="00406D0F" w:rsidP="001941D3">
            <w:pPr>
              <w:jc w:val="both"/>
              <w:rPr>
                <w:noProof/>
                <w:rtl/>
              </w:rPr>
            </w:pP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r>
              <w:rPr>
                <w:rFonts w:hint="cs"/>
                <w:rtl/>
              </w:rPr>
              <w:t>(3)</w:t>
            </w:r>
          </w:p>
        </w:tc>
        <w:tc>
          <w:tcPr>
            <w:tcW w:w="7230" w:type="dxa"/>
            <w:gridSpan w:val="3"/>
            <w:shd w:val="clear" w:color="auto" w:fill="auto"/>
          </w:tcPr>
          <w:p w:rsidR="00406D0F" w:rsidRPr="005F08B4" w:rsidRDefault="00406D0F" w:rsidP="001941D3">
            <w:pPr>
              <w:jc w:val="both"/>
              <w:rPr>
                <w:noProof/>
                <w:rtl/>
              </w:rPr>
            </w:pPr>
            <w:r w:rsidRPr="005F08B4">
              <w:rPr>
                <w:rFonts w:hint="cs"/>
                <w:noProof/>
                <w:rtl/>
              </w:rPr>
              <w:t>על האף האמור בסעיף 75טז, לא יפעיל הממונה</w:t>
            </w:r>
            <w:r w:rsidR="00FE14BE">
              <w:rPr>
                <w:rFonts w:hint="cs"/>
                <w:noProof/>
                <w:rtl/>
              </w:rPr>
              <w:t xml:space="preserve"> את סמכותו לפי </w:t>
            </w:r>
            <w:r w:rsidRPr="005F08B4">
              <w:rPr>
                <w:rFonts w:hint="cs"/>
                <w:noProof/>
                <w:rtl/>
              </w:rPr>
              <w:t>אותו סעיף בעניינים אלה:</w:t>
            </w: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7230" w:type="dxa"/>
            <w:gridSpan w:val="3"/>
            <w:shd w:val="clear" w:color="auto" w:fill="auto"/>
          </w:tcPr>
          <w:p w:rsidR="00406D0F" w:rsidRPr="005F08B4" w:rsidRDefault="00406D0F" w:rsidP="001941D3">
            <w:pPr>
              <w:jc w:val="both"/>
              <w:rPr>
                <w:noProof/>
                <w:rtl/>
              </w:rPr>
            </w:pP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573" w:type="dxa"/>
            <w:shd w:val="clear" w:color="auto" w:fill="auto"/>
          </w:tcPr>
          <w:p w:rsidR="00406D0F" w:rsidRDefault="00406D0F" w:rsidP="001941D3">
            <w:pPr>
              <w:jc w:val="both"/>
              <w:rPr>
                <w:rtl/>
              </w:rPr>
            </w:pPr>
            <w:r>
              <w:rPr>
                <w:rFonts w:hint="cs"/>
                <w:rtl/>
              </w:rPr>
              <w:t>(א)</w:t>
            </w:r>
          </w:p>
        </w:tc>
        <w:tc>
          <w:tcPr>
            <w:tcW w:w="6657" w:type="dxa"/>
            <w:gridSpan w:val="2"/>
            <w:shd w:val="clear" w:color="auto" w:fill="auto"/>
          </w:tcPr>
          <w:p w:rsidR="00406D0F" w:rsidRPr="005F08B4" w:rsidRDefault="00406D0F" w:rsidP="001941D3">
            <w:pPr>
              <w:jc w:val="both"/>
              <w:rPr>
                <w:noProof/>
                <w:rtl/>
              </w:rPr>
            </w:pPr>
            <w:r w:rsidRPr="005F08B4">
              <w:rPr>
                <w:rFonts w:hint="cs"/>
                <w:noProof/>
                <w:rtl/>
              </w:rPr>
              <w:t>צירוף רשות מקומית לאשכול, אלא בהסכמת מועצת האשכול ומועצת הרשות המקומית המיועדת לצירוף, זולת אם ראה מטעמים המצדיקים זאת להפעיל את סמכותו בהעדר הסכמת מועצת האשכול כאמור; לא תובא הצעה לצירוף כאמור לאישור מועצת רשות מקומית, אלא על ידי ראש הרשות;</w:t>
            </w: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573" w:type="dxa"/>
            <w:shd w:val="clear" w:color="auto" w:fill="auto"/>
          </w:tcPr>
          <w:p w:rsidR="00406D0F" w:rsidRDefault="00406D0F" w:rsidP="001941D3">
            <w:pPr>
              <w:jc w:val="both"/>
              <w:rPr>
                <w:rtl/>
              </w:rPr>
            </w:pPr>
          </w:p>
        </w:tc>
        <w:tc>
          <w:tcPr>
            <w:tcW w:w="6657" w:type="dxa"/>
            <w:gridSpan w:val="2"/>
            <w:shd w:val="clear" w:color="auto" w:fill="auto"/>
          </w:tcPr>
          <w:p w:rsidR="00406D0F" w:rsidRPr="005F08B4" w:rsidRDefault="00406D0F" w:rsidP="001941D3">
            <w:pPr>
              <w:jc w:val="both"/>
              <w:rPr>
                <w:noProof/>
                <w:rtl/>
              </w:rPr>
            </w:pP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573" w:type="dxa"/>
            <w:shd w:val="clear" w:color="auto" w:fill="auto"/>
          </w:tcPr>
          <w:p w:rsidR="00406D0F" w:rsidRDefault="005564C3" w:rsidP="001941D3">
            <w:pPr>
              <w:jc w:val="both"/>
              <w:rPr>
                <w:rtl/>
              </w:rPr>
            </w:pPr>
            <w:r>
              <w:rPr>
                <w:rFonts w:hint="cs"/>
                <w:rtl/>
              </w:rPr>
              <w:t>(ב)</w:t>
            </w:r>
          </w:p>
        </w:tc>
        <w:tc>
          <w:tcPr>
            <w:tcW w:w="6657" w:type="dxa"/>
            <w:gridSpan w:val="2"/>
            <w:shd w:val="clear" w:color="auto" w:fill="auto"/>
          </w:tcPr>
          <w:p w:rsidR="00406D0F" w:rsidRPr="005F08B4" w:rsidRDefault="005564C3" w:rsidP="001941D3">
            <w:pPr>
              <w:jc w:val="both"/>
              <w:rPr>
                <w:noProof/>
                <w:rtl/>
              </w:rPr>
            </w:pPr>
            <w:r w:rsidRPr="005F08B4">
              <w:rPr>
                <w:rFonts w:hint="cs"/>
                <w:noProof/>
                <w:rtl/>
              </w:rPr>
              <w:t>פרישת רשות מקומית מאשכול, אלא אם כן התקיים אחד מאלה:</w:t>
            </w:r>
          </w:p>
        </w:tc>
      </w:tr>
      <w:tr w:rsidR="00406D0F" w:rsidTr="005A10F9">
        <w:tc>
          <w:tcPr>
            <w:tcW w:w="1275" w:type="dxa"/>
          </w:tcPr>
          <w:p w:rsidR="00406D0F" w:rsidRPr="00DE4863" w:rsidRDefault="00406D0F" w:rsidP="001941D3">
            <w:pPr>
              <w:jc w:val="both"/>
              <w:rPr>
                <w:rtl/>
              </w:rPr>
            </w:pPr>
          </w:p>
        </w:tc>
        <w:tc>
          <w:tcPr>
            <w:tcW w:w="1134" w:type="dxa"/>
          </w:tcPr>
          <w:p w:rsidR="00406D0F" w:rsidRDefault="00406D0F" w:rsidP="001941D3">
            <w:pPr>
              <w:ind w:right="-611"/>
              <w:jc w:val="both"/>
              <w:rPr>
                <w:rtl/>
              </w:rPr>
            </w:pPr>
          </w:p>
        </w:tc>
        <w:tc>
          <w:tcPr>
            <w:tcW w:w="851" w:type="dxa"/>
          </w:tcPr>
          <w:p w:rsidR="00406D0F" w:rsidRDefault="00406D0F" w:rsidP="001941D3">
            <w:pPr>
              <w:jc w:val="both"/>
              <w:rPr>
                <w:rtl/>
              </w:rPr>
            </w:pPr>
          </w:p>
        </w:tc>
        <w:tc>
          <w:tcPr>
            <w:tcW w:w="567" w:type="dxa"/>
          </w:tcPr>
          <w:p w:rsidR="00406D0F" w:rsidRDefault="00406D0F" w:rsidP="001941D3">
            <w:pPr>
              <w:jc w:val="both"/>
              <w:rPr>
                <w:rtl/>
              </w:rPr>
            </w:pPr>
          </w:p>
        </w:tc>
        <w:tc>
          <w:tcPr>
            <w:tcW w:w="573" w:type="dxa"/>
            <w:shd w:val="clear" w:color="auto" w:fill="auto"/>
          </w:tcPr>
          <w:p w:rsidR="00406D0F" w:rsidRDefault="00406D0F" w:rsidP="001941D3">
            <w:pPr>
              <w:jc w:val="both"/>
              <w:rPr>
                <w:rtl/>
              </w:rPr>
            </w:pPr>
          </w:p>
        </w:tc>
        <w:tc>
          <w:tcPr>
            <w:tcW w:w="6657" w:type="dxa"/>
            <w:gridSpan w:val="2"/>
            <w:shd w:val="clear" w:color="auto" w:fill="auto"/>
          </w:tcPr>
          <w:p w:rsidR="00406D0F" w:rsidRPr="005F08B4" w:rsidRDefault="00406D0F" w:rsidP="001941D3">
            <w:pPr>
              <w:jc w:val="both"/>
              <w:rPr>
                <w:noProof/>
                <w:rtl/>
              </w:rPr>
            </w:pP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1941D3">
            <w:pPr>
              <w:ind w:right="-611"/>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p>
        </w:tc>
        <w:tc>
          <w:tcPr>
            <w:tcW w:w="573" w:type="dxa"/>
            <w:shd w:val="clear" w:color="auto" w:fill="auto"/>
          </w:tcPr>
          <w:p w:rsidR="005564C3" w:rsidRDefault="005564C3" w:rsidP="001941D3">
            <w:pPr>
              <w:jc w:val="both"/>
              <w:rPr>
                <w:rtl/>
              </w:rPr>
            </w:pPr>
          </w:p>
        </w:tc>
        <w:tc>
          <w:tcPr>
            <w:tcW w:w="561" w:type="dxa"/>
            <w:shd w:val="clear" w:color="auto" w:fill="auto"/>
          </w:tcPr>
          <w:p w:rsidR="005564C3" w:rsidRPr="005F08B4" w:rsidRDefault="005564C3" w:rsidP="001941D3">
            <w:pPr>
              <w:jc w:val="both"/>
              <w:rPr>
                <w:noProof/>
                <w:rtl/>
              </w:rPr>
            </w:pPr>
            <w:r>
              <w:rPr>
                <w:rFonts w:hint="cs"/>
                <w:noProof/>
                <w:rtl/>
              </w:rPr>
              <w:t>(1)</w:t>
            </w:r>
          </w:p>
        </w:tc>
        <w:tc>
          <w:tcPr>
            <w:tcW w:w="6096" w:type="dxa"/>
            <w:shd w:val="clear" w:color="auto" w:fill="auto"/>
          </w:tcPr>
          <w:p w:rsidR="005564C3" w:rsidRPr="005F08B4" w:rsidRDefault="005564C3" w:rsidP="005564C3">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34"/>
              <w:jc w:val="both"/>
              <w:rPr>
                <w:noProof/>
                <w:rtl/>
              </w:rPr>
            </w:pPr>
            <w:r w:rsidRPr="005F08B4">
              <w:rPr>
                <w:rFonts w:hint="cs"/>
                <w:noProof/>
                <w:rtl/>
              </w:rPr>
              <w:t>מועצת הרשות המקומית המיועדת לפרישה ביקשה זאת; ביקשה מועצת הרשות המקומית כאמור – חייב הממונה לשנות את הצו המקים בהתאם;</w:t>
            </w:r>
          </w:p>
          <w:p w:rsidR="005564C3" w:rsidRPr="005F08B4" w:rsidRDefault="005564C3" w:rsidP="001941D3">
            <w:pPr>
              <w:jc w:val="both"/>
              <w:rPr>
                <w:noProof/>
                <w:rtl/>
              </w:rPr>
            </w:pP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1941D3">
            <w:pPr>
              <w:ind w:right="-611"/>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p>
        </w:tc>
        <w:tc>
          <w:tcPr>
            <w:tcW w:w="573" w:type="dxa"/>
            <w:shd w:val="clear" w:color="auto" w:fill="auto"/>
          </w:tcPr>
          <w:p w:rsidR="005564C3" w:rsidRDefault="005564C3" w:rsidP="001941D3">
            <w:pPr>
              <w:jc w:val="both"/>
              <w:rPr>
                <w:rtl/>
              </w:rPr>
            </w:pPr>
          </w:p>
        </w:tc>
        <w:tc>
          <w:tcPr>
            <w:tcW w:w="561" w:type="dxa"/>
            <w:shd w:val="clear" w:color="auto" w:fill="auto"/>
          </w:tcPr>
          <w:p w:rsidR="005564C3" w:rsidRDefault="005564C3" w:rsidP="001941D3">
            <w:pPr>
              <w:jc w:val="both"/>
              <w:rPr>
                <w:noProof/>
                <w:rtl/>
              </w:rPr>
            </w:pPr>
          </w:p>
        </w:tc>
        <w:tc>
          <w:tcPr>
            <w:tcW w:w="6096" w:type="dxa"/>
            <w:shd w:val="clear" w:color="auto" w:fill="auto"/>
          </w:tcPr>
          <w:p w:rsidR="005564C3" w:rsidRPr="005F08B4" w:rsidRDefault="005564C3" w:rsidP="005564C3">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1134"/>
              <w:jc w:val="both"/>
              <w:rPr>
                <w:noProof/>
                <w:rtl/>
              </w:rPr>
            </w:pP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1941D3">
            <w:pPr>
              <w:ind w:right="-611"/>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p>
        </w:tc>
        <w:tc>
          <w:tcPr>
            <w:tcW w:w="573" w:type="dxa"/>
            <w:shd w:val="clear" w:color="auto" w:fill="auto"/>
          </w:tcPr>
          <w:p w:rsidR="005564C3" w:rsidRDefault="005564C3" w:rsidP="001941D3">
            <w:pPr>
              <w:jc w:val="both"/>
              <w:rPr>
                <w:rtl/>
              </w:rPr>
            </w:pPr>
          </w:p>
        </w:tc>
        <w:tc>
          <w:tcPr>
            <w:tcW w:w="561" w:type="dxa"/>
            <w:shd w:val="clear" w:color="auto" w:fill="auto"/>
          </w:tcPr>
          <w:p w:rsidR="005564C3" w:rsidRDefault="005564C3" w:rsidP="001941D3">
            <w:pPr>
              <w:jc w:val="both"/>
              <w:rPr>
                <w:noProof/>
                <w:rtl/>
              </w:rPr>
            </w:pPr>
            <w:r>
              <w:rPr>
                <w:rFonts w:hint="cs"/>
                <w:noProof/>
                <w:rtl/>
              </w:rPr>
              <w:t>(2)</w:t>
            </w:r>
          </w:p>
        </w:tc>
        <w:tc>
          <w:tcPr>
            <w:tcW w:w="6096" w:type="dxa"/>
            <w:shd w:val="clear" w:color="auto" w:fill="auto"/>
          </w:tcPr>
          <w:p w:rsidR="005564C3" w:rsidRPr="005F08B4" w:rsidRDefault="005564C3" w:rsidP="005564C3">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right="34"/>
              <w:jc w:val="both"/>
              <w:rPr>
                <w:noProof/>
                <w:rtl/>
              </w:rPr>
            </w:pPr>
            <w:r w:rsidRPr="005F08B4">
              <w:rPr>
                <w:rFonts w:hint="cs"/>
                <w:noProof/>
                <w:rtl/>
              </w:rPr>
              <w:t>מועצת האשכול, ברוב של שני שלישים מחבריה, ביקשה זאת, והממונה שוכנע כי הרשות המקומית המיועדת לפרישה פוגעת בניהולו התקין של האשכול;</w:t>
            </w: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1941D3">
            <w:pPr>
              <w:ind w:right="-611"/>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p>
        </w:tc>
        <w:tc>
          <w:tcPr>
            <w:tcW w:w="573" w:type="dxa"/>
            <w:shd w:val="clear" w:color="auto" w:fill="auto"/>
          </w:tcPr>
          <w:p w:rsidR="005564C3" w:rsidRDefault="005564C3" w:rsidP="001941D3">
            <w:pPr>
              <w:jc w:val="both"/>
              <w:rPr>
                <w:rtl/>
              </w:rPr>
            </w:pPr>
          </w:p>
        </w:tc>
        <w:tc>
          <w:tcPr>
            <w:tcW w:w="6657" w:type="dxa"/>
            <w:gridSpan w:val="2"/>
            <w:shd w:val="clear" w:color="auto" w:fill="auto"/>
          </w:tcPr>
          <w:p w:rsidR="005564C3" w:rsidRPr="005F08B4" w:rsidRDefault="005564C3" w:rsidP="001941D3">
            <w:pPr>
              <w:jc w:val="both"/>
              <w:rPr>
                <w:noProof/>
                <w:rtl/>
              </w:rPr>
            </w:pP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1941D3">
            <w:pPr>
              <w:ind w:right="-611"/>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p>
        </w:tc>
        <w:tc>
          <w:tcPr>
            <w:tcW w:w="573" w:type="dxa"/>
            <w:shd w:val="clear" w:color="auto" w:fill="auto"/>
          </w:tcPr>
          <w:p w:rsidR="005564C3" w:rsidRDefault="005564C3" w:rsidP="001941D3">
            <w:pPr>
              <w:jc w:val="both"/>
              <w:rPr>
                <w:rtl/>
              </w:rPr>
            </w:pPr>
            <w:r>
              <w:rPr>
                <w:rFonts w:hint="cs"/>
                <w:rtl/>
              </w:rPr>
              <w:t>(ג)</w:t>
            </w:r>
          </w:p>
        </w:tc>
        <w:tc>
          <w:tcPr>
            <w:tcW w:w="6657" w:type="dxa"/>
            <w:gridSpan w:val="2"/>
            <w:shd w:val="clear" w:color="auto" w:fill="auto"/>
          </w:tcPr>
          <w:p w:rsidR="005564C3" w:rsidRPr="005F08B4" w:rsidRDefault="005564C3" w:rsidP="001941D3">
            <w:pPr>
              <w:jc w:val="both"/>
              <w:rPr>
                <w:noProof/>
                <w:rtl/>
              </w:rPr>
            </w:pPr>
            <w:r w:rsidRPr="005F08B4">
              <w:rPr>
                <w:rFonts w:hint="cs"/>
                <w:noProof/>
                <w:rtl/>
              </w:rPr>
              <w:t>התפקידים והסמכויות של אשכול הקבועים בצו המקים לפי סעיף 75יד(3), אלא בהסכמת מועצת האשכול;</w:t>
            </w: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1941D3">
            <w:pPr>
              <w:ind w:right="-611"/>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p>
        </w:tc>
        <w:tc>
          <w:tcPr>
            <w:tcW w:w="573" w:type="dxa"/>
            <w:shd w:val="clear" w:color="auto" w:fill="auto"/>
          </w:tcPr>
          <w:p w:rsidR="005564C3" w:rsidRDefault="005564C3" w:rsidP="001941D3">
            <w:pPr>
              <w:jc w:val="both"/>
              <w:rPr>
                <w:rtl/>
              </w:rPr>
            </w:pPr>
          </w:p>
        </w:tc>
        <w:tc>
          <w:tcPr>
            <w:tcW w:w="6657" w:type="dxa"/>
            <w:gridSpan w:val="2"/>
            <w:shd w:val="clear" w:color="auto" w:fill="auto"/>
          </w:tcPr>
          <w:p w:rsidR="005564C3" w:rsidRPr="005F08B4" w:rsidRDefault="005564C3" w:rsidP="001941D3">
            <w:pPr>
              <w:jc w:val="both"/>
              <w:rPr>
                <w:noProof/>
                <w:rtl/>
              </w:rPr>
            </w:pP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1941D3">
            <w:pPr>
              <w:ind w:right="-611"/>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p>
        </w:tc>
        <w:tc>
          <w:tcPr>
            <w:tcW w:w="573" w:type="dxa"/>
            <w:shd w:val="clear" w:color="auto" w:fill="auto"/>
          </w:tcPr>
          <w:p w:rsidR="005564C3" w:rsidRDefault="005564C3" w:rsidP="001941D3">
            <w:pPr>
              <w:jc w:val="both"/>
              <w:rPr>
                <w:rtl/>
              </w:rPr>
            </w:pPr>
            <w:r>
              <w:rPr>
                <w:rFonts w:hint="cs"/>
                <w:rtl/>
              </w:rPr>
              <w:t>(ד)</w:t>
            </w:r>
          </w:p>
        </w:tc>
        <w:tc>
          <w:tcPr>
            <w:tcW w:w="6657" w:type="dxa"/>
            <w:gridSpan w:val="2"/>
            <w:shd w:val="clear" w:color="auto" w:fill="auto"/>
          </w:tcPr>
          <w:p w:rsidR="005564C3" w:rsidRPr="005F08B4" w:rsidRDefault="005564C3" w:rsidP="001941D3">
            <w:pPr>
              <w:jc w:val="both"/>
              <w:rPr>
                <w:noProof/>
                <w:rtl/>
              </w:rPr>
            </w:pPr>
            <w:r w:rsidRPr="005F08B4">
              <w:rPr>
                <w:rFonts w:hint="cs"/>
                <w:noProof/>
                <w:rtl/>
              </w:rPr>
              <w:t>הסדרים בקשר לצירופה של רשות מקומית לאשכול ופרישתה ממנו, כאמור בסעיף 75טו(4), אלא לפי הצעת הרשות המקומית הנוגעת בדבר ומועצת האשכול; ואולם לא הושגה הסכמה בין הרשות המקומית לבין מועצת האשכול לעניין הסדרים כאמור – יקבע הממונה את ההסדרים ואת המועדים למימושם.</w:t>
            </w: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1941D3">
            <w:pPr>
              <w:ind w:right="-611"/>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p>
        </w:tc>
        <w:tc>
          <w:tcPr>
            <w:tcW w:w="573" w:type="dxa"/>
            <w:shd w:val="clear" w:color="auto" w:fill="auto"/>
          </w:tcPr>
          <w:p w:rsidR="005564C3" w:rsidRDefault="005564C3" w:rsidP="001941D3">
            <w:pPr>
              <w:jc w:val="both"/>
              <w:rPr>
                <w:rtl/>
              </w:rPr>
            </w:pPr>
          </w:p>
        </w:tc>
        <w:tc>
          <w:tcPr>
            <w:tcW w:w="6657" w:type="dxa"/>
            <w:gridSpan w:val="2"/>
            <w:shd w:val="clear" w:color="auto" w:fill="auto"/>
          </w:tcPr>
          <w:p w:rsidR="005564C3" w:rsidRPr="005F08B4" w:rsidRDefault="005564C3" w:rsidP="001941D3">
            <w:pPr>
              <w:jc w:val="both"/>
              <w:rPr>
                <w:noProof/>
                <w:rtl/>
              </w:rPr>
            </w:pPr>
          </w:p>
        </w:tc>
      </w:tr>
      <w:tr w:rsidR="005564C3" w:rsidTr="005A10F9">
        <w:tc>
          <w:tcPr>
            <w:tcW w:w="1275" w:type="dxa"/>
          </w:tcPr>
          <w:p w:rsidR="005564C3" w:rsidRPr="00DE4863" w:rsidRDefault="005564C3" w:rsidP="001941D3">
            <w:pPr>
              <w:jc w:val="both"/>
              <w:rPr>
                <w:rtl/>
              </w:rPr>
            </w:pPr>
          </w:p>
        </w:tc>
        <w:tc>
          <w:tcPr>
            <w:tcW w:w="1134" w:type="dxa"/>
          </w:tcPr>
          <w:p w:rsidR="005564C3" w:rsidRPr="00310B01" w:rsidRDefault="005564C3" w:rsidP="005564C3">
            <w:pPr>
              <w:jc w:val="both"/>
              <w:rPr>
                <w:b/>
                <w:bCs/>
                <w:rtl/>
              </w:rPr>
            </w:pPr>
            <w:r w:rsidRPr="00310B01">
              <w:rPr>
                <w:rFonts w:hint="cs"/>
                <w:b/>
                <w:bCs/>
                <w:rtl/>
              </w:rPr>
              <w:t>עריכת מכרז בעבור רשויות מקומיות</w:t>
            </w:r>
          </w:p>
        </w:tc>
        <w:tc>
          <w:tcPr>
            <w:tcW w:w="851" w:type="dxa"/>
          </w:tcPr>
          <w:p w:rsidR="005564C3" w:rsidRDefault="005564C3" w:rsidP="001941D3">
            <w:pPr>
              <w:jc w:val="both"/>
              <w:rPr>
                <w:rtl/>
              </w:rPr>
            </w:pPr>
            <w:r>
              <w:rPr>
                <w:rFonts w:hint="cs"/>
                <w:rtl/>
              </w:rPr>
              <w:t>75כא3</w:t>
            </w:r>
          </w:p>
        </w:tc>
        <w:tc>
          <w:tcPr>
            <w:tcW w:w="567" w:type="dxa"/>
          </w:tcPr>
          <w:p w:rsidR="005564C3" w:rsidRDefault="005564C3" w:rsidP="001941D3">
            <w:pPr>
              <w:jc w:val="both"/>
              <w:rPr>
                <w:rtl/>
              </w:rPr>
            </w:pPr>
            <w:r>
              <w:rPr>
                <w:rFonts w:hint="cs"/>
                <w:rtl/>
              </w:rPr>
              <w:t>(א)</w:t>
            </w:r>
          </w:p>
        </w:tc>
        <w:tc>
          <w:tcPr>
            <w:tcW w:w="7230" w:type="dxa"/>
            <w:gridSpan w:val="3"/>
            <w:shd w:val="clear" w:color="auto" w:fill="auto"/>
          </w:tcPr>
          <w:p w:rsidR="005564C3" w:rsidRPr="005F08B4" w:rsidRDefault="005564C3" w:rsidP="005564C3">
            <w:pPr>
              <w:widowControl w:val="0"/>
              <w:tabs>
                <w:tab w:val="left" w:pos="624"/>
                <w:tab w:val="left" w:pos="1021"/>
                <w:tab w:val="left" w:pos="1474"/>
                <w:tab w:val="left" w:pos="1928"/>
                <w:tab w:val="left" w:pos="2381"/>
                <w:tab w:val="left" w:pos="2835"/>
                <w:tab w:val="right" w:leader="dot" w:pos="6259"/>
              </w:tabs>
              <w:suppressAutoHyphens/>
              <w:autoSpaceDE w:val="0"/>
              <w:autoSpaceDN w:val="0"/>
              <w:ind w:right="34"/>
              <w:jc w:val="both"/>
              <w:rPr>
                <w:noProof/>
                <w:rtl/>
              </w:rPr>
            </w:pPr>
            <w:r w:rsidRPr="005F08B4">
              <w:rPr>
                <w:rFonts w:hint="cs"/>
                <w:noProof/>
                <w:rtl/>
              </w:rPr>
              <w:t xml:space="preserve">נוסף על התפקידים והסמכויות שנקבעו לאשכול בצו המקים לפי סעיף </w:t>
            </w:r>
            <w:r w:rsidRPr="005F08B4">
              <w:rPr>
                <w:noProof/>
                <w:rtl/>
              </w:rPr>
              <w:t>75</w:t>
            </w:r>
            <w:r w:rsidRPr="005F08B4">
              <w:rPr>
                <w:rFonts w:hint="cs"/>
                <w:noProof/>
                <w:rtl/>
              </w:rPr>
              <w:t>יד</w:t>
            </w:r>
            <w:r w:rsidRPr="005F08B4">
              <w:rPr>
                <w:noProof/>
                <w:rtl/>
              </w:rPr>
              <w:t>(3)</w:t>
            </w:r>
            <w:r>
              <w:rPr>
                <w:rFonts w:hint="cs"/>
                <w:noProof/>
                <w:rtl/>
              </w:rPr>
              <w:t>, או</w:t>
            </w:r>
            <w:r w:rsidRPr="005F08B4">
              <w:rPr>
                <w:rFonts w:hint="cs"/>
                <w:noProof/>
                <w:rtl/>
              </w:rPr>
              <w:t xml:space="preserve"> שהוענקו לו לפי סעיף 75כא2(2), רשאי אשכול לערוך ולפרסם מכרז להזמנת טובין או שירותים או לביצוע עבודות, כדי שהרשויות המקומיות החברות בו יוכלו להתקשר עם מי שזכה בו לצורך מילוי תפקידיהן.</w:t>
            </w: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5564C3">
            <w:pPr>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p>
        </w:tc>
        <w:tc>
          <w:tcPr>
            <w:tcW w:w="7230" w:type="dxa"/>
            <w:gridSpan w:val="3"/>
            <w:shd w:val="clear" w:color="auto" w:fill="auto"/>
          </w:tcPr>
          <w:p w:rsidR="005564C3" w:rsidRPr="005F08B4" w:rsidRDefault="005564C3" w:rsidP="005564C3">
            <w:pPr>
              <w:widowControl w:val="0"/>
              <w:tabs>
                <w:tab w:val="left" w:pos="624"/>
                <w:tab w:val="left" w:pos="1021"/>
                <w:tab w:val="left" w:pos="1474"/>
                <w:tab w:val="left" w:pos="1928"/>
                <w:tab w:val="left" w:pos="2381"/>
                <w:tab w:val="left" w:pos="2835"/>
                <w:tab w:val="right" w:leader="dot" w:pos="6259"/>
              </w:tabs>
              <w:suppressAutoHyphens/>
              <w:autoSpaceDE w:val="0"/>
              <w:autoSpaceDN w:val="0"/>
              <w:ind w:right="34"/>
              <w:jc w:val="both"/>
              <w:rPr>
                <w:noProof/>
                <w:rtl/>
              </w:rPr>
            </w:pP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5564C3">
            <w:pPr>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r>
              <w:rPr>
                <w:rFonts w:hint="cs"/>
                <w:rtl/>
              </w:rPr>
              <w:t>(ב)</w:t>
            </w:r>
          </w:p>
        </w:tc>
        <w:tc>
          <w:tcPr>
            <w:tcW w:w="7230" w:type="dxa"/>
            <w:gridSpan w:val="3"/>
            <w:shd w:val="clear" w:color="auto" w:fill="auto"/>
          </w:tcPr>
          <w:p w:rsidR="005564C3" w:rsidRPr="005F08B4" w:rsidRDefault="005564C3" w:rsidP="005564C3">
            <w:pPr>
              <w:widowControl w:val="0"/>
              <w:tabs>
                <w:tab w:val="left" w:pos="624"/>
                <w:tab w:val="left" w:pos="1021"/>
                <w:tab w:val="left" w:pos="1474"/>
                <w:tab w:val="left" w:pos="1928"/>
                <w:tab w:val="left" w:pos="2381"/>
                <w:tab w:val="left" w:pos="2835"/>
                <w:tab w:val="right" w:leader="dot" w:pos="6259"/>
              </w:tabs>
              <w:suppressAutoHyphens/>
              <w:autoSpaceDE w:val="0"/>
              <w:autoSpaceDN w:val="0"/>
              <w:ind w:right="34"/>
              <w:jc w:val="both"/>
              <w:rPr>
                <w:noProof/>
                <w:rtl/>
              </w:rPr>
            </w:pPr>
            <w:r w:rsidRPr="005F08B4">
              <w:rPr>
                <w:rFonts w:hint="cs"/>
                <w:noProof/>
                <w:rtl/>
              </w:rPr>
              <w:t>על מכרז לפי סעיף קטן (א) יחולו הוראות המכרזים החלות על האשכול, והיקף ההתקשרות המרבי על פי המכרז ייכלל במסמכי המכרז.</w:t>
            </w: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5564C3">
            <w:pPr>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p>
        </w:tc>
        <w:tc>
          <w:tcPr>
            <w:tcW w:w="7230" w:type="dxa"/>
            <w:gridSpan w:val="3"/>
            <w:shd w:val="clear" w:color="auto" w:fill="auto"/>
          </w:tcPr>
          <w:p w:rsidR="005564C3" w:rsidRPr="005F08B4" w:rsidRDefault="005564C3" w:rsidP="005564C3">
            <w:pPr>
              <w:widowControl w:val="0"/>
              <w:tabs>
                <w:tab w:val="left" w:pos="624"/>
                <w:tab w:val="left" w:pos="1021"/>
                <w:tab w:val="left" w:pos="1474"/>
                <w:tab w:val="left" w:pos="1928"/>
                <w:tab w:val="left" w:pos="2381"/>
                <w:tab w:val="left" w:pos="2835"/>
                <w:tab w:val="right" w:leader="dot" w:pos="6259"/>
              </w:tabs>
              <w:suppressAutoHyphens/>
              <w:autoSpaceDE w:val="0"/>
              <w:autoSpaceDN w:val="0"/>
              <w:ind w:right="34"/>
              <w:jc w:val="both"/>
              <w:rPr>
                <w:noProof/>
                <w:rtl/>
              </w:rPr>
            </w:pP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5564C3">
            <w:pPr>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r>
              <w:rPr>
                <w:rFonts w:hint="cs"/>
                <w:rtl/>
              </w:rPr>
              <w:t>(ג)</w:t>
            </w:r>
          </w:p>
        </w:tc>
        <w:tc>
          <w:tcPr>
            <w:tcW w:w="7230" w:type="dxa"/>
            <w:gridSpan w:val="3"/>
            <w:shd w:val="clear" w:color="auto" w:fill="auto"/>
          </w:tcPr>
          <w:p w:rsidR="005564C3" w:rsidRPr="005F08B4" w:rsidRDefault="005564C3" w:rsidP="005564C3">
            <w:pPr>
              <w:widowControl w:val="0"/>
              <w:tabs>
                <w:tab w:val="left" w:pos="624"/>
                <w:tab w:val="left" w:pos="1021"/>
                <w:tab w:val="left" w:pos="1474"/>
                <w:tab w:val="left" w:pos="1928"/>
                <w:tab w:val="left" w:pos="2381"/>
                <w:tab w:val="left" w:pos="2835"/>
                <w:tab w:val="right" w:leader="dot" w:pos="6259"/>
              </w:tabs>
              <w:suppressAutoHyphens/>
              <w:autoSpaceDE w:val="0"/>
              <w:autoSpaceDN w:val="0"/>
              <w:ind w:right="34"/>
              <w:jc w:val="both"/>
              <w:rPr>
                <w:noProof/>
                <w:rtl/>
              </w:rPr>
            </w:pPr>
            <w:r w:rsidRPr="005F08B4">
              <w:rPr>
                <w:rFonts w:hint="cs"/>
                <w:noProof/>
                <w:rtl/>
              </w:rPr>
              <w:t>רשות מקומית החברה באשכול רשאית להתקשר בחוזה להזמנת טובין או שירותים או לביצוע עבודות עם מי שזכה במכרז שפורסם לפי סעיף קטן (א), ובלבד שהיקף ההתקשרות המצטבר הכולל על פי המכרז לא יעלה על ההיקף שצוין במסמכי המכרז.</w:t>
            </w:r>
            <w:r w:rsidR="00E50727">
              <w:rPr>
                <w:rFonts w:hint="cs"/>
                <w:noProof/>
                <w:rtl/>
              </w:rPr>
              <w:t>".</w:t>
            </w:r>
          </w:p>
        </w:tc>
      </w:tr>
      <w:tr w:rsidR="005564C3" w:rsidTr="005A10F9">
        <w:tc>
          <w:tcPr>
            <w:tcW w:w="1275" w:type="dxa"/>
          </w:tcPr>
          <w:p w:rsidR="005564C3" w:rsidRPr="00DE4863" w:rsidRDefault="005564C3" w:rsidP="001941D3">
            <w:pPr>
              <w:jc w:val="both"/>
              <w:rPr>
                <w:rtl/>
              </w:rPr>
            </w:pPr>
          </w:p>
        </w:tc>
        <w:tc>
          <w:tcPr>
            <w:tcW w:w="1134" w:type="dxa"/>
          </w:tcPr>
          <w:p w:rsidR="005564C3" w:rsidRDefault="005564C3" w:rsidP="005564C3">
            <w:pPr>
              <w:jc w:val="both"/>
              <w:rPr>
                <w:rtl/>
              </w:rPr>
            </w:pPr>
          </w:p>
        </w:tc>
        <w:tc>
          <w:tcPr>
            <w:tcW w:w="851" w:type="dxa"/>
          </w:tcPr>
          <w:p w:rsidR="005564C3" w:rsidRDefault="005564C3" w:rsidP="001941D3">
            <w:pPr>
              <w:jc w:val="both"/>
              <w:rPr>
                <w:rtl/>
              </w:rPr>
            </w:pPr>
          </w:p>
        </w:tc>
        <w:tc>
          <w:tcPr>
            <w:tcW w:w="567" w:type="dxa"/>
          </w:tcPr>
          <w:p w:rsidR="005564C3" w:rsidRDefault="005564C3" w:rsidP="001941D3">
            <w:pPr>
              <w:jc w:val="both"/>
              <w:rPr>
                <w:rtl/>
              </w:rPr>
            </w:pPr>
          </w:p>
        </w:tc>
        <w:tc>
          <w:tcPr>
            <w:tcW w:w="573" w:type="dxa"/>
            <w:shd w:val="clear" w:color="auto" w:fill="auto"/>
          </w:tcPr>
          <w:p w:rsidR="005564C3" w:rsidRDefault="005564C3" w:rsidP="001941D3">
            <w:pPr>
              <w:jc w:val="both"/>
              <w:rPr>
                <w:rtl/>
              </w:rPr>
            </w:pPr>
          </w:p>
        </w:tc>
        <w:tc>
          <w:tcPr>
            <w:tcW w:w="6657" w:type="dxa"/>
            <w:gridSpan w:val="2"/>
            <w:shd w:val="clear" w:color="auto" w:fill="auto"/>
          </w:tcPr>
          <w:p w:rsidR="005564C3" w:rsidRPr="005F08B4" w:rsidRDefault="005564C3" w:rsidP="001941D3">
            <w:pPr>
              <w:jc w:val="both"/>
              <w:rPr>
                <w:noProof/>
                <w:rtl/>
              </w:rPr>
            </w:pPr>
          </w:p>
        </w:tc>
      </w:tr>
      <w:tr w:rsidR="001F0A69" w:rsidTr="005A10F9">
        <w:tc>
          <w:tcPr>
            <w:tcW w:w="1275" w:type="dxa"/>
          </w:tcPr>
          <w:p w:rsidR="001F0A69" w:rsidRPr="001F0A69" w:rsidRDefault="001F0A69" w:rsidP="001941D3">
            <w:pPr>
              <w:jc w:val="both"/>
              <w:rPr>
                <w:b/>
                <w:bCs/>
                <w:rtl/>
              </w:rPr>
            </w:pPr>
            <w:r>
              <w:rPr>
                <w:rFonts w:hint="cs"/>
                <w:b/>
                <w:bCs/>
                <w:rtl/>
              </w:rPr>
              <w:t>תחילה</w:t>
            </w:r>
          </w:p>
        </w:tc>
        <w:tc>
          <w:tcPr>
            <w:tcW w:w="1134" w:type="dxa"/>
          </w:tcPr>
          <w:p w:rsidR="001F0A69" w:rsidRDefault="00DA0438" w:rsidP="00DA0438">
            <w:pPr>
              <w:ind w:left="360" w:right="-611"/>
              <w:jc w:val="both"/>
              <w:rPr>
                <w:rtl/>
              </w:rPr>
            </w:pPr>
            <w:r>
              <w:rPr>
                <w:rFonts w:hint="cs"/>
                <w:rtl/>
              </w:rPr>
              <w:t>3.</w:t>
            </w:r>
          </w:p>
        </w:tc>
        <w:tc>
          <w:tcPr>
            <w:tcW w:w="8648" w:type="dxa"/>
            <w:gridSpan w:val="5"/>
          </w:tcPr>
          <w:p w:rsidR="001F0A69" w:rsidRPr="000A67BB" w:rsidRDefault="001F0A69" w:rsidP="00DD5C76">
            <w:pPr>
              <w:jc w:val="both"/>
              <w:rPr>
                <w:rtl/>
              </w:rPr>
            </w:pPr>
            <w:r>
              <w:rPr>
                <w:rFonts w:hint="cs"/>
                <w:rtl/>
              </w:rPr>
              <w:t xml:space="preserve">תחילתו של </w:t>
            </w:r>
            <w:r w:rsidR="00DD5C76">
              <w:rPr>
                <w:rFonts w:hint="cs"/>
                <w:rtl/>
              </w:rPr>
              <w:t>תקנון</w:t>
            </w:r>
            <w:r>
              <w:rPr>
                <w:rFonts w:hint="cs"/>
                <w:rtl/>
              </w:rPr>
              <w:t xml:space="preserve"> זה ביום חתימתו.</w:t>
            </w:r>
          </w:p>
        </w:tc>
      </w:tr>
      <w:tr w:rsidR="001F0A69" w:rsidTr="005A10F9">
        <w:tc>
          <w:tcPr>
            <w:tcW w:w="1275" w:type="dxa"/>
          </w:tcPr>
          <w:p w:rsidR="001F0A69" w:rsidRDefault="001F0A69" w:rsidP="001941D3">
            <w:pPr>
              <w:jc w:val="both"/>
              <w:rPr>
                <w:b/>
                <w:bCs/>
                <w:rtl/>
              </w:rPr>
            </w:pPr>
          </w:p>
        </w:tc>
        <w:tc>
          <w:tcPr>
            <w:tcW w:w="1134" w:type="dxa"/>
          </w:tcPr>
          <w:p w:rsidR="001F0A69" w:rsidRDefault="001F0A69" w:rsidP="001F0A69">
            <w:pPr>
              <w:pStyle w:val="a7"/>
              <w:ind w:right="-611"/>
              <w:jc w:val="both"/>
              <w:rPr>
                <w:rtl/>
              </w:rPr>
            </w:pPr>
          </w:p>
        </w:tc>
        <w:tc>
          <w:tcPr>
            <w:tcW w:w="8648" w:type="dxa"/>
            <w:gridSpan w:val="5"/>
          </w:tcPr>
          <w:p w:rsidR="001F0A69" w:rsidRDefault="001F0A69" w:rsidP="001941D3">
            <w:pPr>
              <w:jc w:val="both"/>
              <w:rPr>
                <w:rtl/>
              </w:rPr>
            </w:pPr>
          </w:p>
        </w:tc>
      </w:tr>
      <w:tr w:rsidR="001F0A69" w:rsidTr="005A10F9">
        <w:tc>
          <w:tcPr>
            <w:tcW w:w="1275" w:type="dxa"/>
          </w:tcPr>
          <w:p w:rsidR="001F0A69" w:rsidRPr="001F0A69" w:rsidRDefault="001F0A69" w:rsidP="001941D3">
            <w:pPr>
              <w:jc w:val="both"/>
              <w:rPr>
                <w:b/>
                <w:bCs/>
                <w:rtl/>
              </w:rPr>
            </w:pPr>
            <w:r>
              <w:rPr>
                <w:rFonts w:hint="cs"/>
                <w:b/>
                <w:bCs/>
                <w:rtl/>
              </w:rPr>
              <w:t>השם</w:t>
            </w:r>
          </w:p>
        </w:tc>
        <w:tc>
          <w:tcPr>
            <w:tcW w:w="1134" w:type="dxa"/>
          </w:tcPr>
          <w:p w:rsidR="001F0A69" w:rsidRDefault="00DA0438" w:rsidP="00DA0438">
            <w:pPr>
              <w:ind w:left="360" w:right="-611"/>
              <w:jc w:val="both"/>
              <w:rPr>
                <w:rtl/>
              </w:rPr>
            </w:pPr>
            <w:r>
              <w:rPr>
                <w:rFonts w:hint="cs"/>
                <w:rtl/>
              </w:rPr>
              <w:t>4.</w:t>
            </w:r>
          </w:p>
        </w:tc>
        <w:tc>
          <w:tcPr>
            <w:tcW w:w="8648" w:type="dxa"/>
            <w:gridSpan w:val="5"/>
          </w:tcPr>
          <w:p w:rsidR="001F0A69" w:rsidRDefault="00DD5C76" w:rsidP="00D82976">
            <w:pPr>
              <w:jc w:val="both"/>
              <w:rPr>
                <w:rtl/>
              </w:rPr>
            </w:pPr>
            <w:r>
              <w:rPr>
                <w:rFonts w:hint="cs"/>
                <w:rtl/>
              </w:rPr>
              <w:t>תקנון</w:t>
            </w:r>
            <w:r w:rsidR="001F0A69">
              <w:rPr>
                <w:rFonts w:hint="cs"/>
                <w:rtl/>
              </w:rPr>
              <w:t xml:space="preserve"> זה ייקרא: "</w:t>
            </w:r>
            <w:bookmarkStart w:id="0" w:name="_GoBack"/>
            <w:r w:rsidR="001F0A69">
              <w:rPr>
                <w:rFonts w:hint="cs"/>
                <w:rtl/>
              </w:rPr>
              <w:t>תקנון המועצות המקומי</w:t>
            </w:r>
            <w:r w:rsidR="0052530A">
              <w:rPr>
                <w:rFonts w:hint="cs"/>
                <w:rtl/>
              </w:rPr>
              <w:t xml:space="preserve">ות (תיקון מס' </w:t>
            </w:r>
            <w:r w:rsidR="00D82976">
              <w:rPr>
                <w:rFonts w:hint="cs"/>
                <w:rtl/>
              </w:rPr>
              <w:t>229</w:t>
            </w:r>
            <w:r w:rsidR="0052530A">
              <w:rPr>
                <w:rFonts w:hint="cs"/>
                <w:rtl/>
              </w:rPr>
              <w:t>) (יהודה ו</w:t>
            </w:r>
            <w:r w:rsidR="001F0A69">
              <w:rPr>
                <w:rFonts w:hint="cs"/>
                <w:rtl/>
              </w:rPr>
              <w:t>שומרון), התשע"</w:t>
            </w:r>
            <w:r>
              <w:rPr>
                <w:rFonts w:hint="cs"/>
                <w:rtl/>
              </w:rPr>
              <w:t>ט</w:t>
            </w:r>
            <w:r w:rsidR="001F0A69">
              <w:rPr>
                <w:rFonts w:hint="cs"/>
                <w:rtl/>
              </w:rPr>
              <w:t>-201</w:t>
            </w:r>
            <w:r w:rsidR="002B4CB5">
              <w:rPr>
                <w:rFonts w:hint="cs"/>
                <w:rtl/>
              </w:rPr>
              <w:t>9</w:t>
            </w:r>
            <w:bookmarkEnd w:id="0"/>
            <w:r w:rsidR="005561B4">
              <w:rPr>
                <w:rFonts w:hint="cs"/>
                <w:rtl/>
              </w:rPr>
              <w:t>"</w:t>
            </w:r>
            <w:r w:rsidR="001F0A69">
              <w:rPr>
                <w:rFonts w:hint="cs"/>
                <w:rtl/>
              </w:rPr>
              <w:t>.</w:t>
            </w:r>
          </w:p>
        </w:tc>
      </w:tr>
    </w:tbl>
    <w:p w:rsidR="001F0A69" w:rsidRDefault="001F0A69" w:rsidP="001F0A69">
      <w:pPr>
        <w:ind w:left="29"/>
        <w:rPr>
          <w:rFonts w:ascii="David" w:hAnsi="David"/>
          <w:sz w:val="26"/>
          <w:rtl/>
        </w:rPr>
      </w:pPr>
    </w:p>
    <w:p w:rsidR="001F0A69" w:rsidRDefault="001F0A69" w:rsidP="001F0A69">
      <w:pPr>
        <w:ind w:left="29"/>
        <w:rPr>
          <w:rFonts w:ascii="David" w:hAnsi="David"/>
          <w:sz w:val="26"/>
          <w:rtl/>
        </w:rPr>
      </w:pPr>
    </w:p>
    <w:p w:rsidR="001F0A69" w:rsidRDefault="001F0A69" w:rsidP="001F0A69">
      <w:pPr>
        <w:ind w:left="29"/>
        <w:rPr>
          <w:rFonts w:ascii="David" w:hAnsi="David"/>
          <w:sz w:val="26"/>
          <w:rtl/>
        </w:rPr>
      </w:pPr>
    </w:p>
    <w:p w:rsidR="00562189" w:rsidRDefault="00562189" w:rsidP="001F0A69">
      <w:pPr>
        <w:ind w:left="29"/>
        <w:rPr>
          <w:rFonts w:ascii="David" w:hAnsi="David"/>
          <w:sz w:val="26"/>
          <w:rtl/>
        </w:rPr>
      </w:pPr>
    </w:p>
    <w:p w:rsidR="001F0A69" w:rsidRPr="00AF2176" w:rsidRDefault="00D82976" w:rsidP="00DD5C76">
      <w:pPr>
        <w:ind w:left="29"/>
        <w:rPr>
          <w:rFonts w:ascii="David" w:hAnsi="David"/>
          <w:sz w:val="26"/>
          <w:rtl/>
        </w:rPr>
      </w:pPr>
      <w:r>
        <w:rPr>
          <w:rFonts w:ascii="David" w:hAnsi="David" w:hint="cs"/>
          <w:b/>
          <w:bCs/>
          <w:sz w:val="26"/>
          <w:rtl/>
        </w:rPr>
        <w:t>ט"ז באייר</w:t>
      </w:r>
      <w:r w:rsidR="001F0A69" w:rsidRPr="00AF2176">
        <w:rPr>
          <w:rFonts w:ascii="David" w:hAnsi="David"/>
          <w:sz w:val="26"/>
          <w:rtl/>
        </w:rPr>
        <w:t xml:space="preserve"> </w:t>
      </w:r>
      <w:proofErr w:type="spellStart"/>
      <w:r w:rsidR="001F0A69" w:rsidRPr="00AF2176">
        <w:rPr>
          <w:rFonts w:ascii="David" w:hAnsi="David"/>
          <w:b/>
          <w:bCs/>
          <w:sz w:val="26"/>
          <w:rtl/>
        </w:rPr>
        <w:t>התשע"</w:t>
      </w:r>
      <w:r w:rsidR="00DD5C76">
        <w:rPr>
          <w:rFonts w:ascii="David" w:hAnsi="David" w:hint="cs"/>
          <w:b/>
          <w:bCs/>
          <w:sz w:val="26"/>
          <w:rtl/>
        </w:rPr>
        <w:t>ט</w:t>
      </w:r>
      <w:proofErr w:type="spellEnd"/>
    </w:p>
    <w:p w:rsidR="001F0A69" w:rsidRPr="00AF2176" w:rsidRDefault="001F0A69" w:rsidP="001F0A69">
      <w:pPr>
        <w:ind w:left="29"/>
        <w:rPr>
          <w:rFonts w:ascii="David" w:hAnsi="David"/>
          <w:sz w:val="26"/>
          <w:rtl/>
        </w:rPr>
      </w:pPr>
    </w:p>
    <w:p w:rsidR="001F0A69" w:rsidRPr="00AF2176" w:rsidRDefault="00D82976" w:rsidP="002B4CB5">
      <w:pPr>
        <w:ind w:left="29"/>
        <w:rPr>
          <w:rFonts w:ascii="David" w:hAnsi="David"/>
          <w:sz w:val="26"/>
          <w:rtl/>
        </w:rPr>
      </w:pPr>
      <w:r>
        <w:rPr>
          <w:rFonts w:ascii="David" w:hAnsi="David" w:hint="cs"/>
          <w:b/>
          <w:bCs/>
          <w:sz w:val="26"/>
          <w:rtl/>
        </w:rPr>
        <w:t>21 במאי</w:t>
      </w:r>
      <w:r w:rsidR="001F0A69" w:rsidRPr="00AF2176">
        <w:rPr>
          <w:rFonts w:ascii="David" w:hAnsi="David"/>
          <w:sz w:val="26"/>
          <w:rtl/>
        </w:rPr>
        <w:t xml:space="preserve"> </w:t>
      </w:r>
      <w:r w:rsidR="001F0A69" w:rsidRPr="00AF2176">
        <w:rPr>
          <w:rFonts w:ascii="David" w:hAnsi="David"/>
          <w:b/>
          <w:bCs/>
          <w:sz w:val="26"/>
          <w:rtl/>
        </w:rPr>
        <w:t>201</w:t>
      </w:r>
      <w:r w:rsidR="002B4CB5">
        <w:rPr>
          <w:rFonts w:ascii="David" w:hAnsi="David" w:hint="cs"/>
          <w:b/>
          <w:bCs/>
          <w:sz w:val="26"/>
          <w:rtl/>
        </w:rPr>
        <w:t>9</w:t>
      </w:r>
    </w:p>
    <w:p w:rsidR="001F0A69" w:rsidRPr="00AF2176" w:rsidRDefault="001F0A69" w:rsidP="00D61052">
      <w:pPr>
        <w:ind w:left="29"/>
        <w:rPr>
          <w:rFonts w:ascii="David" w:hAnsi="David"/>
          <w:sz w:val="26"/>
          <w:rtl/>
        </w:rPr>
      </w:pPr>
      <w:r w:rsidRPr="00AF2176">
        <w:rPr>
          <w:rFonts w:ascii="David" w:hAnsi="David"/>
          <w:sz w:val="26"/>
          <w:rtl/>
        </w:rPr>
        <w:tab/>
      </w:r>
      <w:r w:rsidRPr="00AF2176">
        <w:rPr>
          <w:rFonts w:ascii="David" w:hAnsi="David"/>
          <w:sz w:val="26"/>
          <w:rtl/>
        </w:rPr>
        <w:tab/>
      </w:r>
      <w:r w:rsidRPr="00AF2176">
        <w:rPr>
          <w:rFonts w:ascii="David" w:hAnsi="David"/>
          <w:sz w:val="26"/>
          <w:rtl/>
        </w:rPr>
        <w:tab/>
      </w:r>
      <w:r w:rsidRPr="00AF2176">
        <w:rPr>
          <w:rFonts w:ascii="David" w:hAnsi="David"/>
          <w:sz w:val="26"/>
          <w:rtl/>
        </w:rPr>
        <w:tab/>
      </w:r>
      <w:r w:rsidRPr="00AF2176">
        <w:rPr>
          <w:rFonts w:ascii="David" w:hAnsi="David"/>
          <w:sz w:val="26"/>
          <w:rtl/>
        </w:rPr>
        <w:tab/>
      </w:r>
      <w:r w:rsidRPr="00AF2176">
        <w:rPr>
          <w:rFonts w:ascii="David" w:hAnsi="David"/>
          <w:sz w:val="26"/>
          <w:rtl/>
        </w:rPr>
        <w:tab/>
      </w:r>
      <w:r w:rsidRPr="00AF2176">
        <w:rPr>
          <w:rFonts w:ascii="David" w:hAnsi="David"/>
          <w:sz w:val="26"/>
          <w:rtl/>
        </w:rPr>
        <w:tab/>
        <w:t xml:space="preserve">            </w:t>
      </w:r>
    </w:p>
    <w:p w:rsidR="001F0A69" w:rsidRDefault="001F0A69" w:rsidP="00DF6A1E">
      <w:pPr>
        <w:ind w:left="29"/>
        <w:rPr>
          <w:rFonts w:ascii="David" w:hAnsi="David"/>
          <w:b/>
          <w:bCs/>
          <w:sz w:val="26"/>
          <w:rtl/>
        </w:rPr>
      </w:pPr>
      <w:r w:rsidRPr="00AF2176">
        <w:rPr>
          <w:rFonts w:ascii="David" w:hAnsi="David"/>
          <w:sz w:val="26"/>
          <w:rtl/>
        </w:rPr>
        <w:tab/>
      </w:r>
      <w:r w:rsidRPr="00AF2176">
        <w:rPr>
          <w:rFonts w:ascii="David" w:hAnsi="David"/>
          <w:sz w:val="26"/>
          <w:rtl/>
        </w:rPr>
        <w:tab/>
      </w:r>
      <w:r w:rsidRPr="00AF2176">
        <w:rPr>
          <w:rFonts w:ascii="David" w:hAnsi="David"/>
          <w:sz w:val="26"/>
          <w:rtl/>
        </w:rPr>
        <w:tab/>
      </w:r>
      <w:r w:rsidRPr="00AF2176">
        <w:rPr>
          <w:rFonts w:ascii="David" w:hAnsi="David"/>
          <w:sz w:val="26"/>
          <w:rtl/>
        </w:rPr>
        <w:tab/>
      </w:r>
      <w:r w:rsidRPr="00AF2176">
        <w:rPr>
          <w:rFonts w:ascii="David" w:hAnsi="David"/>
          <w:sz w:val="26"/>
          <w:rtl/>
        </w:rPr>
        <w:tab/>
      </w:r>
      <w:r w:rsidRPr="00AF2176">
        <w:rPr>
          <w:rFonts w:ascii="David" w:hAnsi="David"/>
          <w:sz w:val="26"/>
          <w:rtl/>
        </w:rPr>
        <w:tab/>
      </w:r>
      <w:r w:rsidRPr="00AF2176">
        <w:rPr>
          <w:rFonts w:ascii="David" w:hAnsi="David"/>
          <w:b/>
          <w:bCs/>
          <w:sz w:val="26"/>
          <w:rtl/>
        </w:rPr>
        <w:tab/>
        <w:t xml:space="preserve">            אלוף</w:t>
      </w:r>
      <w:r w:rsidR="00DF6A1E">
        <w:rPr>
          <w:rFonts w:ascii="David" w:hAnsi="David" w:hint="cs"/>
          <w:b/>
          <w:bCs/>
          <w:sz w:val="26"/>
          <w:rtl/>
        </w:rPr>
        <w:t xml:space="preserve"> </w:t>
      </w:r>
      <w:r w:rsidR="00DD5C76">
        <w:rPr>
          <w:rFonts w:ascii="David" w:hAnsi="David" w:hint="cs"/>
          <w:b/>
          <w:bCs/>
          <w:sz w:val="26"/>
          <w:rtl/>
        </w:rPr>
        <w:t xml:space="preserve">         </w:t>
      </w:r>
      <w:r w:rsidR="00DF6A1E">
        <w:rPr>
          <w:rFonts w:ascii="David" w:hAnsi="David" w:hint="cs"/>
          <w:b/>
          <w:bCs/>
          <w:sz w:val="26"/>
          <w:rtl/>
        </w:rPr>
        <w:t xml:space="preserve">נדב </w:t>
      </w:r>
      <w:r w:rsidR="00DF6A1E">
        <w:rPr>
          <w:rFonts w:ascii="David" w:hAnsi="David" w:hint="cs"/>
          <w:b/>
          <w:bCs/>
          <w:sz w:val="26"/>
          <w:rtl/>
        </w:rPr>
        <w:tab/>
      </w:r>
      <w:r w:rsidR="00DF6A1E">
        <w:rPr>
          <w:rFonts w:ascii="David" w:hAnsi="David" w:hint="cs"/>
          <w:b/>
          <w:bCs/>
          <w:sz w:val="26"/>
          <w:rtl/>
        </w:rPr>
        <w:tab/>
        <w:t>פדן</w:t>
      </w:r>
    </w:p>
    <w:p w:rsidR="00DF6A1E" w:rsidRDefault="00DF6A1E" w:rsidP="00DF6A1E">
      <w:pPr>
        <w:ind w:left="29"/>
        <w:rPr>
          <w:rFonts w:ascii="David" w:hAnsi="David"/>
          <w:b/>
          <w:bCs/>
          <w:sz w:val="26"/>
          <w:rtl/>
        </w:rPr>
      </w:pPr>
      <w:r>
        <w:rPr>
          <w:rFonts w:ascii="David" w:hAnsi="David" w:hint="cs"/>
          <w:b/>
          <w:bCs/>
          <w:sz w:val="26"/>
          <w:rtl/>
        </w:rPr>
        <w:tab/>
      </w:r>
      <w:r>
        <w:rPr>
          <w:rFonts w:ascii="David" w:hAnsi="David" w:hint="cs"/>
          <w:b/>
          <w:bCs/>
          <w:sz w:val="26"/>
          <w:rtl/>
        </w:rPr>
        <w:tab/>
      </w:r>
      <w:r>
        <w:rPr>
          <w:rFonts w:ascii="David" w:hAnsi="David" w:hint="cs"/>
          <w:b/>
          <w:bCs/>
          <w:sz w:val="26"/>
          <w:rtl/>
        </w:rPr>
        <w:tab/>
      </w:r>
      <w:r>
        <w:rPr>
          <w:rFonts w:ascii="David" w:hAnsi="David" w:hint="cs"/>
          <w:b/>
          <w:bCs/>
          <w:sz w:val="26"/>
          <w:rtl/>
        </w:rPr>
        <w:tab/>
      </w:r>
      <w:r>
        <w:rPr>
          <w:rFonts w:ascii="David" w:hAnsi="David" w:hint="cs"/>
          <w:b/>
          <w:bCs/>
          <w:sz w:val="26"/>
          <w:rtl/>
        </w:rPr>
        <w:tab/>
      </w:r>
      <w:r>
        <w:rPr>
          <w:rFonts w:ascii="David" w:hAnsi="David" w:hint="cs"/>
          <w:b/>
          <w:bCs/>
          <w:sz w:val="26"/>
          <w:rtl/>
        </w:rPr>
        <w:tab/>
      </w:r>
      <w:r>
        <w:rPr>
          <w:rFonts w:ascii="David" w:hAnsi="David" w:hint="cs"/>
          <w:b/>
          <w:bCs/>
          <w:sz w:val="26"/>
          <w:rtl/>
        </w:rPr>
        <w:tab/>
      </w:r>
      <w:r>
        <w:rPr>
          <w:rFonts w:ascii="David" w:hAnsi="David" w:hint="cs"/>
          <w:b/>
          <w:bCs/>
          <w:sz w:val="26"/>
          <w:rtl/>
        </w:rPr>
        <w:tab/>
        <w:t xml:space="preserve">מפקד </w:t>
      </w:r>
      <w:r>
        <w:rPr>
          <w:rFonts w:ascii="David" w:hAnsi="David" w:hint="cs"/>
          <w:b/>
          <w:bCs/>
          <w:sz w:val="26"/>
          <w:rtl/>
        </w:rPr>
        <w:tab/>
        <w:t xml:space="preserve">    כוחות        צה"ל</w:t>
      </w:r>
    </w:p>
    <w:p w:rsidR="00DF6A1E" w:rsidRPr="00AF2176" w:rsidRDefault="00E53128" w:rsidP="00DF6A1E">
      <w:pPr>
        <w:ind w:left="29"/>
        <w:rPr>
          <w:rFonts w:ascii="David" w:hAnsi="David"/>
          <w:b/>
          <w:bCs/>
          <w:sz w:val="26"/>
          <w:rtl/>
        </w:rPr>
      </w:pPr>
      <w:r>
        <w:rPr>
          <w:rFonts w:ascii="David" w:hAnsi="David" w:hint="cs"/>
          <w:b/>
          <w:bCs/>
          <w:sz w:val="26"/>
          <w:rtl/>
        </w:rPr>
        <w:tab/>
      </w:r>
      <w:r>
        <w:rPr>
          <w:rFonts w:ascii="David" w:hAnsi="David" w:hint="cs"/>
          <w:b/>
          <w:bCs/>
          <w:sz w:val="26"/>
          <w:rtl/>
        </w:rPr>
        <w:tab/>
      </w:r>
      <w:r>
        <w:rPr>
          <w:rFonts w:ascii="David" w:hAnsi="David" w:hint="cs"/>
          <w:b/>
          <w:bCs/>
          <w:sz w:val="26"/>
          <w:rtl/>
        </w:rPr>
        <w:tab/>
      </w:r>
      <w:r>
        <w:rPr>
          <w:rFonts w:ascii="David" w:hAnsi="David" w:hint="cs"/>
          <w:b/>
          <w:bCs/>
          <w:sz w:val="26"/>
          <w:rtl/>
        </w:rPr>
        <w:tab/>
      </w:r>
      <w:r>
        <w:rPr>
          <w:rFonts w:ascii="David" w:hAnsi="David" w:hint="cs"/>
          <w:b/>
          <w:bCs/>
          <w:sz w:val="26"/>
          <w:rtl/>
        </w:rPr>
        <w:tab/>
      </w:r>
      <w:r>
        <w:rPr>
          <w:rFonts w:ascii="David" w:hAnsi="David" w:hint="cs"/>
          <w:b/>
          <w:bCs/>
          <w:sz w:val="26"/>
          <w:rtl/>
        </w:rPr>
        <w:tab/>
      </w:r>
      <w:r>
        <w:rPr>
          <w:rFonts w:ascii="David" w:hAnsi="David" w:hint="cs"/>
          <w:b/>
          <w:bCs/>
          <w:sz w:val="26"/>
          <w:rtl/>
        </w:rPr>
        <w:tab/>
      </w:r>
      <w:r>
        <w:rPr>
          <w:rFonts w:ascii="David" w:hAnsi="David" w:hint="cs"/>
          <w:b/>
          <w:bCs/>
          <w:sz w:val="26"/>
          <w:rtl/>
        </w:rPr>
        <w:tab/>
        <w:t>באזור      יהודה     ו</w:t>
      </w:r>
      <w:r w:rsidR="00DF6A1E">
        <w:rPr>
          <w:rFonts w:ascii="David" w:hAnsi="David" w:hint="cs"/>
          <w:b/>
          <w:bCs/>
          <w:sz w:val="26"/>
          <w:rtl/>
        </w:rPr>
        <w:t>שומרון</w:t>
      </w:r>
      <w:r>
        <w:rPr>
          <w:rFonts w:ascii="David" w:hAnsi="David"/>
          <w:b/>
          <w:bCs/>
          <w:sz w:val="26"/>
          <w:rtl/>
        </w:rPr>
        <w:br/>
      </w:r>
    </w:p>
    <w:p w:rsidR="00C23E60" w:rsidRDefault="00C23E60"/>
    <w:sectPr w:rsidR="00C23E60" w:rsidSect="003B0C0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B104E"/>
    <w:multiLevelType w:val="hybridMultilevel"/>
    <w:tmpl w:val="3D266F94"/>
    <w:lvl w:ilvl="0" w:tplc="0876F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E6F50"/>
    <w:multiLevelType w:val="hybridMultilevel"/>
    <w:tmpl w:val="4AB8D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A1126"/>
    <w:multiLevelType w:val="hybridMultilevel"/>
    <w:tmpl w:val="76180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A3C2A"/>
    <w:multiLevelType w:val="hybridMultilevel"/>
    <w:tmpl w:val="C4B04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B15E7"/>
    <w:multiLevelType w:val="hybridMultilevel"/>
    <w:tmpl w:val="D9B48EBE"/>
    <w:lvl w:ilvl="0" w:tplc="13CA9C46">
      <w:start w:val="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23E60"/>
    <w:rsid w:val="00013B55"/>
    <w:rsid w:val="00034F69"/>
    <w:rsid w:val="00057206"/>
    <w:rsid w:val="0006770C"/>
    <w:rsid w:val="000818C1"/>
    <w:rsid w:val="00083E68"/>
    <w:rsid w:val="000D134A"/>
    <w:rsid w:val="000F3458"/>
    <w:rsid w:val="000F3D75"/>
    <w:rsid w:val="001456F3"/>
    <w:rsid w:val="001A08EA"/>
    <w:rsid w:val="001A3E8A"/>
    <w:rsid w:val="001E7004"/>
    <w:rsid w:val="001F0A69"/>
    <w:rsid w:val="001F46FD"/>
    <w:rsid w:val="00224086"/>
    <w:rsid w:val="00244245"/>
    <w:rsid w:val="00247603"/>
    <w:rsid w:val="002642D2"/>
    <w:rsid w:val="00282260"/>
    <w:rsid w:val="00287331"/>
    <w:rsid w:val="002B4CB5"/>
    <w:rsid w:val="002B684D"/>
    <w:rsid w:val="002E7D8B"/>
    <w:rsid w:val="002F0921"/>
    <w:rsid w:val="002F2299"/>
    <w:rsid w:val="00310B01"/>
    <w:rsid w:val="00351CB5"/>
    <w:rsid w:val="0038540E"/>
    <w:rsid w:val="003872BD"/>
    <w:rsid w:val="003B0C05"/>
    <w:rsid w:val="00406D0F"/>
    <w:rsid w:val="00420707"/>
    <w:rsid w:val="00427FE1"/>
    <w:rsid w:val="00473555"/>
    <w:rsid w:val="00495157"/>
    <w:rsid w:val="004C3F68"/>
    <w:rsid w:val="0052530A"/>
    <w:rsid w:val="0054531C"/>
    <w:rsid w:val="005561B4"/>
    <w:rsid w:val="005564C3"/>
    <w:rsid w:val="00562189"/>
    <w:rsid w:val="00596C50"/>
    <w:rsid w:val="005A10F9"/>
    <w:rsid w:val="005E7F45"/>
    <w:rsid w:val="006778C0"/>
    <w:rsid w:val="006C092C"/>
    <w:rsid w:val="006C322D"/>
    <w:rsid w:val="006C36C2"/>
    <w:rsid w:val="006C6460"/>
    <w:rsid w:val="00711E64"/>
    <w:rsid w:val="00714F64"/>
    <w:rsid w:val="0074299A"/>
    <w:rsid w:val="00756AC2"/>
    <w:rsid w:val="00785E0F"/>
    <w:rsid w:val="00796C75"/>
    <w:rsid w:val="00797B2B"/>
    <w:rsid w:val="007A0604"/>
    <w:rsid w:val="007A277E"/>
    <w:rsid w:val="007A76D5"/>
    <w:rsid w:val="007E7DEA"/>
    <w:rsid w:val="007F01E9"/>
    <w:rsid w:val="00831F09"/>
    <w:rsid w:val="00894034"/>
    <w:rsid w:val="008D0C47"/>
    <w:rsid w:val="009120C0"/>
    <w:rsid w:val="00941BDB"/>
    <w:rsid w:val="009452F4"/>
    <w:rsid w:val="00946BE3"/>
    <w:rsid w:val="00965A7B"/>
    <w:rsid w:val="00986D1B"/>
    <w:rsid w:val="009E5A6F"/>
    <w:rsid w:val="00A21576"/>
    <w:rsid w:val="00A440BF"/>
    <w:rsid w:val="00A97F88"/>
    <w:rsid w:val="00AC2A6E"/>
    <w:rsid w:val="00AD5540"/>
    <w:rsid w:val="00AF44AB"/>
    <w:rsid w:val="00B26201"/>
    <w:rsid w:val="00B2784D"/>
    <w:rsid w:val="00B45402"/>
    <w:rsid w:val="00B7393F"/>
    <w:rsid w:val="00BA22E2"/>
    <w:rsid w:val="00C23E60"/>
    <w:rsid w:val="00C362D9"/>
    <w:rsid w:val="00CF11C7"/>
    <w:rsid w:val="00D05D38"/>
    <w:rsid w:val="00D174F2"/>
    <w:rsid w:val="00D51D1B"/>
    <w:rsid w:val="00D61052"/>
    <w:rsid w:val="00D778BF"/>
    <w:rsid w:val="00D82976"/>
    <w:rsid w:val="00D83F2B"/>
    <w:rsid w:val="00D85D57"/>
    <w:rsid w:val="00D865C4"/>
    <w:rsid w:val="00DA0438"/>
    <w:rsid w:val="00DA2D48"/>
    <w:rsid w:val="00DD025B"/>
    <w:rsid w:val="00DD5C76"/>
    <w:rsid w:val="00DE2C52"/>
    <w:rsid w:val="00DF6A1E"/>
    <w:rsid w:val="00E24A98"/>
    <w:rsid w:val="00E34547"/>
    <w:rsid w:val="00E50727"/>
    <w:rsid w:val="00E53128"/>
    <w:rsid w:val="00E53278"/>
    <w:rsid w:val="00EA5D3B"/>
    <w:rsid w:val="00EB3012"/>
    <w:rsid w:val="00EC0FC7"/>
    <w:rsid w:val="00EC25B5"/>
    <w:rsid w:val="00F076BF"/>
    <w:rsid w:val="00FA1A86"/>
    <w:rsid w:val="00FA67B7"/>
    <w:rsid w:val="00FB720F"/>
    <w:rsid w:val="00FE14BE"/>
    <w:rsid w:val="00FF78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A8B91-6211-4F36-94FD-0BD1091F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E60"/>
    <w:pPr>
      <w:bidi/>
      <w:spacing w:after="0" w:line="240" w:lineRule="auto"/>
    </w:pPr>
    <w:rPr>
      <w:rFonts w:ascii="Times New Roman" w:eastAsia="Times New Roman" w:hAnsi="Times New Roman" w:cs="David"/>
      <w:sz w:val="18"/>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3E60"/>
    <w:rPr>
      <w:sz w:val="20"/>
      <w:szCs w:val="28"/>
    </w:rPr>
  </w:style>
  <w:style w:type="character" w:customStyle="1" w:styleId="a4">
    <w:name w:val="גוף טקסט תו"/>
    <w:basedOn w:val="a0"/>
    <w:link w:val="a3"/>
    <w:rsid w:val="00C23E60"/>
    <w:rPr>
      <w:rFonts w:ascii="Times New Roman" w:eastAsia="Times New Roman" w:hAnsi="Times New Roman" w:cs="David"/>
      <w:sz w:val="20"/>
      <w:szCs w:val="28"/>
      <w:lang w:eastAsia="he-IL"/>
    </w:rPr>
  </w:style>
  <w:style w:type="paragraph" w:styleId="a5">
    <w:name w:val="Balloon Text"/>
    <w:basedOn w:val="a"/>
    <w:link w:val="a6"/>
    <w:uiPriority w:val="99"/>
    <w:semiHidden/>
    <w:unhideWhenUsed/>
    <w:rsid w:val="00796C75"/>
    <w:rPr>
      <w:rFonts w:ascii="Tahoma" w:hAnsi="Tahoma" w:cs="Tahoma"/>
      <w:sz w:val="16"/>
      <w:szCs w:val="16"/>
    </w:rPr>
  </w:style>
  <w:style w:type="character" w:customStyle="1" w:styleId="a6">
    <w:name w:val="טקסט בלונים תו"/>
    <w:basedOn w:val="a0"/>
    <w:link w:val="a5"/>
    <w:uiPriority w:val="99"/>
    <w:semiHidden/>
    <w:rsid w:val="00796C75"/>
    <w:rPr>
      <w:rFonts w:ascii="Tahoma" w:eastAsia="Times New Roman" w:hAnsi="Tahoma" w:cs="Tahoma"/>
      <w:sz w:val="16"/>
      <w:szCs w:val="16"/>
      <w:lang w:eastAsia="he-IL"/>
    </w:rPr>
  </w:style>
  <w:style w:type="paragraph" w:styleId="a7">
    <w:name w:val="List Paragraph"/>
    <w:basedOn w:val="a"/>
    <w:uiPriority w:val="34"/>
    <w:qFormat/>
    <w:rsid w:val="00E34547"/>
    <w:pPr>
      <w:ind w:left="720"/>
      <w:contextualSpacing/>
    </w:pPr>
  </w:style>
  <w:style w:type="character" w:styleId="a8">
    <w:name w:val="annotation reference"/>
    <w:uiPriority w:val="99"/>
    <w:unhideWhenUsed/>
    <w:rsid w:val="00E34547"/>
    <w:rPr>
      <w:sz w:val="16"/>
      <w:szCs w:val="16"/>
    </w:rPr>
  </w:style>
  <w:style w:type="paragraph" w:styleId="a9">
    <w:name w:val="annotation text"/>
    <w:basedOn w:val="a"/>
    <w:link w:val="aa"/>
    <w:uiPriority w:val="99"/>
    <w:unhideWhenUsed/>
    <w:rsid w:val="00E34547"/>
    <w:pPr>
      <w:spacing w:after="200"/>
    </w:pPr>
    <w:rPr>
      <w:rFonts w:ascii="Calibri" w:eastAsia="Calibri" w:hAnsi="Calibri" w:cs="Arial"/>
      <w:sz w:val="20"/>
      <w:szCs w:val="20"/>
      <w:lang w:eastAsia="en-US"/>
    </w:rPr>
  </w:style>
  <w:style w:type="character" w:customStyle="1" w:styleId="aa">
    <w:name w:val="טקסט הערה תו"/>
    <w:basedOn w:val="a0"/>
    <w:link w:val="a9"/>
    <w:uiPriority w:val="99"/>
    <w:rsid w:val="00E34547"/>
    <w:rPr>
      <w:rFonts w:ascii="Calibri" w:eastAsia="Calibri" w:hAnsi="Calibri" w:cs="Arial"/>
      <w:sz w:val="20"/>
      <w:szCs w:val="20"/>
    </w:rPr>
  </w:style>
  <w:style w:type="paragraph" w:styleId="ab">
    <w:name w:val="annotation subject"/>
    <w:basedOn w:val="a9"/>
    <w:next w:val="a9"/>
    <w:link w:val="ac"/>
    <w:uiPriority w:val="99"/>
    <w:semiHidden/>
    <w:unhideWhenUsed/>
    <w:rsid w:val="006C322D"/>
    <w:pPr>
      <w:spacing w:after="0"/>
    </w:pPr>
    <w:rPr>
      <w:rFonts w:ascii="Times New Roman" w:eastAsia="Times New Roman" w:hAnsi="Times New Roman" w:cs="David"/>
      <w:b/>
      <w:bCs/>
      <w:lang w:eastAsia="he-IL"/>
    </w:rPr>
  </w:style>
  <w:style w:type="character" w:customStyle="1" w:styleId="ac">
    <w:name w:val="נושא הערה תו"/>
    <w:basedOn w:val="aa"/>
    <w:link w:val="ab"/>
    <w:uiPriority w:val="99"/>
    <w:semiHidden/>
    <w:rsid w:val="006C322D"/>
    <w:rPr>
      <w:rFonts w:ascii="Times New Roman" w:eastAsia="Times New Roman" w:hAnsi="Times New Roman" w:cs="David"/>
      <w:b/>
      <w:bCs/>
      <w:sz w:val="20"/>
      <w:szCs w:val="20"/>
      <w:lang w:eastAsia="he-IL"/>
    </w:rPr>
  </w:style>
  <w:style w:type="character" w:customStyle="1" w:styleId="default">
    <w:name w:val="default"/>
    <w:rsid w:val="006778C0"/>
    <w:rPr>
      <w:rFonts w:ascii="Times New Roman" w:hAnsi="Times New Roman" w:cs="Times New Roman" w:hint="default"/>
      <w:sz w:val="26"/>
      <w:szCs w:val="26"/>
    </w:rPr>
  </w:style>
  <w:style w:type="paragraph" w:customStyle="1" w:styleId="P00">
    <w:name w:val="P00"/>
    <w:rsid w:val="002B684D"/>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6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CC069-1895-4A9F-94D6-819EDF5B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652</Words>
  <Characters>3720</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חן שמלו</dc:creator>
  <cp:lastModifiedBy>יאיר גור</cp:lastModifiedBy>
  <cp:revision>7</cp:revision>
  <cp:lastPrinted>2018-06-03T12:26:00Z</cp:lastPrinted>
  <dcterms:created xsi:type="dcterms:W3CDTF">2019-03-14T12:03:00Z</dcterms:created>
  <dcterms:modified xsi:type="dcterms:W3CDTF">2019-05-22T10:38:00Z</dcterms:modified>
</cp:coreProperties>
</file>