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C3420" w14:textId="05A9BD33" w:rsidR="009B2536" w:rsidRDefault="006E2173" w:rsidP="009B2536">
      <w:pPr>
        <w:tabs>
          <w:tab w:val="right" w:pos="6710"/>
          <w:tab w:val="left" w:pos="7419"/>
        </w:tabs>
        <w:spacing w:line="480" w:lineRule="auto"/>
        <w:ind w:left="2458" w:right="1985"/>
      </w:pPr>
      <w:bookmarkStart w:id="0" w:name="_Hlk156991982"/>
      <w:bookmarkStart w:id="1" w:name="_Hlk149821736"/>
      <w:r w:rsidRPr="002C36E5">
        <w:rPr>
          <w:noProof/>
        </w:rPr>
        <w:drawing>
          <wp:inline distT="0" distB="0" distL="0" distR="0" wp14:anchorId="6D684A7C" wp14:editId="14150692">
            <wp:extent cx="866775" cy="791845"/>
            <wp:effectExtent l="0" t="0" r="0" b="0"/>
            <wp:docPr id="1"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1845"/>
                    </a:xfrm>
                    <a:prstGeom prst="rect">
                      <a:avLst/>
                    </a:prstGeom>
                    <a:solidFill>
                      <a:srgbClr val="FFCC00"/>
                    </a:solidFill>
                    <a:ln>
                      <a:noFill/>
                    </a:ln>
                  </pic:spPr>
                </pic:pic>
              </a:graphicData>
            </a:graphic>
          </wp:inline>
        </w:drawing>
      </w:r>
      <w:r w:rsidR="009B2536">
        <w:tab/>
      </w:r>
      <w:r w:rsidRPr="002C36E5">
        <w:rPr>
          <w:noProof/>
        </w:rPr>
        <w:drawing>
          <wp:inline distT="0" distB="0" distL="0" distR="0" wp14:anchorId="54FE67E3" wp14:editId="4F438651">
            <wp:extent cx="579755" cy="791845"/>
            <wp:effectExtent l="0" t="0" r="0" b="0"/>
            <wp:docPr id="2"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79755" cy="791845"/>
                    </a:xfrm>
                    <a:prstGeom prst="rect">
                      <a:avLst/>
                    </a:prstGeom>
                    <a:noFill/>
                    <a:ln>
                      <a:noFill/>
                    </a:ln>
                  </pic:spPr>
                </pic:pic>
              </a:graphicData>
            </a:graphic>
          </wp:inline>
        </w:drawing>
      </w:r>
      <w:r w:rsidR="009B2536">
        <w:rPr>
          <w:rFonts w:hint="cs"/>
          <w:rtl/>
        </w:rPr>
        <w:t xml:space="preserve">                              </w:t>
      </w:r>
    </w:p>
    <w:bookmarkEnd w:id="0"/>
    <w:p w14:paraId="26B87A55" w14:textId="77777777" w:rsidR="00C638D5" w:rsidRPr="00FD2DDA" w:rsidRDefault="00560DF0" w:rsidP="009B2536">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0E39C608" w14:textId="77777777" w:rsidR="00560DF0" w:rsidRPr="00FD2DDA" w:rsidRDefault="00560DF0" w:rsidP="00560DF0">
      <w:pPr>
        <w:spacing w:before="120" w:after="0" w:line="480" w:lineRule="auto"/>
        <w:rPr>
          <w:rFonts w:ascii="David" w:hAnsi="David"/>
          <w:rtl/>
        </w:rPr>
      </w:pPr>
      <w:r w:rsidRPr="00FD2DDA">
        <w:rPr>
          <w:rFonts w:ascii="David" w:hAnsi="David" w:hint="cs"/>
          <w:rtl/>
        </w:rPr>
        <w:t>בפני:</w:t>
      </w:r>
    </w:p>
    <w:p w14:paraId="596EC864" w14:textId="77777777" w:rsidR="00560DF0" w:rsidRPr="00BB5867" w:rsidRDefault="00560DF0" w:rsidP="00560DF0">
      <w:pPr>
        <w:spacing w:line="240" w:lineRule="auto"/>
        <w:jc w:val="center"/>
        <w:rPr>
          <w:rtl/>
        </w:rPr>
      </w:pPr>
      <w:r>
        <w:rPr>
          <w:rFonts w:hint="cs"/>
          <w:b/>
          <w:bCs/>
          <w:rtl/>
        </w:rPr>
        <w:t xml:space="preserve">תא"ל נועה זומר </w:t>
      </w:r>
      <w:r>
        <w:rPr>
          <w:rFonts w:hint="cs"/>
          <w:rtl/>
        </w:rPr>
        <w:t xml:space="preserve">   -   המשנה לנשיאה</w:t>
      </w:r>
    </w:p>
    <w:p w14:paraId="0A0A99F8" w14:textId="77777777" w:rsidR="00560DF0" w:rsidRDefault="00560DF0" w:rsidP="00560DF0">
      <w:pPr>
        <w:rPr>
          <w:rFonts w:ascii="David" w:hAnsi="David"/>
          <w:rtl/>
        </w:rPr>
      </w:pPr>
      <w:r w:rsidRPr="00FD2DDA">
        <w:rPr>
          <w:rFonts w:ascii="David" w:hAnsi="David" w:hint="cs"/>
          <w:rtl/>
        </w:rPr>
        <w:t>בעניין:</w:t>
      </w:r>
    </w:p>
    <w:p w14:paraId="53C17950" w14:textId="77777777" w:rsidR="00560DF0" w:rsidRPr="00FD2DDA" w:rsidRDefault="00560DF0" w:rsidP="00560DF0">
      <w:pPr>
        <w:bidi w:val="0"/>
        <w:jc w:val="center"/>
        <w:rPr>
          <w:rFonts w:ascii="David" w:hAnsi="David"/>
          <w:rtl/>
        </w:rPr>
      </w:pPr>
      <w:r w:rsidRPr="00FD2DDA">
        <w:rPr>
          <w:rFonts w:ascii="David" w:hAnsi="David" w:hint="cs"/>
          <w:b/>
          <w:bCs/>
          <w:rtl/>
        </w:rPr>
        <w:t>התובע הצבאי הראשי –</w:t>
      </w:r>
      <w:r w:rsidRPr="00FD2DDA">
        <w:rPr>
          <w:rFonts w:ascii="David" w:hAnsi="David" w:hint="cs"/>
          <w:rtl/>
        </w:rPr>
        <w:t xml:space="preserve"> המערער (ע"י ב"כ,</w:t>
      </w:r>
      <w:r w:rsidR="00562AF5">
        <w:rPr>
          <w:rFonts w:ascii="David" w:hAnsi="David" w:hint="cs"/>
          <w:rtl/>
        </w:rPr>
        <w:t xml:space="preserve"> רס"ן שחר גורני וקנין</w:t>
      </w:r>
      <w:r w:rsidR="003137C1">
        <w:rPr>
          <w:rFonts w:ascii="David" w:hAnsi="David" w:hint="cs"/>
          <w:rtl/>
        </w:rPr>
        <w:t>;</w:t>
      </w:r>
      <w:r w:rsidR="003137C1" w:rsidRPr="003137C1">
        <w:rPr>
          <w:rFonts w:ascii="David" w:hAnsi="David" w:hint="cs"/>
          <w:rtl/>
        </w:rPr>
        <w:t xml:space="preserve"> </w:t>
      </w:r>
      <w:r w:rsidR="003137C1">
        <w:rPr>
          <w:rFonts w:ascii="David" w:hAnsi="David" w:hint="cs"/>
          <w:rtl/>
        </w:rPr>
        <w:t>קמ"ש דניאל אבבה</w:t>
      </w:r>
      <w:r w:rsidRPr="00FD2DDA">
        <w:rPr>
          <w:rFonts w:ascii="David" w:hAnsi="David" w:hint="cs"/>
          <w:rtl/>
        </w:rPr>
        <w:t>)</w:t>
      </w:r>
    </w:p>
    <w:p w14:paraId="4057D112" w14:textId="77777777" w:rsidR="00560DF0" w:rsidRPr="00FD2DDA" w:rsidRDefault="00560DF0" w:rsidP="00560DF0">
      <w:pPr>
        <w:jc w:val="center"/>
        <w:rPr>
          <w:rFonts w:ascii="David" w:hAnsi="David"/>
          <w:rtl/>
        </w:rPr>
      </w:pPr>
    </w:p>
    <w:p w14:paraId="03FC85AC" w14:textId="77777777" w:rsidR="00560DF0" w:rsidRDefault="00560DF0" w:rsidP="00560DF0">
      <w:pPr>
        <w:spacing w:after="360"/>
        <w:jc w:val="center"/>
        <w:rPr>
          <w:rFonts w:ascii="David" w:hAnsi="David"/>
          <w:b/>
          <w:bCs/>
          <w:rtl/>
        </w:rPr>
      </w:pPr>
      <w:r w:rsidRPr="00FD2DDA">
        <w:rPr>
          <w:rFonts w:ascii="David" w:hAnsi="David" w:hint="cs"/>
          <w:b/>
          <w:bCs/>
          <w:rtl/>
        </w:rPr>
        <w:t xml:space="preserve">נ ג ד </w:t>
      </w:r>
    </w:p>
    <w:p w14:paraId="09A0BAB4" w14:textId="77777777" w:rsidR="00560DF0" w:rsidRPr="00FD2DDA" w:rsidRDefault="00560DF0" w:rsidP="00560DF0">
      <w:pPr>
        <w:spacing w:after="120"/>
        <w:jc w:val="center"/>
        <w:rPr>
          <w:rFonts w:ascii="David" w:hAnsi="David"/>
          <w:rtl/>
        </w:rPr>
      </w:pPr>
      <w:r w:rsidRPr="00560DF0">
        <w:rPr>
          <w:rFonts w:ascii="Times New Roman" w:eastAsia="Times New Roman" w:hAnsi="Times New Roman"/>
          <w:b/>
          <w:bCs/>
          <w:sz w:val="32"/>
          <w:rtl/>
        </w:rPr>
        <w:t>מ/</w:t>
      </w:r>
      <w:r w:rsidR="00C400D6">
        <w:rPr>
          <w:rFonts w:ascii="Times New Roman" w:eastAsia="Times New Roman" w:hAnsi="Times New Roman" w:hint="cs"/>
          <w:b/>
          <w:bCs/>
          <w:sz w:val="32"/>
          <w:rtl/>
        </w:rPr>
        <w:t>*******</w:t>
      </w:r>
      <w:r w:rsidRPr="00560DF0">
        <w:rPr>
          <w:rFonts w:ascii="Times New Roman" w:eastAsia="Times New Roman" w:hAnsi="Times New Roman"/>
          <w:b/>
          <w:bCs/>
          <w:sz w:val="32"/>
          <w:rtl/>
        </w:rPr>
        <w:t xml:space="preserve"> רב"ט (מיל') </w:t>
      </w:r>
      <w:r w:rsidR="00C400D6">
        <w:rPr>
          <w:rFonts w:ascii="Times New Roman" w:eastAsia="Times New Roman" w:hAnsi="Times New Roman" w:hint="cs"/>
          <w:b/>
          <w:bCs/>
          <w:sz w:val="32"/>
          <w:rtl/>
        </w:rPr>
        <w:t>מ' ש'</w:t>
      </w:r>
      <w:r>
        <w:rPr>
          <w:rFonts w:ascii="Times New Roman" w:eastAsia="Times New Roman" w:hAnsi="Times New Roman" w:hint="cs"/>
          <w:b/>
          <w:bCs/>
          <w:sz w:val="32"/>
          <w:rtl/>
        </w:rPr>
        <w:t xml:space="preserve"> </w:t>
      </w:r>
      <w:r w:rsidRPr="00FD2DDA">
        <w:rPr>
          <w:rFonts w:ascii="David" w:hAnsi="David" w:hint="cs"/>
          <w:b/>
          <w:bCs/>
          <w:rtl/>
        </w:rPr>
        <w:t>–</w:t>
      </w:r>
      <w:r w:rsidRPr="00FD2DDA">
        <w:rPr>
          <w:rFonts w:ascii="David" w:hAnsi="David" w:hint="cs"/>
          <w:rtl/>
        </w:rPr>
        <w:t xml:space="preserve"> המשיב (ע"י ב"כ,</w:t>
      </w:r>
      <w:r>
        <w:rPr>
          <w:rFonts w:ascii="David" w:hAnsi="David" w:hint="cs"/>
          <w:rtl/>
        </w:rPr>
        <w:t xml:space="preserve"> רס"ן אמיר גונמן; קמ"ש עדי דורפמן</w:t>
      </w:r>
      <w:r w:rsidRPr="00FD2DDA">
        <w:rPr>
          <w:rFonts w:ascii="David" w:hAnsi="David" w:hint="cs"/>
          <w:rtl/>
        </w:rPr>
        <w:t>)</w:t>
      </w:r>
    </w:p>
    <w:p w14:paraId="76274D1A" w14:textId="77777777" w:rsidR="009B2536" w:rsidRPr="009B2536" w:rsidRDefault="009B2536" w:rsidP="00560DF0">
      <w:pPr>
        <w:spacing w:after="360" w:line="360" w:lineRule="auto"/>
        <w:jc w:val="both"/>
        <w:rPr>
          <w:rFonts w:ascii="David" w:hAnsi="David"/>
          <w:sz w:val="6"/>
          <w:szCs w:val="6"/>
          <w:rtl/>
        </w:rPr>
      </w:pPr>
    </w:p>
    <w:p w14:paraId="5CC5C3BF" w14:textId="77777777" w:rsidR="00560DF0" w:rsidRDefault="00560DF0" w:rsidP="00560DF0">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sidR="00562AF5">
        <w:rPr>
          <w:rFonts w:ascii="David" w:hAnsi="David" w:hint="cs"/>
          <w:rtl/>
        </w:rPr>
        <w:t>זרוע היבשה</w:t>
      </w:r>
      <w:r w:rsidRPr="00FD2DDA">
        <w:rPr>
          <w:rFonts w:ascii="David" w:hAnsi="David" w:hint="cs"/>
          <w:rtl/>
        </w:rPr>
        <w:t xml:space="preserve"> שנית</w:t>
      </w:r>
      <w:r>
        <w:rPr>
          <w:rFonts w:ascii="David" w:hAnsi="David" w:hint="cs"/>
          <w:rtl/>
        </w:rPr>
        <w:t>נה</w:t>
      </w:r>
      <w:r w:rsidRPr="00FD2DDA">
        <w:rPr>
          <w:rFonts w:ascii="David" w:hAnsi="David" w:hint="cs"/>
          <w:rtl/>
        </w:rPr>
        <w:t xml:space="preserve"> בתיק </w:t>
      </w:r>
      <w:r w:rsidR="00562AF5">
        <w:rPr>
          <w:rFonts w:ascii="David" w:hAnsi="David" w:hint="cs"/>
          <w:rtl/>
        </w:rPr>
        <w:t>ז"י</w:t>
      </w:r>
      <w:r w:rsidRPr="00FD2DDA">
        <w:rPr>
          <w:rFonts w:ascii="David" w:hAnsi="David" w:hint="cs"/>
          <w:rtl/>
        </w:rPr>
        <w:t xml:space="preserve"> </w:t>
      </w:r>
      <w:r w:rsidRPr="00FE7B6F">
        <w:rPr>
          <w:rFonts w:ascii="David" w:hAnsi="David" w:hint="cs"/>
          <w:rtl/>
        </w:rPr>
        <w:t>(</w:t>
      </w:r>
      <w:r w:rsidR="00562AF5">
        <w:rPr>
          <w:rFonts w:ascii="David" w:hAnsi="David" w:hint="cs"/>
          <w:rtl/>
        </w:rPr>
        <w:t>ב"ש</w:t>
      </w:r>
      <w:r w:rsidRPr="00FE7B6F">
        <w:rPr>
          <w:rFonts w:ascii="David" w:hAnsi="David" w:hint="cs"/>
          <w:rtl/>
        </w:rPr>
        <w:t xml:space="preserve">) </w:t>
      </w:r>
      <w:r w:rsidR="00562AF5">
        <w:rPr>
          <w:rFonts w:ascii="David" w:hAnsi="David" w:hint="cs"/>
          <w:rtl/>
        </w:rPr>
        <w:t xml:space="preserve">74/23 </w:t>
      </w:r>
      <w:r w:rsidRPr="00FE7B6F">
        <w:rPr>
          <w:rFonts w:ascii="David" w:hAnsi="David" w:hint="cs"/>
          <w:rtl/>
        </w:rPr>
        <w:t xml:space="preserve"> (סא"ל </w:t>
      </w:r>
      <w:r w:rsidR="00562AF5">
        <w:rPr>
          <w:rFonts w:ascii="David" w:hAnsi="David" w:hint="cs"/>
          <w:rtl/>
        </w:rPr>
        <w:t xml:space="preserve">טובי הארט </w:t>
      </w:r>
      <w:r w:rsidR="00562AF5">
        <w:rPr>
          <w:rFonts w:ascii="David" w:hAnsi="David"/>
          <w:rtl/>
        </w:rPr>
        <w:t>–</w:t>
      </w:r>
      <w:r w:rsidR="00562AF5">
        <w:rPr>
          <w:rFonts w:ascii="David" w:hAnsi="David" w:hint="cs"/>
          <w:rtl/>
        </w:rPr>
        <w:t xml:space="preserve"> סגן הנשיא</w:t>
      </w:r>
      <w:r w:rsidRPr="00FE7B6F">
        <w:rPr>
          <w:rFonts w:ascii="David" w:hAnsi="David" w:hint="cs"/>
          <w:rtl/>
        </w:rPr>
        <w:t xml:space="preserve">) ביום </w:t>
      </w:r>
      <w:r w:rsidR="003137C1">
        <w:rPr>
          <w:rFonts w:ascii="David" w:hAnsi="David" w:hint="cs"/>
          <w:rtl/>
        </w:rPr>
        <w:t>7</w:t>
      </w:r>
      <w:r w:rsidRPr="00FE7B6F">
        <w:rPr>
          <w:rFonts w:ascii="David" w:hAnsi="David" w:hint="cs"/>
          <w:rtl/>
        </w:rPr>
        <w:t>.</w:t>
      </w:r>
      <w:r w:rsidR="003137C1">
        <w:rPr>
          <w:rFonts w:ascii="David" w:hAnsi="David" w:hint="cs"/>
          <w:rtl/>
        </w:rPr>
        <w:t>2</w:t>
      </w:r>
      <w:r w:rsidRPr="00FE7B6F">
        <w:rPr>
          <w:rFonts w:ascii="David" w:hAnsi="David" w:hint="cs"/>
          <w:rtl/>
        </w:rPr>
        <w:t>.202</w:t>
      </w:r>
      <w:r>
        <w:rPr>
          <w:rFonts w:ascii="David" w:hAnsi="David" w:hint="cs"/>
          <w:rtl/>
        </w:rPr>
        <w:t>4</w:t>
      </w:r>
      <w:r w:rsidRPr="00FE7B6F">
        <w:rPr>
          <w:rFonts w:ascii="David" w:hAnsi="David" w:hint="cs"/>
          <w:rtl/>
        </w:rPr>
        <w:t xml:space="preserve">. </w:t>
      </w:r>
      <w:r w:rsidR="00562AF5">
        <w:rPr>
          <w:rFonts w:ascii="David" w:hAnsi="David" w:hint="cs"/>
          <w:rtl/>
        </w:rPr>
        <w:t>ערעור</w:t>
      </w:r>
      <w:r w:rsidRPr="00FE7B6F">
        <w:rPr>
          <w:rFonts w:ascii="David" w:hAnsi="David" w:hint="cs"/>
          <w:rtl/>
        </w:rPr>
        <w:t xml:space="preserve"> </w:t>
      </w:r>
      <w:r>
        <w:rPr>
          <w:rFonts w:ascii="David" w:hAnsi="David" w:hint="cs"/>
          <w:rtl/>
        </w:rPr>
        <w:t xml:space="preserve">התביעה </w:t>
      </w:r>
      <w:r w:rsidRPr="00FE7B6F">
        <w:rPr>
          <w:rFonts w:ascii="David" w:hAnsi="David" w:hint="cs"/>
          <w:rtl/>
        </w:rPr>
        <w:t>התקבל</w:t>
      </w:r>
      <w:bookmarkEnd w:id="1"/>
      <w:r>
        <w:rPr>
          <w:rFonts w:ascii="David" w:hAnsi="David" w:hint="cs"/>
          <w:rtl/>
        </w:rPr>
        <w:t>.</w:t>
      </w:r>
    </w:p>
    <w:p w14:paraId="29F36668" w14:textId="77777777" w:rsidR="00560DF0" w:rsidRPr="009B2536" w:rsidRDefault="00560DF0" w:rsidP="00430936">
      <w:pPr>
        <w:spacing w:after="0" w:line="360" w:lineRule="auto"/>
        <w:jc w:val="center"/>
        <w:outlineLvl w:val="0"/>
        <w:rPr>
          <w:b/>
          <w:bCs/>
          <w:sz w:val="8"/>
          <w:szCs w:val="8"/>
          <w:u w:val="single"/>
          <w:rtl/>
        </w:rPr>
      </w:pPr>
    </w:p>
    <w:p w14:paraId="79AC6C75" w14:textId="77777777" w:rsidR="00D97FF5" w:rsidRDefault="00430936" w:rsidP="00430936">
      <w:pPr>
        <w:spacing w:after="0" w:line="360" w:lineRule="auto"/>
        <w:jc w:val="center"/>
        <w:outlineLvl w:val="0"/>
        <w:rPr>
          <w:b/>
          <w:bCs/>
          <w:u w:val="single"/>
          <w:rtl/>
        </w:rPr>
      </w:pPr>
      <w:r>
        <w:rPr>
          <w:rFonts w:hint="cs"/>
          <w:b/>
          <w:bCs/>
          <w:u w:val="single"/>
          <w:rtl/>
        </w:rPr>
        <w:t>ה</w:t>
      </w:r>
      <w:r w:rsidR="00FB4276" w:rsidRPr="00C25D4A">
        <w:rPr>
          <w:rFonts w:hint="cs"/>
          <w:b/>
          <w:bCs/>
          <w:u w:val="single"/>
          <w:rtl/>
        </w:rPr>
        <w:t xml:space="preserve"> ח ל ט ה</w:t>
      </w:r>
    </w:p>
    <w:p w14:paraId="66C9CC0C" w14:textId="77777777" w:rsidR="0002282C" w:rsidRDefault="0002282C" w:rsidP="00430936">
      <w:pPr>
        <w:spacing w:after="0" w:line="360" w:lineRule="auto"/>
        <w:jc w:val="center"/>
        <w:outlineLvl w:val="0"/>
        <w:rPr>
          <w:b/>
          <w:bCs/>
          <w:u w:val="single"/>
          <w:rtl/>
        </w:rPr>
      </w:pPr>
    </w:p>
    <w:p w14:paraId="66A5D8D3" w14:textId="77777777" w:rsidR="004556A3" w:rsidRPr="0055012F" w:rsidRDefault="00B26529" w:rsidP="00F65AEC">
      <w:pPr>
        <w:pStyle w:val="1"/>
        <w:tabs>
          <w:tab w:val="left" w:pos="418"/>
          <w:tab w:val="left" w:pos="992"/>
        </w:tabs>
        <w:spacing w:line="360" w:lineRule="auto"/>
        <w:ind w:left="-7"/>
        <w:jc w:val="both"/>
        <w:outlineLvl w:val="0"/>
        <w:rPr>
          <w:rFonts w:cs="David"/>
          <w:b/>
          <w:bCs/>
          <w:sz w:val="28"/>
          <w:szCs w:val="28"/>
          <w:u w:val="single"/>
          <w:rtl/>
        </w:rPr>
      </w:pPr>
      <w:r w:rsidRPr="0055012F">
        <w:rPr>
          <w:rFonts w:cs="David" w:hint="cs"/>
          <w:b/>
          <w:bCs/>
          <w:sz w:val="28"/>
          <w:szCs w:val="28"/>
          <w:u w:val="single"/>
          <w:rtl/>
        </w:rPr>
        <w:t>רקע</w:t>
      </w:r>
    </w:p>
    <w:p w14:paraId="037C0926" w14:textId="77777777" w:rsidR="002D18DC" w:rsidRDefault="00485EDF" w:rsidP="00560DF0">
      <w:pPr>
        <w:pStyle w:val="2"/>
        <w:ind w:left="-7" w:firstLine="0"/>
        <w:rPr>
          <w:rtl/>
        </w:rPr>
      </w:pPr>
      <w:r>
        <w:rPr>
          <w:rFonts w:hint="cs"/>
          <w:rtl/>
        </w:rPr>
        <w:t xml:space="preserve">כתב האישום בעניינו של </w:t>
      </w:r>
      <w:r w:rsidR="000C1FF8">
        <w:rPr>
          <w:rFonts w:hint="cs"/>
          <w:rtl/>
        </w:rPr>
        <w:t>המשיב</w:t>
      </w:r>
      <w:r>
        <w:rPr>
          <w:rFonts w:hint="cs"/>
          <w:rtl/>
        </w:rPr>
        <w:t xml:space="preserve">, </w:t>
      </w:r>
      <w:r w:rsidR="000C1FF8">
        <w:rPr>
          <w:rFonts w:hint="cs"/>
          <w:rtl/>
        </w:rPr>
        <w:t xml:space="preserve">רב"ט (מיל') </w:t>
      </w:r>
      <w:r w:rsidR="00C400D6">
        <w:rPr>
          <w:rFonts w:hint="cs"/>
          <w:rtl/>
        </w:rPr>
        <w:t xml:space="preserve">מ' ש' </w:t>
      </w:r>
      <w:r>
        <w:rPr>
          <w:rFonts w:hint="cs"/>
          <w:rtl/>
        </w:rPr>
        <w:t xml:space="preserve">, מייחס לו עבירה של מעשה מגונה, בגין אירוע מיום </w:t>
      </w:r>
      <w:r w:rsidR="000C1FF8">
        <w:rPr>
          <w:rFonts w:hint="cs"/>
          <w:rtl/>
        </w:rPr>
        <w:t>13 ביוני 2021</w:t>
      </w:r>
      <w:r>
        <w:rPr>
          <w:rFonts w:hint="cs"/>
          <w:rtl/>
        </w:rPr>
        <w:t xml:space="preserve">, </w:t>
      </w:r>
      <w:r w:rsidR="000C1FF8">
        <w:rPr>
          <w:rFonts w:hint="cs"/>
          <w:rtl/>
        </w:rPr>
        <w:t>בבסיס צאלים</w:t>
      </w:r>
      <w:r>
        <w:rPr>
          <w:rFonts w:hint="cs"/>
          <w:rtl/>
        </w:rPr>
        <w:t xml:space="preserve">. נטען, כי </w:t>
      </w:r>
      <w:r w:rsidR="002B2D60">
        <w:rPr>
          <w:rFonts w:hint="cs"/>
          <w:rtl/>
        </w:rPr>
        <w:t xml:space="preserve">בעת ששהה עם נפגעת העבירה, חיילת מיחידתו, במטבח היחידה, הציעה לו הנפגעת לסייע לו בעבודתו שם. בסמוך לאחר מכן, הציע לה המשיב הצעות מיניות, ואמר ש"אף אחד לא יידע", משום שאין חלונות במטבח. הנפגעת לא הגיבה. מאוחר יותר באותו יום, ערך לה המשיב סיור במטבח, ובמהלכו הראה לה כי במטבח אין חלונות, </w:t>
      </w:r>
      <w:r w:rsidR="004843B0">
        <w:rPr>
          <w:rFonts w:hint="cs"/>
          <w:rtl/>
        </w:rPr>
        <w:t>ושב ואמר ש"אף אחד לא יראה ואף אחד לא יידע". בהמשך, לאחר שנכנסו לחדר הקירור, הצמיד המשיב את הנפגעת אל הקיר במקום, ונישק אותה בפיה, ללא הסכמתה. היא קפאה, ולא הגיבה במשך מספר שניות. לאחר מכן, עזבה את המטבח.</w:t>
      </w:r>
    </w:p>
    <w:p w14:paraId="487798E6" w14:textId="77777777" w:rsidR="00BE5F50" w:rsidRDefault="002C0B66" w:rsidP="00560DF0">
      <w:pPr>
        <w:pStyle w:val="2"/>
        <w:ind w:left="-7" w:firstLine="0"/>
      </w:pPr>
      <w:r>
        <w:rPr>
          <w:rFonts w:hint="cs"/>
          <w:rtl/>
        </w:rPr>
        <w:lastRenderedPageBreak/>
        <w:t xml:space="preserve">נפגעת העבירה מסרה את תלונתה במצ"ח ביום </w:t>
      </w:r>
      <w:r w:rsidR="00803D56" w:rsidRPr="00803D56">
        <w:rPr>
          <w:rFonts w:ascii="David" w:hAnsi="David"/>
        </w:rPr>
        <w:t>8</w:t>
      </w:r>
      <w:r>
        <w:rPr>
          <w:rFonts w:hint="cs"/>
          <w:rtl/>
        </w:rPr>
        <w:t xml:space="preserve"> בינואר 2023. בהודעתה, התלוננה על מעשים</w:t>
      </w:r>
      <w:r w:rsidR="00C82573">
        <w:t xml:space="preserve"> </w:t>
      </w:r>
      <w:r w:rsidR="00C82573">
        <w:rPr>
          <w:rFonts w:hint="cs"/>
          <w:rtl/>
        </w:rPr>
        <w:t>מיניים</w:t>
      </w:r>
      <w:r>
        <w:rPr>
          <w:rFonts w:hint="cs"/>
          <w:rtl/>
        </w:rPr>
        <w:t xml:space="preserve"> שביצעו בה גם אחרים, בהזדמנויות אחרות, ובהם גם סמ"ר </w:t>
      </w:r>
      <w:r w:rsidR="00A209C2">
        <w:rPr>
          <w:rFonts w:hint="cs"/>
          <w:rtl/>
        </w:rPr>
        <w:t>אוראל</w:t>
      </w:r>
      <w:r>
        <w:rPr>
          <w:rFonts w:hint="cs"/>
          <w:rtl/>
        </w:rPr>
        <w:t xml:space="preserve">, סמ"ר </w:t>
      </w:r>
      <w:r w:rsidR="00A209C2">
        <w:rPr>
          <w:rFonts w:hint="cs"/>
          <w:rtl/>
        </w:rPr>
        <w:t xml:space="preserve">סנד </w:t>
      </w:r>
      <w:r>
        <w:rPr>
          <w:rFonts w:hint="cs"/>
          <w:rtl/>
        </w:rPr>
        <w:t xml:space="preserve">ורס"ל </w:t>
      </w:r>
      <w:r w:rsidR="00A209C2">
        <w:rPr>
          <w:rFonts w:hint="cs"/>
          <w:rtl/>
        </w:rPr>
        <w:t>דוד</w:t>
      </w:r>
      <w:r>
        <w:rPr>
          <w:rFonts w:hint="cs"/>
          <w:rtl/>
        </w:rPr>
        <w:t xml:space="preserve">. מן הנפגעת נגבו שלוש </w:t>
      </w:r>
      <w:r w:rsidR="00AC5E1C">
        <w:rPr>
          <w:rFonts w:hint="cs"/>
          <w:rtl/>
        </w:rPr>
        <w:t>הודעות</w:t>
      </w:r>
      <w:r>
        <w:rPr>
          <w:rFonts w:hint="cs"/>
          <w:rtl/>
        </w:rPr>
        <w:t xml:space="preserve">, שבכל אחת מהן התייחסה לכלל התלונות. בהמשך, פוצלו תיקי החקירה. בחקירה בעניינו של סמ"ר </w:t>
      </w:r>
      <w:r w:rsidR="003D6857">
        <w:rPr>
          <w:rFonts w:hint="cs"/>
          <w:rtl/>
        </w:rPr>
        <w:t xml:space="preserve">אוראל </w:t>
      </w:r>
      <w:r>
        <w:rPr>
          <w:rFonts w:hint="cs"/>
          <w:rtl/>
        </w:rPr>
        <w:t xml:space="preserve">מסרה הנפגעת הודעה נוספת. </w:t>
      </w:r>
    </w:p>
    <w:p w14:paraId="2F317BD5" w14:textId="77777777" w:rsidR="00CE6289" w:rsidRDefault="00BE5F50" w:rsidP="00560DF0">
      <w:pPr>
        <w:pStyle w:val="2"/>
        <w:ind w:left="-7" w:firstLine="0"/>
      </w:pPr>
      <w:r>
        <w:rPr>
          <w:rFonts w:hint="cs"/>
          <w:rtl/>
        </w:rPr>
        <w:t xml:space="preserve">כנגד סמ"ר סנד הוגש כתב אישום, המייחס לו שתי עבירות של מעשה מגונה. נטען, כי ליטף את הנפגעת באזור ירכיה ועל איבר מינה, במועד שבמהלך החודשים אוגוסט </w:t>
      </w:r>
      <w:r w:rsidR="00AC5E1C">
        <w:rPr>
          <w:rFonts w:hint="cs"/>
          <w:rtl/>
        </w:rPr>
        <w:t>-</w:t>
      </w:r>
      <w:r>
        <w:rPr>
          <w:rFonts w:hint="cs"/>
          <w:rtl/>
        </w:rPr>
        <w:t xml:space="preserve"> אוקטובר 2021, וכי הכניס את ידו בין כפתורי חולצתה של הנפגעת ונגע בחזייתה, בחודש יולי 2022. גם </w:t>
      </w:r>
      <w:r w:rsidR="002C0B66">
        <w:rPr>
          <w:rFonts w:hint="cs"/>
          <w:rtl/>
        </w:rPr>
        <w:t xml:space="preserve">כנגד סמ"ר </w:t>
      </w:r>
      <w:r w:rsidR="003D6857">
        <w:rPr>
          <w:rFonts w:hint="cs"/>
          <w:rtl/>
        </w:rPr>
        <w:t>א</w:t>
      </w:r>
      <w:r w:rsidR="00A855FA">
        <w:rPr>
          <w:rFonts w:hint="cs"/>
          <w:rtl/>
        </w:rPr>
        <w:t>ו</w:t>
      </w:r>
      <w:r w:rsidR="003D6857">
        <w:rPr>
          <w:rFonts w:hint="cs"/>
          <w:rtl/>
        </w:rPr>
        <w:t xml:space="preserve">ראל </w:t>
      </w:r>
      <w:r w:rsidR="002C0B66">
        <w:rPr>
          <w:rFonts w:hint="cs"/>
          <w:rtl/>
        </w:rPr>
        <w:t>הוגש כתב אישום</w:t>
      </w:r>
      <w:r w:rsidR="003D6857">
        <w:rPr>
          <w:rFonts w:hint="cs"/>
          <w:rtl/>
        </w:rPr>
        <w:t xml:space="preserve">, </w:t>
      </w:r>
      <w:r>
        <w:rPr>
          <w:rFonts w:hint="cs"/>
          <w:rtl/>
        </w:rPr>
        <w:t>המייחס לו עבירות של מעשה סדום, הדחה בחקירה והטרדה באמצעות מתקן בזק. נטען, כי במהלך נסיעה באוטובוס בחודש דצמבר 2021, לאחר שהנפגעת נרדמה, ליטף את רגלה, חשף את איבר מינו והניח את ידה עליו, ולאחר מכן הוריד את הנפגעת על ברכיה אל רצפת האוטובוס, החדיר את איבר מינו לפיה ואילץ אותה לבצע בו מין אוראלי.</w:t>
      </w:r>
      <w:r w:rsidR="00052CB2">
        <w:rPr>
          <w:rFonts w:hint="cs"/>
          <w:rtl/>
        </w:rPr>
        <w:t xml:space="preserve"> בשני כתבי האישום נכתב, כי המעשים בוצעו שלא בהסכמתה של הנפגעת, שקפאה במהלכם. </w:t>
      </w:r>
      <w:r w:rsidR="00E66230">
        <w:rPr>
          <w:rFonts w:hint="cs"/>
          <w:rtl/>
        </w:rPr>
        <w:t xml:space="preserve">משפטיהם </w:t>
      </w:r>
      <w:r w:rsidR="00052CB2">
        <w:rPr>
          <w:rFonts w:hint="cs"/>
          <w:rtl/>
        </w:rPr>
        <w:t xml:space="preserve">של סמ"ר סנד וסמ"ר אוראל </w:t>
      </w:r>
      <w:r w:rsidR="003D6857">
        <w:rPr>
          <w:rFonts w:hint="cs"/>
          <w:rtl/>
        </w:rPr>
        <w:t>תלויים ועומדים</w:t>
      </w:r>
      <w:r w:rsidR="002C0B66">
        <w:rPr>
          <w:rFonts w:hint="cs"/>
          <w:rtl/>
        </w:rPr>
        <w:t xml:space="preserve">. בעניינו של רס"ל </w:t>
      </w:r>
      <w:r w:rsidR="003D6857">
        <w:rPr>
          <w:rFonts w:hint="cs"/>
          <w:rtl/>
        </w:rPr>
        <w:t xml:space="preserve">דוד </w:t>
      </w:r>
      <w:r w:rsidR="002C0B66">
        <w:rPr>
          <w:rFonts w:hint="cs"/>
          <w:rtl/>
        </w:rPr>
        <w:t>ניתנה הוראת פרקליט על העמד</w:t>
      </w:r>
      <w:r w:rsidR="003D6857">
        <w:rPr>
          <w:rFonts w:hint="cs"/>
          <w:rtl/>
        </w:rPr>
        <w:t>ה</w:t>
      </w:r>
      <w:r w:rsidR="002C0B66">
        <w:rPr>
          <w:rFonts w:hint="cs"/>
          <w:rtl/>
        </w:rPr>
        <w:t xml:space="preserve"> לדין משמעתי</w:t>
      </w:r>
      <w:r w:rsidR="003D6857">
        <w:rPr>
          <w:rFonts w:hint="cs"/>
          <w:rtl/>
        </w:rPr>
        <w:t xml:space="preserve"> (נמסר, כי היה זה בשל אופי המעשים שבהם מדובר, ולא בשל קושי ראייתי)</w:t>
      </w:r>
      <w:r w:rsidR="002C0B66">
        <w:rPr>
          <w:rFonts w:hint="cs"/>
          <w:rtl/>
        </w:rPr>
        <w:t>.</w:t>
      </w:r>
      <w:r w:rsidR="00AC5E1C">
        <w:rPr>
          <w:rFonts w:hint="cs"/>
          <w:rtl/>
        </w:rPr>
        <w:t xml:space="preserve"> עדכון לגבי ההליך המשמעתי הועבר לעיוני ביום 3 באפריל 2024.</w:t>
      </w:r>
    </w:p>
    <w:p w14:paraId="186870C6" w14:textId="77777777" w:rsidR="003F1BE8" w:rsidRDefault="005763D6" w:rsidP="00560DF0">
      <w:pPr>
        <w:pStyle w:val="2"/>
        <w:ind w:left="-7" w:firstLine="0"/>
      </w:pPr>
      <w:r>
        <w:rPr>
          <w:rFonts w:hint="cs"/>
          <w:rtl/>
        </w:rPr>
        <w:t>התביעה העבירה להגנה</w:t>
      </w:r>
      <w:r w:rsidR="00100F88">
        <w:rPr>
          <w:rFonts w:hint="cs"/>
          <w:rtl/>
        </w:rPr>
        <w:t xml:space="preserve"> </w:t>
      </w:r>
      <w:r>
        <w:rPr>
          <w:rFonts w:hint="cs"/>
          <w:rtl/>
        </w:rPr>
        <w:t xml:space="preserve">את </w:t>
      </w:r>
      <w:r w:rsidR="00AC5E1C">
        <w:rPr>
          <w:rFonts w:hint="cs"/>
          <w:rtl/>
        </w:rPr>
        <w:t xml:space="preserve">שלוש </w:t>
      </w:r>
      <w:r>
        <w:rPr>
          <w:rFonts w:hint="cs"/>
          <w:rtl/>
        </w:rPr>
        <w:t xml:space="preserve">הודעותיה של הנפגעת </w:t>
      </w:r>
      <w:r w:rsidR="00AC5E1C">
        <w:rPr>
          <w:rFonts w:hint="cs"/>
          <w:rtl/>
        </w:rPr>
        <w:t xml:space="preserve">העוסקות בכלל התלונות </w:t>
      </w:r>
      <w:r>
        <w:rPr>
          <w:rFonts w:hint="cs"/>
          <w:rtl/>
        </w:rPr>
        <w:t>(</w:t>
      </w:r>
      <w:r w:rsidR="00AC5E1C">
        <w:rPr>
          <w:rFonts w:hint="cs"/>
          <w:rtl/>
        </w:rPr>
        <w:t xml:space="preserve">ההודעה </w:t>
      </w:r>
      <w:r>
        <w:rPr>
          <w:rFonts w:hint="cs"/>
          <w:rtl/>
        </w:rPr>
        <w:t xml:space="preserve">העוסקת רק בעניינו של סמ"ר </w:t>
      </w:r>
      <w:r w:rsidR="007B2067">
        <w:rPr>
          <w:rFonts w:hint="cs"/>
          <w:rtl/>
        </w:rPr>
        <w:t>אוראל</w:t>
      </w:r>
      <w:r w:rsidR="00AC5E1C">
        <w:rPr>
          <w:rFonts w:hint="cs"/>
          <w:rtl/>
        </w:rPr>
        <w:t xml:space="preserve"> לא הועברה</w:t>
      </w:r>
      <w:r>
        <w:rPr>
          <w:rFonts w:hint="cs"/>
          <w:rtl/>
        </w:rPr>
        <w:t xml:space="preserve">), </w:t>
      </w:r>
      <w:r w:rsidR="00305164">
        <w:rPr>
          <w:rFonts w:hint="cs"/>
          <w:rtl/>
        </w:rPr>
        <w:t xml:space="preserve">וזאת לדבריה לפנים משורת הדין, וכדי לא </w:t>
      </w:r>
      <w:r w:rsidR="00334291">
        <w:rPr>
          <w:rFonts w:hint="cs"/>
          <w:rtl/>
        </w:rPr>
        <w:t xml:space="preserve">להעלים </w:t>
      </w:r>
      <w:r w:rsidR="00305164">
        <w:rPr>
          <w:rFonts w:hint="cs"/>
          <w:rtl/>
        </w:rPr>
        <w:t>את עצם הגשת התלונות הנוספות</w:t>
      </w:r>
      <w:r w:rsidR="00100F88">
        <w:rPr>
          <w:rFonts w:hint="cs"/>
          <w:rtl/>
        </w:rPr>
        <w:t>. ההודעות הושחרו במקומות מסוימים, שבהם נשאלה הנפגעת על חומרים העולים מחקירת התלונות האחרות</w:t>
      </w:r>
      <w:r w:rsidR="00305164">
        <w:rPr>
          <w:rFonts w:hint="cs"/>
          <w:rtl/>
        </w:rPr>
        <w:t xml:space="preserve">. ההגנה לא הסתפקה בכך, אלא </w:t>
      </w:r>
      <w:r w:rsidR="00890152">
        <w:rPr>
          <w:rFonts w:hint="cs"/>
          <w:rtl/>
        </w:rPr>
        <w:t xml:space="preserve">הגישה </w:t>
      </w:r>
      <w:r w:rsidR="0092600E">
        <w:rPr>
          <w:rFonts w:hint="cs"/>
          <w:rtl/>
        </w:rPr>
        <w:t xml:space="preserve">בקשה לעיון בחומר חקירה </w:t>
      </w:r>
      <w:r w:rsidR="00CD4225" w:rsidRPr="00CD4225">
        <w:rPr>
          <w:rFonts w:hint="cs"/>
          <w:rtl/>
        </w:rPr>
        <w:t>לפי סעיף 74 לחוק סדר הדין הפלילי [נוסח משולב], התשמ"ב-1982</w:t>
      </w:r>
      <w:r w:rsidR="00FD1A4C">
        <w:rPr>
          <w:rFonts w:hint="cs"/>
          <w:rtl/>
        </w:rPr>
        <w:t>, שעניינה קבלת</w:t>
      </w:r>
      <w:r w:rsidR="002F7FE5">
        <w:rPr>
          <w:rFonts w:hint="cs"/>
          <w:rtl/>
        </w:rPr>
        <w:t xml:space="preserve"> תוכנם </w:t>
      </w:r>
      <w:r w:rsidR="00FD1A4C">
        <w:rPr>
          <w:rFonts w:hint="cs"/>
          <w:rtl/>
        </w:rPr>
        <w:t>של כל תיקי החקירה שנפתחו בעקבות תלונותיה של הנפגעת</w:t>
      </w:r>
      <w:r w:rsidR="00D25096">
        <w:rPr>
          <w:rFonts w:hint="cs"/>
          <w:rtl/>
        </w:rPr>
        <w:t xml:space="preserve">. </w:t>
      </w:r>
      <w:r w:rsidR="00305164">
        <w:rPr>
          <w:rFonts w:hint="cs"/>
          <w:rtl/>
        </w:rPr>
        <w:t xml:space="preserve">התביעה התנגדה לכך, בטענה כי אין בחומרים כדי לסייע להגנתו של המשיב, וכי בהעברתם יש כדי לפגוע בפרטיותה של נפגעת העבירה. הנפגעת הצטרפה לעמדה זו. </w:t>
      </w:r>
    </w:p>
    <w:p w14:paraId="79BB1FF6" w14:textId="77777777" w:rsidR="0022531E" w:rsidRDefault="0022531E" w:rsidP="00560DF0">
      <w:pPr>
        <w:pStyle w:val="2"/>
        <w:numPr>
          <w:ilvl w:val="0"/>
          <w:numId w:val="0"/>
        </w:numPr>
        <w:ind w:left="-7"/>
        <w:rPr>
          <w:rtl/>
        </w:rPr>
      </w:pPr>
    </w:p>
    <w:p w14:paraId="1AC61DE0" w14:textId="77777777" w:rsidR="0022531E" w:rsidRPr="0022531E" w:rsidRDefault="0022531E" w:rsidP="00560DF0">
      <w:pPr>
        <w:pStyle w:val="2"/>
        <w:numPr>
          <w:ilvl w:val="0"/>
          <w:numId w:val="0"/>
        </w:numPr>
        <w:ind w:left="-7"/>
        <w:rPr>
          <w:b/>
          <w:bCs/>
          <w:u w:val="single"/>
        </w:rPr>
      </w:pPr>
      <w:r>
        <w:rPr>
          <w:rFonts w:hint="cs"/>
          <w:b/>
          <w:bCs/>
          <w:u w:val="single"/>
          <w:rtl/>
        </w:rPr>
        <w:t>החלטתו של בית הדין קמא</w:t>
      </w:r>
    </w:p>
    <w:p w14:paraId="3D74D771" w14:textId="77777777" w:rsidR="00305164" w:rsidRDefault="00305164" w:rsidP="00560DF0">
      <w:pPr>
        <w:pStyle w:val="2"/>
        <w:ind w:left="-7" w:firstLine="0"/>
      </w:pPr>
      <w:r>
        <w:rPr>
          <w:rFonts w:hint="cs"/>
          <w:rtl/>
        </w:rPr>
        <w:t xml:space="preserve">בית הדין קמא הנכבד מצא, כי בתיקי החקירה הנוספים </w:t>
      </w:r>
      <w:r w:rsidR="00D94599">
        <w:rPr>
          <w:rFonts w:hint="cs"/>
          <w:rtl/>
        </w:rPr>
        <w:t xml:space="preserve">קיימים חומרים בעלי זיקה ממשית לעניינו של </w:t>
      </w:r>
      <w:r w:rsidR="0078392E">
        <w:rPr>
          <w:rFonts w:hint="cs"/>
          <w:rtl/>
        </w:rPr>
        <w:t>ה</w:t>
      </w:r>
      <w:r w:rsidR="00D94599">
        <w:rPr>
          <w:rFonts w:hint="cs"/>
          <w:rtl/>
        </w:rPr>
        <w:t>משיב, והם רלוונטיים לקווי הגנתו.</w:t>
      </w:r>
      <w:r w:rsidR="00724D95">
        <w:rPr>
          <w:rFonts w:hint="cs"/>
          <w:rtl/>
        </w:rPr>
        <w:t xml:space="preserve"> נקבע, כי </w:t>
      </w:r>
      <w:r w:rsidR="0008341D">
        <w:rPr>
          <w:rFonts w:hint="cs"/>
          <w:rtl/>
        </w:rPr>
        <w:t>מש</w:t>
      </w:r>
      <w:r w:rsidR="0078392E">
        <w:rPr>
          <w:rFonts w:hint="cs"/>
          <w:rtl/>
        </w:rPr>
        <w:t xml:space="preserve">נפגעת העבירה </w:t>
      </w:r>
      <w:r w:rsidR="0008341D">
        <w:rPr>
          <w:rFonts w:hint="cs"/>
          <w:rtl/>
        </w:rPr>
        <w:t xml:space="preserve">גיבשה את החלטתה להגיש את תלונתה ביחס לכלל האירועים במשותף, זמן רב לאחר התרחשותם </w:t>
      </w:r>
      <w:r w:rsidR="0078392E">
        <w:rPr>
          <w:rFonts w:hint="cs"/>
          <w:rtl/>
        </w:rPr>
        <w:t>-</w:t>
      </w:r>
      <w:r w:rsidR="0008341D">
        <w:rPr>
          <w:rFonts w:hint="cs"/>
          <w:rtl/>
        </w:rPr>
        <w:t xml:space="preserve"> הרי </w:t>
      </w:r>
      <w:r w:rsidR="0078392E">
        <w:rPr>
          <w:rFonts w:hint="cs"/>
          <w:rtl/>
        </w:rPr>
        <w:t>ש</w:t>
      </w:r>
      <w:r w:rsidR="0008341D">
        <w:rPr>
          <w:rFonts w:hint="cs"/>
          <w:rtl/>
        </w:rPr>
        <w:t>ככל שההגנה תעלה מניע חיצוני להגשת התלונה, "אפשר שתידרש התייחסות לפרטי כלל התלונות על מנת לברר טענה זו</w:t>
      </w:r>
      <w:r w:rsidR="00460C34">
        <w:rPr>
          <w:rFonts w:hint="cs"/>
          <w:rtl/>
        </w:rPr>
        <w:t>"</w:t>
      </w:r>
      <w:r w:rsidR="0078392E">
        <w:rPr>
          <w:rFonts w:hint="cs"/>
          <w:rtl/>
        </w:rPr>
        <w:t xml:space="preserve">. </w:t>
      </w:r>
      <w:r w:rsidR="00460C34">
        <w:rPr>
          <w:rFonts w:hint="cs"/>
          <w:rtl/>
        </w:rPr>
        <w:t xml:space="preserve">אף לעניין חלוף הזמן עד להגשת התלונה, </w:t>
      </w:r>
      <w:r w:rsidR="0078392E">
        <w:rPr>
          <w:rFonts w:hint="cs"/>
          <w:rtl/>
        </w:rPr>
        <w:t xml:space="preserve">צוין כי </w:t>
      </w:r>
      <w:r w:rsidR="00460C34">
        <w:rPr>
          <w:rFonts w:hint="cs"/>
          <w:rtl/>
        </w:rPr>
        <w:t xml:space="preserve">"ניתן להעריך כי המענה יהיה אחד ויתייחס להחלטה להתלונן על כלל האירועים". </w:t>
      </w:r>
      <w:r w:rsidR="0078392E">
        <w:rPr>
          <w:rFonts w:hint="cs"/>
          <w:rtl/>
        </w:rPr>
        <w:t>עוד הוער</w:t>
      </w:r>
      <w:r w:rsidR="00F42B98">
        <w:rPr>
          <w:rFonts w:hint="cs"/>
          <w:rtl/>
        </w:rPr>
        <w:t xml:space="preserve">, </w:t>
      </w:r>
      <w:r w:rsidR="0078392E">
        <w:rPr>
          <w:rFonts w:hint="cs"/>
          <w:rtl/>
        </w:rPr>
        <w:t xml:space="preserve">כי </w:t>
      </w:r>
      <w:r w:rsidR="00460C34">
        <w:rPr>
          <w:rFonts w:hint="cs"/>
          <w:rtl/>
        </w:rPr>
        <w:t xml:space="preserve">הגשתה של התלונה </w:t>
      </w:r>
      <w:r w:rsidR="00460C34">
        <w:rPr>
          <w:rFonts w:hint="cs"/>
          <w:rtl/>
        </w:rPr>
        <w:lastRenderedPageBreak/>
        <w:t>המשותפת הביאה לכך שההליכים המשפטיים הנוספים עודם תלויים ועומדים, כך שלא ניתן לדעת אם התלונות האחרות אומתו, "והדבר עשוי להשפיע על היקף הבירור שיתאפשר במסגרת משפטו של [המשיב] עצמו</w:t>
      </w:r>
      <w:r w:rsidR="00F42B98">
        <w:rPr>
          <w:rFonts w:hint="cs"/>
          <w:rtl/>
        </w:rPr>
        <w:t>"</w:t>
      </w:r>
      <w:r w:rsidR="0078392E">
        <w:rPr>
          <w:rFonts w:hint="cs"/>
          <w:rtl/>
        </w:rPr>
        <w:t>.</w:t>
      </w:r>
      <w:r w:rsidR="00F42B98">
        <w:rPr>
          <w:rFonts w:hint="cs"/>
          <w:rtl/>
        </w:rPr>
        <w:t xml:space="preserve"> בנסיבות אלה, </w:t>
      </w:r>
      <w:r w:rsidR="0078392E">
        <w:rPr>
          <w:rFonts w:hint="cs"/>
          <w:rtl/>
        </w:rPr>
        <w:t xml:space="preserve">נקבע כי </w:t>
      </w:r>
      <w:r w:rsidR="00F42B98">
        <w:rPr>
          <w:rFonts w:hint="cs"/>
          <w:rtl/>
        </w:rPr>
        <w:t xml:space="preserve">"אין מנוס מבחינת חומרי החקירה הגולמיים עצמם, על מנת לבחון אם קיימים 'דפוסים' מקבילים בתוכן התלונות". צוין, כי משהועברו להגנה עדויות הנפגעת לגבי כלל התלונות, הרי שהעברתם של חומרים נוספים "צפויה להשפיע במידה מועטה באופן יחסי על פרטיותם של המתלוננת ושל הנילונים". </w:t>
      </w:r>
      <w:r w:rsidR="00B06CD6">
        <w:rPr>
          <w:rFonts w:hint="cs"/>
          <w:rtl/>
        </w:rPr>
        <w:t xml:space="preserve">נקבע, כי אילו היה הקשר בין תיקי החקירה מתבטא במועד הגשת התלונות, ניתן היה להסתפק בהעברת מקטעים מהודעותיה של הנפגעת, "לצד הרחבת פרפראזות מסוימות", אלא שבבחינה מרחיבה של קווי ההגנה העולים מתיקי החקירה, עולה זיקה ממשית בין התיקים. </w:t>
      </w:r>
    </w:p>
    <w:p w14:paraId="4679E550" w14:textId="77777777" w:rsidR="000C0FB7" w:rsidRDefault="00B06CD6" w:rsidP="00560DF0">
      <w:pPr>
        <w:pStyle w:val="2"/>
        <w:ind w:left="-7" w:firstLine="0"/>
      </w:pPr>
      <w:r>
        <w:rPr>
          <w:rFonts w:hint="cs"/>
          <w:rtl/>
        </w:rPr>
        <w:t xml:space="preserve">בית הדין קמא פירט את קווי ההגנה האפשריים, בעלי הזיקה לתיקים האחרים, כדלקמן: </w:t>
      </w:r>
      <w:r w:rsidRPr="006A0554">
        <w:rPr>
          <w:rFonts w:hint="cs"/>
          <w:b/>
          <w:bCs/>
          <w:rtl/>
        </w:rPr>
        <w:t>האחד</w:t>
      </w:r>
      <w:r>
        <w:rPr>
          <w:rFonts w:hint="cs"/>
          <w:rtl/>
        </w:rPr>
        <w:t>, נוגע לשאלת ההסכמה של הנפגעת למעשיו של המשיב, והאופן שבו עשויות היו להתפרש תגובותיה</w:t>
      </w:r>
      <w:r w:rsidR="006A0554">
        <w:rPr>
          <w:rFonts w:hint="cs"/>
          <w:rtl/>
        </w:rPr>
        <w:t xml:space="preserve"> בהקשר זה; </w:t>
      </w:r>
      <w:r w:rsidR="006A0554">
        <w:rPr>
          <w:rFonts w:hint="cs"/>
          <w:b/>
          <w:bCs/>
          <w:rtl/>
        </w:rPr>
        <w:t>השני</w:t>
      </w:r>
      <w:r w:rsidR="006A0554">
        <w:rPr>
          <w:rFonts w:hint="cs"/>
          <w:rtl/>
        </w:rPr>
        <w:t xml:space="preserve">, נוגע להתפתחות שחלה בפרטים שאותם בחרה הנפגעת לחשוף, ובטעמים לכך (ולעיכוב בהגשת התלונה); </w:t>
      </w:r>
      <w:r w:rsidR="006A0554">
        <w:rPr>
          <w:rFonts w:hint="cs"/>
          <w:b/>
          <w:bCs/>
          <w:rtl/>
        </w:rPr>
        <w:t>השלישי</w:t>
      </w:r>
      <w:r w:rsidR="006A0554">
        <w:rPr>
          <w:rFonts w:hint="cs"/>
          <w:rtl/>
        </w:rPr>
        <w:t>, נוגע לאי-נקיטתן של פעולות חקירה שונות בתיק.</w:t>
      </w:r>
      <w:r w:rsidR="00E213E7">
        <w:rPr>
          <w:rFonts w:hint="cs"/>
          <w:rtl/>
        </w:rPr>
        <w:t xml:space="preserve"> התנהלותה של הנפגעת במהלך המעשים ושאלת הסכמתה לביצועם, לצד התפתחות בגרסתה, </w:t>
      </w:r>
      <w:r w:rsidR="00AC5E1C">
        <w:rPr>
          <w:rFonts w:hint="cs"/>
          <w:rtl/>
        </w:rPr>
        <w:t>ה</w:t>
      </w:r>
      <w:r w:rsidR="00CB32D5">
        <w:rPr>
          <w:rFonts w:hint="cs"/>
          <w:rtl/>
        </w:rPr>
        <w:t>ן</w:t>
      </w:r>
      <w:r w:rsidR="00AC5E1C">
        <w:rPr>
          <w:rFonts w:hint="cs"/>
          <w:rtl/>
        </w:rPr>
        <w:t xml:space="preserve"> סוגיות ה</w:t>
      </w:r>
      <w:r w:rsidR="00E213E7">
        <w:rPr>
          <w:rFonts w:hint="cs"/>
          <w:rtl/>
        </w:rPr>
        <w:t>עולות, לפי קביעתו של בית הדין, גם מחומר החקירה בעניינו של סמ"ר סנד</w:t>
      </w:r>
      <w:r w:rsidR="00CB6F07">
        <w:rPr>
          <w:rFonts w:hint="cs"/>
          <w:rtl/>
        </w:rPr>
        <w:t xml:space="preserve">. הוטעם, כי מפקדתה של הנפגעת, </w:t>
      </w:r>
      <w:r w:rsidR="00721766">
        <w:rPr>
          <w:rFonts w:hint="cs"/>
          <w:rtl/>
        </w:rPr>
        <w:t xml:space="preserve">סמל נועה, </w:t>
      </w:r>
      <w:r w:rsidR="00CB6F07">
        <w:rPr>
          <w:rFonts w:hint="cs"/>
          <w:rtl/>
        </w:rPr>
        <w:t xml:space="preserve">שנחקרה בתיקו של סמ"ר סנד כעדת ראיה לחלק </w:t>
      </w:r>
      <w:r w:rsidR="00AC5E1C">
        <w:rPr>
          <w:rFonts w:hint="cs"/>
          <w:rtl/>
        </w:rPr>
        <w:t>מ</w:t>
      </w:r>
      <w:r w:rsidR="00CB6F07">
        <w:rPr>
          <w:rFonts w:hint="cs"/>
          <w:rtl/>
        </w:rPr>
        <w:t xml:space="preserve">אחד האירועים המיוחסים לו, התייחסה באופן כללי גם למקרים נוספים, "ואפשר שעניינו של [המשיב] הוא אחד המקרים". עוד מסרה פרטים לגבי מה שהוגדר על ידי בית הדין כ"'דפוס' התנהלות </w:t>
      </w:r>
      <w:r w:rsidR="00B42B32">
        <w:rPr>
          <w:rFonts w:hint="cs"/>
          <w:rtl/>
        </w:rPr>
        <w:t xml:space="preserve">[של הנפגעת] </w:t>
      </w:r>
      <w:r w:rsidR="00CB6F07">
        <w:rPr>
          <w:rFonts w:hint="cs"/>
          <w:rtl/>
        </w:rPr>
        <w:t>שעשוי להיתפס כביטוי להסכמה מצידה"</w:t>
      </w:r>
      <w:r w:rsidR="00B42B32">
        <w:rPr>
          <w:rFonts w:hint="cs"/>
          <w:rtl/>
        </w:rPr>
        <w:t>.</w:t>
      </w:r>
      <w:r w:rsidR="004168F5">
        <w:rPr>
          <w:rFonts w:hint="cs"/>
          <w:rtl/>
        </w:rPr>
        <w:t xml:space="preserve"> אף בתיק זה לא מוצו, לגישת בית הדין, פעולות החקירה הנדרשות. אשר לתיק החקירה בעניינו של סמ"ר אוראל, צוין כי גרסתה של הנפגעת התפתחה משמעותית - באופן המתבטא בכתב האישום שהוגש (</w:t>
      </w:r>
      <w:r w:rsidR="000C0FB7">
        <w:rPr>
          <w:rFonts w:hint="cs"/>
          <w:rtl/>
        </w:rPr>
        <w:t xml:space="preserve">הנפגעת </w:t>
      </w:r>
      <w:r w:rsidR="004168F5">
        <w:rPr>
          <w:rFonts w:hint="cs"/>
          <w:rtl/>
        </w:rPr>
        <w:t xml:space="preserve">אף ציינה </w:t>
      </w:r>
      <w:r w:rsidR="000C0FB7">
        <w:rPr>
          <w:rFonts w:hint="cs"/>
          <w:rtl/>
        </w:rPr>
        <w:t xml:space="preserve">בהודעתה </w:t>
      </w:r>
      <w:r w:rsidR="004168F5">
        <w:rPr>
          <w:rFonts w:hint="cs"/>
          <w:rtl/>
        </w:rPr>
        <w:t xml:space="preserve">כי נמנעה מלפרט חלק ממעשיו של המשיב, כפי שנמנעה מלפרט את מעשיו של סמ"ר אוראל). אף כאן, מתעוררת </w:t>
      </w:r>
      <w:r w:rsidR="003B002D">
        <w:rPr>
          <w:rFonts w:hint="cs"/>
          <w:rtl/>
        </w:rPr>
        <w:t xml:space="preserve">לדעת בית הדין שאלה לגבי הבנת אי-הסכמתה של הנפגעת למעשים (שכן תיאוריה בעניין זה למפקדתה "אינם תואמים באופן מלא את תלונתה במצ"ח בסופו של יום"). </w:t>
      </w:r>
    </w:p>
    <w:p w14:paraId="4D5F110B" w14:textId="77777777" w:rsidR="00B42B32" w:rsidRDefault="003B002D" w:rsidP="00560DF0">
      <w:pPr>
        <w:pStyle w:val="2"/>
        <w:ind w:left="-7" w:firstLine="0"/>
      </w:pPr>
      <w:r>
        <w:rPr>
          <w:rFonts w:hint="cs"/>
          <w:rtl/>
        </w:rPr>
        <w:t xml:space="preserve">בעניינו של רס"ל דוד, לעומת זאת, לא עלתה טענה לשיתוף פעולה מצד הנפגעת. קווים דומים לענייננו, של מועד הגשת התלונה והטעמים להגשתה, לצד </w:t>
      </w:r>
      <w:r w:rsidR="00D7234D">
        <w:rPr>
          <w:rFonts w:hint="cs"/>
          <w:rtl/>
        </w:rPr>
        <w:t xml:space="preserve">אי-שיתוף פעולה של הנפגעת בעריכתו של עימות עם הנילון, מצאו ביטוי </w:t>
      </w:r>
      <w:r w:rsidR="000C0FB7">
        <w:rPr>
          <w:rFonts w:hint="cs"/>
          <w:rtl/>
        </w:rPr>
        <w:t>בהודעותיה</w:t>
      </w:r>
      <w:r w:rsidR="00D7234D">
        <w:rPr>
          <w:rFonts w:hint="cs"/>
          <w:rtl/>
        </w:rPr>
        <w:t>, כפי שהועברו להגנה. נקבע, לכן, כי מלבד העברת פרפראזה, שלפיה במהלך החקירה אותרו תכתובות בין רס"ל דוד לבין הנפגעת, אין ביתר החומרים כדי לסייע בהגנת המשיב, "ואף יהי</w:t>
      </w:r>
      <w:r w:rsidR="000C0FB7">
        <w:rPr>
          <w:rFonts w:hint="cs"/>
          <w:rtl/>
        </w:rPr>
        <w:t>ה</w:t>
      </w:r>
      <w:r w:rsidR="00D7234D">
        <w:rPr>
          <w:rFonts w:hint="cs"/>
          <w:rtl/>
        </w:rPr>
        <w:t xml:space="preserve"> בהם משום פגיעה נוספת שאינה הכרחית </w:t>
      </w:r>
      <w:r w:rsidR="00D7234D">
        <w:rPr>
          <w:rFonts w:hint="cs"/>
          <w:rtl/>
        </w:rPr>
        <w:lastRenderedPageBreak/>
        <w:t>בפרטיותו [של רס"ל דוד]".</w:t>
      </w:r>
      <w:r w:rsidR="000C0FB7">
        <w:rPr>
          <w:rFonts w:hint="cs"/>
          <w:rtl/>
        </w:rPr>
        <w:t xml:space="preserve"> ההגנה לא ערערה על קביעה זו, ומשום כך לא אדרש בהחלטה </w:t>
      </w:r>
      <w:r w:rsidR="00CB32D5">
        <w:rPr>
          <w:rFonts w:hint="cs"/>
          <w:rtl/>
        </w:rPr>
        <w:t xml:space="preserve">זו </w:t>
      </w:r>
      <w:r w:rsidR="000C0FB7">
        <w:rPr>
          <w:rFonts w:hint="cs"/>
          <w:rtl/>
        </w:rPr>
        <w:t xml:space="preserve">לעניינו של רס"ל דוד, או לעדכון לגבי ההליך המשמעתי בעניינו, כפי שהועבר </w:t>
      </w:r>
      <w:r w:rsidR="0062416E">
        <w:rPr>
          <w:rFonts w:hint="cs"/>
          <w:rtl/>
        </w:rPr>
        <w:t xml:space="preserve">כאמור </w:t>
      </w:r>
      <w:r w:rsidR="000C0FB7">
        <w:rPr>
          <w:rFonts w:hint="cs"/>
          <w:rtl/>
        </w:rPr>
        <w:t>לעיוני.</w:t>
      </w:r>
    </w:p>
    <w:p w14:paraId="531DAAD0" w14:textId="77777777" w:rsidR="00721766" w:rsidRDefault="00721766" w:rsidP="00560DF0">
      <w:pPr>
        <w:pStyle w:val="2"/>
        <w:ind w:left="-7" w:firstLine="0"/>
      </w:pPr>
      <w:r>
        <w:rPr>
          <w:rFonts w:hint="cs"/>
          <w:rtl/>
        </w:rPr>
        <w:t xml:space="preserve">לסיכום, הורה בית הדין קמא על העברתם של המסמכים הבאים לעיון ההגנה: הודעות הנפגעת, ללא השחרות, ובכללן ההודעה העוסקת רק בעניינו של סמ"ר אוראל; אמרתו של סמ"ר סנד; </w:t>
      </w:r>
      <w:r w:rsidR="00AC3367">
        <w:rPr>
          <w:rFonts w:hint="cs"/>
          <w:rtl/>
        </w:rPr>
        <w:t xml:space="preserve">הודעת </w:t>
      </w:r>
      <w:r>
        <w:rPr>
          <w:rFonts w:hint="cs"/>
          <w:rtl/>
        </w:rPr>
        <w:t xml:space="preserve">מפקדתה של הנפגעת סמל נועה, כפי שנגבתה בתיקו של סמ"ר סנד; אמרותיו של סמ"ר אוראל, </w:t>
      </w:r>
      <w:r w:rsidR="00AC3367">
        <w:rPr>
          <w:rFonts w:hint="cs"/>
          <w:rtl/>
        </w:rPr>
        <w:t>ומזכרים המתעדים את חקירותיו; הודעת מפקדתה של הנפגעת</w:t>
      </w:r>
      <w:r w:rsidR="00CB32D5">
        <w:rPr>
          <w:rFonts w:hint="cs"/>
          <w:rtl/>
        </w:rPr>
        <w:t>,</w:t>
      </w:r>
      <w:r w:rsidR="00AC3367">
        <w:rPr>
          <w:rFonts w:hint="cs"/>
          <w:rtl/>
        </w:rPr>
        <w:t xml:space="preserve"> סגן נוי, כפי שנגבתה בתיקו של סמ"ר אוראל</w:t>
      </w:r>
      <w:r w:rsidR="00DD10CD">
        <w:rPr>
          <w:rFonts w:hint="cs"/>
          <w:rtl/>
        </w:rPr>
        <w:t>, ומסמכי העיון הידני שנערך במכשירה הסלולארי של הקצינה</w:t>
      </w:r>
      <w:r w:rsidR="00AC3367">
        <w:rPr>
          <w:rFonts w:hint="cs"/>
          <w:rtl/>
        </w:rPr>
        <w:t xml:space="preserve">; </w:t>
      </w:r>
      <w:r w:rsidR="00A05528">
        <w:rPr>
          <w:rFonts w:hint="cs"/>
          <w:rtl/>
        </w:rPr>
        <w:t>תיעוד העימות בין הנפגעת לבין סמ"ר אוראל; ו</w:t>
      </w:r>
      <w:r w:rsidR="00AC3367">
        <w:rPr>
          <w:rFonts w:hint="cs"/>
          <w:rtl/>
        </w:rPr>
        <w:t>הודעתה של ממונת היוהל"ם, שאליה פנתה הנפגעת בעקבות האירוע עם סמ"ר אוראל, והזכירה "באופן אגבי מאוד" גם את סמ"ר סנד - מבלי להזכיר את עניינו של המשיב, שמעשיו היו הראשונים בזמן, כך שלדעת בית הדין, "עשוי הדבר להיות רלוונטי להגנתו של [המשיב]"</w:t>
      </w:r>
      <w:r w:rsidR="008346BF">
        <w:rPr>
          <w:rFonts w:hint="cs"/>
          <w:rtl/>
        </w:rPr>
        <w:t>.</w:t>
      </w:r>
    </w:p>
    <w:p w14:paraId="342EC2E8" w14:textId="77777777" w:rsidR="008346BF" w:rsidRDefault="008346BF" w:rsidP="00560DF0">
      <w:pPr>
        <w:pStyle w:val="2"/>
        <w:ind w:left="-7" w:firstLine="0"/>
      </w:pPr>
      <w:r>
        <w:rPr>
          <w:rFonts w:hint="cs"/>
          <w:rtl/>
        </w:rPr>
        <w:t>התביעה לא השלימה עם ההחלטה, ומכאן הערעור.</w:t>
      </w:r>
    </w:p>
    <w:p w14:paraId="00F813DB" w14:textId="77777777" w:rsidR="001951C6" w:rsidRDefault="001951C6" w:rsidP="00560DF0">
      <w:pPr>
        <w:pStyle w:val="2"/>
        <w:numPr>
          <w:ilvl w:val="0"/>
          <w:numId w:val="0"/>
        </w:numPr>
        <w:tabs>
          <w:tab w:val="left" w:pos="418"/>
          <w:tab w:val="left" w:pos="992"/>
        </w:tabs>
        <w:ind w:left="-7"/>
        <w:rPr>
          <w:rtl/>
        </w:rPr>
      </w:pPr>
    </w:p>
    <w:p w14:paraId="481E564E" w14:textId="77777777" w:rsidR="00814022" w:rsidRPr="00814022" w:rsidRDefault="008346BF" w:rsidP="00560DF0">
      <w:pPr>
        <w:pStyle w:val="2"/>
        <w:numPr>
          <w:ilvl w:val="0"/>
          <w:numId w:val="0"/>
        </w:numPr>
        <w:tabs>
          <w:tab w:val="left" w:pos="418"/>
          <w:tab w:val="left" w:pos="992"/>
        </w:tabs>
        <w:ind w:left="-7"/>
        <w:rPr>
          <w:b/>
          <w:bCs/>
          <w:u w:val="single"/>
        </w:rPr>
      </w:pPr>
      <w:r>
        <w:rPr>
          <w:rFonts w:hint="cs"/>
          <w:b/>
          <w:bCs/>
          <w:u w:val="single"/>
          <w:rtl/>
        </w:rPr>
        <w:t>טענות הצדדים בערעור</w:t>
      </w:r>
    </w:p>
    <w:p w14:paraId="4EE1CC72" w14:textId="77777777" w:rsidR="00BE4350" w:rsidRDefault="005A077D" w:rsidP="00560DF0">
      <w:pPr>
        <w:pStyle w:val="2"/>
        <w:ind w:left="-7" w:firstLine="0"/>
      </w:pPr>
      <w:r w:rsidRPr="005A077D">
        <w:rPr>
          <w:rFonts w:hint="cs"/>
          <w:rtl/>
        </w:rPr>
        <w:t>לטענת</w:t>
      </w:r>
      <w:r>
        <w:rPr>
          <w:rFonts w:hint="cs"/>
          <w:b/>
          <w:bCs/>
          <w:rtl/>
        </w:rPr>
        <w:t xml:space="preserve"> </w:t>
      </w:r>
      <w:r w:rsidR="003D0F32" w:rsidRPr="00BE4350">
        <w:rPr>
          <w:rFonts w:hint="cs"/>
          <w:b/>
          <w:bCs/>
          <w:rtl/>
        </w:rPr>
        <w:t>התביעה</w:t>
      </w:r>
      <w:r w:rsidR="003D0F32">
        <w:rPr>
          <w:rFonts w:hint="cs"/>
          <w:rtl/>
        </w:rPr>
        <w:t xml:space="preserve">, החלטתו של בית הדין קמא פוגעת באופן בלתי מידתי בפרטיותה של נפגעת העבירה, ללא תועלת ממשית להגנת המשיב </w:t>
      </w:r>
      <w:r w:rsidR="003D0F32">
        <w:rPr>
          <w:rtl/>
        </w:rPr>
        <w:t>-</w:t>
      </w:r>
      <w:r w:rsidR="003D0F32">
        <w:rPr>
          <w:rFonts w:hint="cs"/>
          <w:rtl/>
        </w:rPr>
        <w:t xml:space="preserve"> </w:t>
      </w:r>
      <w:r w:rsidR="00376EBC">
        <w:rPr>
          <w:rFonts w:hint="cs"/>
          <w:rtl/>
        </w:rPr>
        <w:t xml:space="preserve">הגנה שאף </w:t>
      </w:r>
      <w:r w:rsidR="003D0F32">
        <w:rPr>
          <w:rFonts w:hint="cs"/>
          <w:rtl/>
        </w:rPr>
        <w:t>טרם פורטה בגדר כפירה מסודר</w:t>
      </w:r>
      <w:r w:rsidR="00C02530">
        <w:rPr>
          <w:rFonts w:hint="cs"/>
          <w:rtl/>
        </w:rPr>
        <w:t xml:space="preserve"> (ומכל מקום איננה כוללת, לפי גרסתו של המשיב, טענה ל"מניע חיצוני" כלשהו של הנפגעת להגשת התלונות)</w:t>
      </w:r>
      <w:r w:rsidR="003D0F32">
        <w:rPr>
          <w:rFonts w:hint="cs"/>
          <w:rtl/>
        </w:rPr>
        <w:t>. נטען, כי תוצאתה של ההחלטה היא, הלכה למעשה, בירור תלונותיה של הנפגעת בגין אירועים שונים ונפרדים, להבדיל מעניינה הפרטני של התלונה נגד המשיב</w:t>
      </w:r>
      <w:r>
        <w:rPr>
          <w:rFonts w:hint="cs"/>
          <w:rtl/>
        </w:rPr>
        <w:t xml:space="preserve">, </w:t>
      </w:r>
      <w:r w:rsidR="0083467B">
        <w:rPr>
          <w:rFonts w:hint="cs"/>
          <w:rtl/>
        </w:rPr>
        <w:t xml:space="preserve">וזאת </w:t>
      </w:r>
      <w:r>
        <w:rPr>
          <w:rFonts w:hint="cs"/>
          <w:rtl/>
        </w:rPr>
        <w:t>בניגוד לכלל בדבר סופיות תשובותיהם של עדים בעניינים נלווים</w:t>
      </w:r>
      <w:r w:rsidR="00E36A91">
        <w:rPr>
          <w:rFonts w:hint="cs"/>
          <w:rtl/>
        </w:rPr>
        <w:t xml:space="preserve"> ולאיסור על חקירתה של נפגעת עבירה על עברה המיני</w:t>
      </w:r>
      <w:r w:rsidR="003D0F32">
        <w:rPr>
          <w:rFonts w:hint="cs"/>
          <w:rtl/>
        </w:rPr>
        <w:t xml:space="preserve">. </w:t>
      </w:r>
      <w:r>
        <w:rPr>
          <w:rFonts w:hint="cs"/>
          <w:rtl/>
        </w:rPr>
        <w:t xml:space="preserve">הוטעם, כי </w:t>
      </w:r>
      <w:r w:rsidR="00D0325A">
        <w:rPr>
          <w:rFonts w:hint="cs"/>
          <w:rtl/>
        </w:rPr>
        <w:t>האירועים הנוגעים למעורבים האחרים נבדלים מזה של המשיב בהקשר, בזמן ובמקום</w:t>
      </w:r>
      <w:r w:rsidR="00F20BAD">
        <w:rPr>
          <w:rFonts w:hint="cs"/>
          <w:rtl/>
        </w:rPr>
        <w:t>, ו</w:t>
      </w:r>
      <w:r w:rsidR="000F39D6">
        <w:rPr>
          <w:rFonts w:hint="cs"/>
          <w:rtl/>
        </w:rPr>
        <w:t xml:space="preserve">אף בזהותם של </w:t>
      </w:r>
      <w:r w:rsidR="00F20BAD">
        <w:rPr>
          <w:rFonts w:hint="cs"/>
          <w:rtl/>
        </w:rPr>
        <w:t>העדים שנחקרו בכל אחת מן הפרשיות</w:t>
      </w:r>
      <w:r w:rsidR="00D0325A">
        <w:rPr>
          <w:rFonts w:hint="cs"/>
          <w:rtl/>
        </w:rPr>
        <w:t xml:space="preserve">. </w:t>
      </w:r>
      <w:r w:rsidR="00607882">
        <w:rPr>
          <w:rFonts w:hint="cs"/>
          <w:rtl/>
        </w:rPr>
        <w:t xml:space="preserve">נטען, כי </w:t>
      </w:r>
      <w:r w:rsidR="00D0325A">
        <w:rPr>
          <w:rFonts w:hint="cs"/>
          <w:rtl/>
        </w:rPr>
        <w:t xml:space="preserve">אף שהתלונות הוגשו במאוחד, אין בכך כדי לייצר רלוונטיות מובנית, המחייבת את העברת החומרים </w:t>
      </w:r>
      <w:r w:rsidR="004A452E">
        <w:rPr>
          <w:rFonts w:hint="cs"/>
          <w:rtl/>
        </w:rPr>
        <w:t xml:space="preserve">ביחס </w:t>
      </w:r>
      <w:r w:rsidR="00D0325A">
        <w:rPr>
          <w:rFonts w:hint="cs"/>
          <w:rtl/>
        </w:rPr>
        <w:t>לכל אח</w:t>
      </w:r>
      <w:r w:rsidR="00767BA1">
        <w:rPr>
          <w:rFonts w:hint="cs"/>
          <w:rtl/>
        </w:rPr>
        <w:t xml:space="preserve">ת מהן </w:t>
      </w:r>
      <w:r w:rsidR="004A452E">
        <w:rPr>
          <w:rFonts w:hint="cs"/>
          <w:rtl/>
        </w:rPr>
        <w:t>(לשאלתי, הובהר כי הנילונים עצמם לא נשאלו לעמדתם בנושא)</w:t>
      </w:r>
      <w:r w:rsidR="00D0325A">
        <w:rPr>
          <w:rFonts w:hint="cs"/>
          <w:rtl/>
        </w:rPr>
        <w:t xml:space="preserve">. </w:t>
      </w:r>
      <w:r w:rsidR="00F13C4A">
        <w:rPr>
          <w:rFonts w:hint="cs"/>
          <w:rtl/>
        </w:rPr>
        <w:t xml:space="preserve">התביעה הביעה חשש, כי </w:t>
      </w:r>
      <w:r>
        <w:rPr>
          <w:rFonts w:hint="cs"/>
          <w:rtl/>
        </w:rPr>
        <w:t xml:space="preserve">בהעברה כזו </w:t>
      </w:r>
      <w:r w:rsidR="00F13C4A">
        <w:rPr>
          <w:rFonts w:hint="cs"/>
          <w:rtl/>
        </w:rPr>
        <w:t xml:space="preserve">של חומרים </w:t>
      </w:r>
      <w:r>
        <w:rPr>
          <w:rFonts w:hint="cs"/>
          <w:rtl/>
        </w:rPr>
        <w:t xml:space="preserve">יהיה משום יצירת "אפקט מצנן" להגשת תלונות מצד נפגעי עבירה שחוו מספר פגיעות ואזרו אומץ, בחלוף זמן, להתלונן עליהן. נטען, כי בהינתן האינטרסים הנוגדים המשמעותיים להעברת החומרים - הרי שבחינת הרלוונטיות </w:t>
      </w:r>
      <w:r w:rsidR="00945A60">
        <w:rPr>
          <w:rFonts w:hint="cs"/>
          <w:rtl/>
        </w:rPr>
        <w:t xml:space="preserve">של החומרים והאיזון בין השיקולים השונים </w:t>
      </w:r>
      <w:r>
        <w:rPr>
          <w:rFonts w:hint="cs"/>
          <w:rtl/>
        </w:rPr>
        <w:t>מסור</w:t>
      </w:r>
      <w:r w:rsidR="00945A60">
        <w:rPr>
          <w:rFonts w:hint="cs"/>
          <w:rtl/>
        </w:rPr>
        <w:t>ים</w:t>
      </w:r>
      <w:r>
        <w:rPr>
          <w:rFonts w:hint="cs"/>
          <w:rtl/>
        </w:rPr>
        <w:t xml:space="preserve"> במובהק לשופטי ההרכב, בראי טענות ההגנה הקונקרטיות שיעלה המשיב במשפטו.</w:t>
      </w:r>
    </w:p>
    <w:p w14:paraId="476D1C1D" w14:textId="77777777" w:rsidR="008162E9" w:rsidRDefault="00F13C4A" w:rsidP="00560DF0">
      <w:pPr>
        <w:pStyle w:val="2"/>
        <w:ind w:left="-7" w:firstLine="0"/>
      </w:pPr>
      <w:r>
        <w:rPr>
          <w:rFonts w:hint="cs"/>
          <w:rtl/>
        </w:rPr>
        <w:t>התביעה הדגישה</w:t>
      </w:r>
      <w:r w:rsidR="00D872B9">
        <w:rPr>
          <w:rFonts w:hint="cs"/>
          <w:rtl/>
        </w:rPr>
        <w:t>, כי הודעותיה של הנפגעת הועברה להגנה, כך שפרטי האירועים האחרים ידועים לה</w:t>
      </w:r>
      <w:r w:rsidR="008162E9">
        <w:rPr>
          <w:rFonts w:hint="cs"/>
          <w:rtl/>
        </w:rPr>
        <w:t>, והיא איננה מגששת באפלה</w:t>
      </w:r>
      <w:r w:rsidR="00D872B9">
        <w:rPr>
          <w:rFonts w:hint="cs"/>
          <w:rtl/>
        </w:rPr>
        <w:t xml:space="preserve"> (</w:t>
      </w:r>
      <w:r w:rsidR="00D872B9" w:rsidRPr="00D872B9">
        <w:rPr>
          <w:rtl/>
        </w:rPr>
        <w:t>בש</w:t>
      </w:r>
      <w:r w:rsidR="00D872B9">
        <w:rPr>
          <w:rFonts w:hint="cs"/>
          <w:rtl/>
        </w:rPr>
        <w:t>"</w:t>
      </w:r>
      <w:r w:rsidR="00D872B9" w:rsidRPr="00D872B9">
        <w:rPr>
          <w:rtl/>
        </w:rPr>
        <w:t xml:space="preserve">פ 3376/21 </w:t>
      </w:r>
      <w:r w:rsidR="00D872B9" w:rsidRPr="00D872B9">
        <w:rPr>
          <w:b/>
          <w:bCs/>
          <w:rtl/>
        </w:rPr>
        <w:t>פלוני נ' מדינת ישראל</w:t>
      </w:r>
      <w:r w:rsidR="00D872B9">
        <w:rPr>
          <w:rFonts w:hint="cs"/>
          <w:rtl/>
        </w:rPr>
        <w:t xml:space="preserve">, פסקה 11 </w:t>
      </w:r>
      <w:r w:rsidR="00D872B9">
        <w:rPr>
          <w:rFonts w:hint="cs"/>
          <w:rtl/>
        </w:rPr>
        <w:lastRenderedPageBreak/>
        <w:t>(26.5.2021)).</w:t>
      </w:r>
      <w:r w:rsidR="008162E9">
        <w:rPr>
          <w:rFonts w:hint="cs"/>
          <w:rtl/>
        </w:rPr>
        <w:t xml:space="preserve"> על כל פנים, בהתייחס לקווי ההגנה האפשריים שמנה בית הדין קמא, צוין כי אין בחומרי החקירה בעניינם של המעורבים האחרים היבט ייחודי המשליך על שאלת הסכמתה של הנפגעת למעשים המיוחסים למשיב</w:t>
      </w:r>
      <w:r w:rsidR="005E0314">
        <w:rPr>
          <w:rFonts w:hint="cs"/>
          <w:rtl/>
        </w:rPr>
        <w:t xml:space="preserve"> (ותיאורה של הסכמה נטענת למעשים אף אינ</w:t>
      </w:r>
      <w:r w:rsidR="00314C2E">
        <w:rPr>
          <w:rFonts w:hint="cs"/>
          <w:rtl/>
        </w:rPr>
        <w:t>ו</w:t>
      </w:r>
      <w:r w:rsidR="005E0314">
        <w:rPr>
          <w:rFonts w:hint="cs"/>
          <w:rtl/>
        </w:rPr>
        <w:t xml:space="preserve"> זהה בטענותיהם של הנילונים הנוספים)</w:t>
      </w:r>
      <w:r w:rsidR="0083467B">
        <w:rPr>
          <w:rFonts w:hint="cs"/>
          <w:rtl/>
        </w:rPr>
        <w:t xml:space="preserve">. לא זו אף זו, הוטעם כי </w:t>
      </w:r>
      <w:r w:rsidR="008162E9">
        <w:rPr>
          <w:rFonts w:hint="cs"/>
          <w:rtl/>
        </w:rPr>
        <w:t xml:space="preserve">בחירתה </w:t>
      </w:r>
      <w:r w:rsidR="0083467B">
        <w:rPr>
          <w:rFonts w:hint="cs"/>
          <w:rtl/>
        </w:rPr>
        <w:t xml:space="preserve">של הנפגעת </w:t>
      </w:r>
      <w:r w:rsidR="008162E9">
        <w:rPr>
          <w:rFonts w:hint="cs"/>
          <w:rtl/>
        </w:rPr>
        <w:t>להתלונן על מעשיו</w:t>
      </w:r>
      <w:r w:rsidR="0083467B">
        <w:rPr>
          <w:rFonts w:hint="cs"/>
          <w:rtl/>
        </w:rPr>
        <w:t xml:space="preserve"> של המשיב</w:t>
      </w:r>
      <w:r w:rsidR="008162E9">
        <w:rPr>
          <w:rFonts w:hint="cs"/>
          <w:rtl/>
        </w:rPr>
        <w:t xml:space="preserve">, בסמוך להתרחשותם, בפני חברתה ובפני מפקדו, מחלישים </w:t>
      </w:r>
      <w:r w:rsidR="0083467B">
        <w:rPr>
          <w:rFonts w:hint="cs"/>
          <w:rtl/>
        </w:rPr>
        <w:t xml:space="preserve">ממילא </w:t>
      </w:r>
      <w:r w:rsidR="008162E9">
        <w:rPr>
          <w:rFonts w:hint="cs"/>
          <w:rtl/>
        </w:rPr>
        <w:t>מן הטענה כי הסכימה למעשים (או כי אי-הסכמתה לא הייתה מובנת)</w:t>
      </w:r>
      <w:r w:rsidR="00314C2E">
        <w:rPr>
          <w:rFonts w:hint="cs"/>
          <w:rtl/>
        </w:rPr>
        <w:t>. בדומה, צוין כי קיימים חיזוקים לתלונותיה הנוספות של הנפגעת, וכי התפתחויות וקשיים נוספים מאפיינים דווקא את גרסאות הנילונים</w:t>
      </w:r>
      <w:r w:rsidR="008162E9">
        <w:rPr>
          <w:rFonts w:hint="cs"/>
          <w:rtl/>
        </w:rPr>
        <w:t xml:space="preserve">. </w:t>
      </w:r>
      <w:r w:rsidR="0083467B">
        <w:rPr>
          <w:rFonts w:hint="cs"/>
          <w:rtl/>
        </w:rPr>
        <w:t xml:space="preserve">נטען, כי </w:t>
      </w:r>
      <w:r w:rsidR="008162E9">
        <w:rPr>
          <w:rFonts w:hint="cs"/>
          <w:rtl/>
        </w:rPr>
        <w:t>חומרי החקירה המבוקשים אינם רלוונטיים לטענה הנוספת, בדבר התפתחות שחלה בגרסתה של הנפגעת, ומכל מקום ההגנה תוכל לחקור אותה בעניין זה, במעמד עדותה. החומרים המבוקשים אף אינם מסייעים בביסוס קו ההגנה השלישי, של מחדלי חקירה</w:t>
      </w:r>
      <w:r w:rsidR="00314C2E">
        <w:rPr>
          <w:rFonts w:hint="cs"/>
          <w:rtl/>
        </w:rPr>
        <w:t xml:space="preserve"> (שעל חלקם אף חולקת התביעה, עובדתית)</w:t>
      </w:r>
      <w:r w:rsidR="008162E9">
        <w:rPr>
          <w:rFonts w:hint="cs"/>
          <w:rtl/>
        </w:rPr>
        <w:t xml:space="preserve">, אלא על ההגנה יהיה לחקור את גורמי החקירה בעניין זה. </w:t>
      </w:r>
    </w:p>
    <w:p w14:paraId="3FDC5130" w14:textId="77777777" w:rsidR="0083467B" w:rsidRDefault="0083467B" w:rsidP="00560DF0">
      <w:pPr>
        <w:pStyle w:val="2"/>
        <w:ind w:left="-7" w:firstLine="0"/>
      </w:pPr>
      <w:r>
        <w:rPr>
          <w:rFonts w:hint="cs"/>
          <w:rtl/>
        </w:rPr>
        <w:t>לבסוף, צוין כי אף שעניינם של שניים מן המעורבים תלוי ועומד, אין להתעלם מן ההחלטה המנהלית להגיש נגדם כתבי אישום, באופן המלמד על כי לדעת התביעה, קיים סיכוי סביר להרשעתם.</w:t>
      </w:r>
    </w:p>
    <w:p w14:paraId="02237150" w14:textId="77777777" w:rsidR="00CF63C5" w:rsidRDefault="00CF63C5" w:rsidP="00560DF0">
      <w:pPr>
        <w:pStyle w:val="2"/>
        <w:ind w:left="-7" w:firstLine="0"/>
      </w:pPr>
      <w:r>
        <w:rPr>
          <w:rFonts w:hint="cs"/>
          <w:b/>
          <w:bCs/>
          <w:rtl/>
        </w:rPr>
        <w:t xml:space="preserve">ההגנה </w:t>
      </w:r>
      <w:r>
        <w:rPr>
          <w:rFonts w:hint="cs"/>
          <w:rtl/>
        </w:rPr>
        <w:t>סמכה את ידיה על החלטתו של בית הדין קמא, מטעמיה. הוטעם, כי משעה שהועברו הודעותיה של הנפגעת, המתייחסות לכלל התלונות, הרי שהעברתם של החומרים הנוספים תסב פגיעה פחותה יותר בפרטיותה.</w:t>
      </w:r>
      <w:r w:rsidR="00D872B9">
        <w:rPr>
          <w:rFonts w:hint="cs"/>
          <w:rtl/>
        </w:rPr>
        <w:t xml:space="preserve"> </w:t>
      </w:r>
    </w:p>
    <w:p w14:paraId="24BEB97E" w14:textId="77777777" w:rsidR="00255BD3" w:rsidRDefault="00255BD3" w:rsidP="00560DF0">
      <w:pPr>
        <w:pStyle w:val="2"/>
        <w:numPr>
          <w:ilvl w:val="0"/>
          <w:numId w:val="0"/>
        </w:numPr>
        <w:tabs>
          <w:tab w:val="left" w:pos="418"/>
          <w:tab w:val="left" w:pos="992"/>
        </w:tabs>
        <w:ind w:left="-7"/>
      </w:pPr>
    </w:p>
    <w:p w14:paraId="43DEEFCA" w14:textId="77777777" w:rsidR="00CF5BBA" w:rsidRDefault="00CF5BBA" w:rsidP="00560DF0">
      <w:pPr>
        <w:tabs>
          <w:tab w:val="left" w:pos="418"/>
          <w:tab w:val="left" w:pos="992"/>
        </w:tabs>
        <w:spacing w:after="0" w:line="360" w:lineRule="auto"/>
        <w:ind w:left="-7"/>
        <w:jc w:val="both"/>
        <w:rPr>
          <w:b/>
          <w:bCs/>
          <w:u w:val="single"/>
          <w:rtl/>
        </w:rPr>
      </w:pPr>
      <w:r w:rsidRPr="00CF5BBA">
        <w:rPr>
          <w:rFonts w:hint="cs"/>
          <w:b/>
          <w:bCs/>
          <w:u w:val="single"/>
          <w:rtl/>
        </w:rPr>
        <w:t>דיון והכרעה</w:t>
      </w:r>
    </w:p>
    <w:p w14:paraId="5AA20122" w14:textId="77777777" w:rsidR="00F8006E" w:rsidRDefault="00FD7DD3" w:rsidP="00560DF0">
      <w:pPr>
        <w:pStyle w:val="2"/>
        <w:ind w:left="-7" w:firstLine="0"/>
      </w:pPr>
      <w:r>
        <w:rPr>
          <w:rFonts w:hint="cs"/>
          <w:rtl/>
        </w:rPr>
        <w:t xml:space="preserve">כידוע, </w:t>
      </w:r>
    </w:p>
    <w:p w14:paraId="14124CA5" w14:textId="77777777" w:rsidR="00FD38A4" w:rsidRDefault="00FD38A4" w:rsidP="00560DF0">
      <w:pPr>
        <w:pStyle w:val="2"/>
        <w:numPr>
          <w:ilvl w:val="0"/>
          <w:numId w:val="0"/>
        </w:numPr>
        <w:tabs>
          <w:tab w:val="left" w:pos="7703"/>
        </w:tabs>
        <w:spacing w:line="240" w:lineRule="auto"/>
        <w:ind w:left="899" w:right="1134"/>
        <w:rPr>
          <w:rtl/>
        </w:rPr>
      </w:pPr>
      <w:r>
        <w:rPr>
          <w:rFonts w:hint="cs"/>
          <w:rtl/>
        </w:rPr>
        <w:t>"</w:t>
      </w:r>
      <w:r>
        <w:rPr>
          <w:rtl/>
        </w:rPr>
        <w:t>סעיף 74 לחוק סדר הדין הפלילי מעגן את זכותו של נאשם לעיין בחומרים המצויים בידי גורמי החקירה והתביעה ונוגעים לאישומים המיוחסים לו. זהו אחד היסודות החיוניים המבטיחים את זכותו של הנאשם להלי</w:t>
      </w:r>
      <w:r>
        <w:rPr>
          <w:rFonts w:hint="cs"/>
          <w:rtl/>
        </w:rPr>
        <w:t>ך</w:t>
      </w:r>
      <w:r>
        <w:rPr>
          <w:rtl/>
        </w:rPr>
        <w:t xml:space="preserve"> הוגן. זכות העיון בחומרי החקירה תורמת לצמצום פערי הכוחות המובנים בין התביעה להגנה, ומאפשרת לנאשם לנהל את הגנתו בצורה מיטבית.</w:t>
      </w:r>
      <w:r>
        <w:rPr>
          <w:rFonts w:hint="cs"/>
          <w:rtl/>
        </w:rPr>
        <w:t xml:space="preserve">.. </w:t>
      </w:r>
      <w:r>
        <w:rPr>
          <w:rtl/>
        </w:rPr>
        <w:t xml:space="preserve">בהתאם לכך כבר נפסק כי למונח </w:t>
      </w:r>
      <w:r>
        <w:rPr>
          <w:rFonts w:hint="cs"/>
          <w:rtl/>
        </w:rPr>
        <w:t>'</w:t>
      </w:r>
      <w:r>
        <w:rPr>
          <w:rtl/>
        </w:rPr>
        <w:t>חומר חקירה</w:t>
      </w:r>
      <w:r>
        <w:rPr>
          <w:rFonts w:hint="cs"/>
          <w:rtl/>
        </w:rPr>
        <w:t>'</w:t>
      </w:r>
      <w:r>
        <w:rPr>
          <w:rtl/>
        </w:rPr>
        <w:t xml:space="preserve"> יש ליתן פרשנות מרחיבה, כך שיכלול </w:t>
      </w:r>
      <w:r>
        <w:rPr>
          <w:rFonts w:hint="cs"/>
          <w:rtl/>
        </w:rPr>
        <w:t>'</w:t>
      </w:r>
      <w:r>
        <w:rPr>
          <w:rtl/>
        </w:rPr>
        <w:t>גם ראיות השייכות באופן הגיוני לפריפריה של האישום</w:t>
      </w:r>
      <w:r>
        <w:rPr>
          <w:rFonts w:hint="cs"/>
          <w:rtl/>
        </w:rPr>
        <w:t xml:space="preserve">'... </w:t>
      </w:r>
      <w:r>
        <w:rPr>
          <w:rtl/>
        </w:rPr>
        <w:t>יחד עם זאת, וכפי שנפסק לא אחת, אין משמעות הדבר שכל חומר המצוי בידי רשות החקירה או התביעה ייחשב ל</w:t>
      </w:r>
      <w:r>
        <w:rPr>
          <w:rFonts w:hint="cs"/>
          <w:rtl/>
        </w:rPr>
        <w:t>'</w:t>
      </w:r>
      <w:r>
        <w:rPr>
          <w:rtl/>
        </w:rPr>
        <w:t>חומר חקירה</w:t>
      </w:r>
      <w:r>
        <w:rPr>
          <w:rFonts w:hint="cs"/>
          <w:rtl/>
        </w:rPr>
        <w:t>'</w:t>
      </w:r>
      <w:r>
        <w:rPr>
          <w:rtl/>
        </w:rPr>
        <w:t xml:space="preserve">, שהרי </w:t>
      </w:r>
      <w:r>
        <w:rPr>
          <w:rFonts w:hint="cs"/>
          <w:rtl/>
        </w:rPr>
        <w:t>'</w:t>
      </w:r>
      <w:r>
        <w:rPr>
          <w:rtl/>
        </w:rPr>
        <w:t>גם תבונת הסניגור נשענת בדרך כלל על נקודת אחיזה ממשית, ואינה בגדר מעשה קסמים</w:t>
      </w:r>
      <w:r>
        <w:rPr>
          <w:rFonts w:hint="cs"/>
          <w:rtl/>
        </w:rPr>
        <w:t>'</w:t>
      </w:r>
      <w:r w:rsidR="00F8006E">
        <w:rPr>
          <w:rFonts w:hint="cs"/>
          <w:rtl/>
        </w:rPr>
        <w:t xml:space="preserve">... </w:t>
      </w:r>
      <w:r w:rsidRPr="002225EA">
        <w:rPr>
          <w:b/>
          <w:bCs/>
          <w:rtl/>
        </w:rPr>
        <w:t xml:space="preserve">דברים אלה מקבלים אף משנה תוקף לנוכח החשש המובנה מפני הטרדה שלא לצורך של נפגעי עבירות מין, אשר מבחינתם כל </w:t>
      </w:r>
      <w:r w:rsidR="00F8006E" w:rsidRPr="002225EA">
        <w:rPr>
          <w:rFonts w:hint="cs"/>
          <w:b/>
          <w:bCs/>
          <w:rtl/>
        </w:rPr>
        <w:t>'</w:t>
      </w:r>
      <w:r w:rsidRPr="002225EA">
        <w:rPr>
          <w:b/>
          <w:bCs/>
          <w:rtl/>
        </w:rPr>
        <w:t>דיג</w:t>
      </w:r>
      <w:r w:rsidR="00F8006E" w:rsidRPr="002225EA">
        <w:rPr>
          <w:rFonts w:hint="cs"/>
          <w:b/>
          <w:bCs/>
          <w:rtl/>
        </w:rPr>
        <w:t>'</w:t>
      </w:r>
      <w:r w:rsidRPr="002225EA">
        <w:rPr>
          <w:b/>
          <w:bCs/>
          <w:rtl/>
        </w:rPr>
        <w:t xml:space="preserve"> אל תוך פרטיות חייהם מהווה פגיעה נוספת</w:t>
      </w:r>
      <w:r w:rsidR="00F8006E">
        <w:rPr>
          <w:rFonts w:hint="cs"/>
          <w:rtl/>
        </w:rPr>
        <w:t>"</w:t>
      </w:r>
      <w:r>
        <w:rPr>
          <w:rtl/>
        </w:rPr>
        <w:t>.</w:t>
      </w:r>
    </w:p>
    <w:p w14:paraId="1D1320DF" w14:textId="77777777" w:rsidR="002225EA" w:rsidRDefault="002225EA" w:rsidP="00560DF0">
      <w:pPr>
        <w:pStyle w:val="2"/>
        <w:numPr>
          <w:ilvl w:val="0"/>
          <w:numId w:val="0"/>
        </w:numPr>
        <w:tabs>
          <w:tab w:val="left" w:pos="7703"/>
        </w:tabs>
        <w:spacing w:line="240" w:lineRule="auto"/>
        <w:ind w:left="899" w:right="1134"/>
        <w:rPr>
          <w:rtl/>
        </w:rPr>
      </w:pPr>
      <w:r>
        <w:rPr>
          <w:rFonts w:hint="cs"/>
          <w:rtl/>
        </w:rPr>
        <w:t>(</w:t>
      </w:r>
      <w:r w:rsidRPr="002225EA">
        <w:rPr>
          <w:rtl/>
        </w:rPr>
        <w:t>בש</w:t>
      </w:r>
      <w:r>
        <w:rPr>
          <w:rFonts w:hint="cs"/>
          <w:rtl/>
        </w:rPr>
        <w:t>"</w:t>
      </w:r>
      <w:r w:rsidRPr="002225EA">
        <w:rPr>
          <w:rtl/>
        </w:rPr>
        <w:t xml:space="preserve">פ 7221/22 </w:t>
      </w:r>
      <w:r w:rsidRPr="002225EA">
        <w:rPr>
          <w:b/>
          <w:bCs/>
          <w:rtl/>
        </w:rPr>
        <w:t>פלוני נ' מדינת ישראל</w:t>
      </w:r>
      <w:r>
        <w:rPr>
          <w:rFonts w:hint="cs"/>
          <w:rtl/>
        </w:rPr>
        <w:t>, פסקאות 15-14</w:t>
      </w:r>
      <w:r w:rsidR="00667ECC">
        <w:rPr>
          <w:rFonts w:hint="cs"/>
          <w:rtl/>
        </w:rPr>
        <w:t>. ההדגשה הוספה</w:t>
      </w:r>
      <w:r>
        <w:rPr>
          <w:rFonts w:hint="cs"/>
          <w:rtl/>
        </w:rPr>
        <w:t xml:space="preserve"> (4.11.2022)</w:t>
      </w:r>
      <w:r w:rsidR="007B685A">
        <w:rPr>
          <w:rFonts w:hint="cs"/>
          <w:rtl/>
        </w:rPr>
        <w:t>)</w:t>
      </w:r>
      <w:r>
        <w:rPr>
          <w:rFonts w:hint="cs"/>
          <w:rtl/>
        </w:rPr>
        <w:t>.</w:t>
      </w:r>
    </w:p>
    <w:p w14:paraId="01E0D711" w14:textId="77777777" w:rsidR="00D1763A" w:rsidRDefault="00D1763A" w:rsidP="00560DF0">
      <w:pPr>
        <w:pStyle w:val="2"/>
        <w:numPr>
          <w:ilvl w:val="0"/>
          <w:numId w:val="0"/>
        </w:numPr>
        <w:tabs>
          <w:tab w:val="left" w:pos="7703"/>
        </w:tabs>
        <w:spacing w:line="240" w:lineRule="auto"/>
        <w:ind w:left="899" w:right="1134"/>
        <w:rPr>
          <w:rtl/>
        </w:rPr>
      </w:pPr>
    </w:p>
    <w:p w14:paraId="29A768AA" w14:textId="77777777" w:rsidR="00645F24" w:rsidRPr="00645F24" w:rsidRDefault="00230F88" w:rsidP="00560DF0">
      <w:pPr>
        <w:pStyle w:val="2"/>
        <w:numPr>
          <w:ilvl w:val="0"/>
          <w:numId w:val="0"/>
        </w:numPr>
        <w:ind w:left="-7"/>
      </w:pPr>
      <w:r>
        <w:rPr>
          <w:rFonts w:hint="cs"/>
          <w:rtl/>
        </w:rPr>
        <w:lastRenderedPageBreak/>
        <w:t>בהקשר דומה</w:t>
      </w:r>
      <w:r w:rsidR="007B685A">
        <w:rPr>
          <w:rFonts w:hint="cs"/>
          <w:rtl/>
        </w:rPr>
        <w:t xml:space="preserve">, הודגש כי "יש להישמר מפגיעה בפרטיותה של מתלוננת בעבירות מין, וכי הפעלת </w:t>
      </w:r>
      <w:hyperlink r:id="rId10" w:history="1">
        <w:r w:rsidR="007B685A" w:rsidRPr="007B685A">
          <w:rPr>
            <w:rFonts w:hint="eastAsia"/>
            <w:rtl/>
          </w:rPr>
          <w:t>סעיף</w:t>
        </w:r>
        <w:r w:rsidR="007B685A" w:rsidRPr="007B685A">
          <w:rPr>
            <w:rtl/>
          </w:rPr>
          <w:t xml:space="preserve"> 74</w:t>
        </w:r>
      </w:hyperlink>
      <w:r w:rsidR="007B685A">
        <w:rPr>
          <w:rFonts w:hint="cs"/>
          <w:rtl/>
        </w:rPr>
        <w:t xml:space="preserve"> ל</w:t>
      </w:r>
      <w:hyperlink r:id="rId11" w:history="1">
        <w:r w:rsidR="007B685A" w:rsidRPr="007B685A">
          <w:rPr>
            <w:rtl/>
          </w:rPr>
          <w:t>חוק סדר הדין הפלילי</w:t>
        </w:r>
      </w:hyperlink>
      <w:r w:rsidR="007B685A">
        <w:rPr>
          <w:rFonts w:hint="cs"/>
          <w:rtl/>
        </w:rPr>
        <w:t xml:space="preserve"> [נוסח משולב], התשמ"ב-1982 בכל הנוגע לחומרים הקשורים למתלוננת בעבירות מין, צריכה להיעשות בזהירות ותוך איזון בין האינטרסים המתנגשים" (</w:t>
      </w:r>
      <w:r w:rsidR="00645F24" w:rsidRPr="00645F24">
        <w:rPr>
          <w:rtl/>
        </w:rPr>
        <w:t>בש</w:t>
      </w:r>
      <w:r w:rsidR="00645F24">
        <w:rPr>
          <w:rFonts w:hint="cs"/>
          <w:rtl/>
        </w:rPr>
        <w:t>"</w:t>
      </w:r>
      <w:r w:rsidR="00645F24" w:rsidRPr="00645F24">
        <w:rPr>
          <w:rtl/>
        </w:rPr>
        <w:t xml:space="preserve">פ 6155/21 </w:t>
      </w:r>
      <w:r w:rsidR="00645F24" w:rsidRPr="00645F24">
        <w:rPr>
          <w:b/>
          <w:bCs/>
          <w:rtl/>
        </w:rPr>
        <w:t>זינו נ' מדינת ישראל</w:t>
      </w:r>
      <w:r w:rsidR="00645F24">
        <w:rPr>
          <w:rFonts w:hint="cs"/>
          <w:rtl/>
        </w:rPr>
        <w:t>, פסקה 7 (10.10.2021)</w:t>
      </w:r>
      <w:r w:rsidR="00BE2063">
        <w:rPr>
          <w:rFonts w:hint="cs"/>
          <w:rtl/>
        </w:rPr>
        <w:t xml:space="preserve">. ראו גם עלב"ש 2/24 </w:t>
      </w:r>
      <w:r w:rsidR="00BE2063">
        <w:rPr>
          <w:rFonts w:hint="cs"/>
          <w:b/>
          <w:bCs/>
          <w:rtl/>
        </w:rPr>
        <w:t>סמל מור נ' התובע הצבאי הראשי</w:t>
      </w:r>
      <w:r w:rsidR="00BE2063">
        <w:rPr>
          <w:rFonts w:hint="cs"/>
          <w:rtl/>
        </w:rPr>
        <w:t>, פסקה 7 (2024)</w:t>
      </w:r>
      <w:r w:rsidR="00645F24">
        <w:rPr>
          <w:rFonts w:hint="cs"/>
          <w:rtl/>
        </w:rPr>
        <w:t>).</w:t>
      </w:r>
    </w:p>
    <w:p w14:paraId="16671229" w14:textId="77777777" w:rsidR="00683509" w:rsidRDefault="00DD7D8D" w:rsidP="00560DF0">
      <w:pPr>
        <w:pStyle w:val="2"/>
        <w:ind w:left="-7" w:firstLine="0"/>
      </w:pPr>
      <w:r>
        <w:rPr>
          <w:rFonts w:hint="cs"/>
          <w:rtl/>
        </w:rPr>
        <w:t xml:space="preserve">בענייננו, ביקשה ההגנה לעיין בתיקי החקירה העוסקים בתלונות שהגישה נפגעת העבירה כנגד חיילים נוספים. </w:t>
      </w:r>
      <w:r w:rsidR="006C7272">
        <w:rPr>
          <w:rFonts w:hint="cs"/>
          <w:rtl/>
        </w:rPr>
        <w:t xml:space="preserve">כפי שנפסק, </w:t>
      </w:r>
      <w:r>
        <w:rPr>
          <w:rFonts w:hint="cs"/>
          <w:rtl/>
        </w:rPr>
        <w:t>"</w:t>
      </w:r>
      <w:r w:rsidRPr="00DD7D8D">
        <w:rPr>
          <w:rFonts w:ascii="Century" w:hAnsi="Century" w:hint="cs"/>
          <w:rtl/>
        </w:rPr>
        <w:t xml:space="preserve">בית משפט זה הכיר בעבר באפשרות שנאשם יוכל לעיין בחומר חקירה </w:t>
      </w:r>
      <w:r>
        <w:rPr>
          <w:rFonts w:hint="cs"/>
          <w:rtl/>
        </w:rPr>
        <w:t xml:space="preserve">בהליך אחר ככל שהוא עשוי להיות רלוונטי לשאלות העומדות להכרעה במשפטו שלו. אולם, במקרים מסוג זה נודעת </w:t>
      </w:r>
      <w:r w:rsidRPr="00DD7D8D">
        <w:rPr>
          <w:rFonts w:hint="cs"/>
          <w:b/>
          <w:bCs/>
          <w:rtl/>
        </w:rPr>
        <w:t xml:space="preserve">חשיבות יתרה למבחן הרלוונטיות, לנוכח החשש מפני פגיעה באינטרסים חשובים אחרים, </w:t>
      </w:r>
      <w:r w:rsidRPr="00DD7D8D">
        <w:rPr>
          <w:rFonts w:ascii="Century" w:hAnsi="Century" w:hint="cs"/>
          <w:b/>
          <w:bCs/>
          <w:rtl/>
        </w:rPr>
        <w:t>כדוגמת טובת החקירה האחרת או הגנה על זכויות מתלוננים וצדדים שלישיים</w:t>
      </w:r>
      <w:r w:rsidRPr="00DD7D8D">
        <w:rPr>
          <w:rFonts w:ascii="Century" w:hAnsi="Century" w:hint="cs"/>
          <w:rtl/>
        </w:rPr>
        <w:t xml:space="preserve"> </w:t>
      </w:r>
      <w:r>
        <w:rPr>
          <w:rFonts w:ascii="Century" w:hAnsi="Century" w:hint="cs"/>
          <w:rtl/>
        </w:rPr>
        <w:t>...</w:t>
      </w:r>
      <w:r w:rsidRPr="00DD7D8D">
        <w:rPr>
          <w:rFonts w:ascii="Century" w:hAnsi="Century" w:hint="cs"/>
          <w:rtl/>
        </w:rPr>
        <w:t xml:space="preserve"> בהתאם לכך נקבע כי נאשם המבקש עיון בחומרים אלו, </w:t>
      </w:r>
      <w:r w:rsidRPr="00686DBA">
        <w:rPr>
          <w:rFonts w:ascii="Century" w:hAnsi="Century" w:hint="cs"/>
          <w:b/>
          <w:bCs/>
          <w:rtl/>
        </w:rPr>
        <w:t>הנראים מרוחקים מעובדות כתב האישום</w:t>
      </w:r>
      <w:r w:rsidRPr="00DD7D8D">
        <w:rPr>
          <w:rFonts w:ascii="Century" w:hAnsi="Century" w:hint="cs"/>
          <w:rtl/>
        </w:rPr>
        <w:t xml:space="preserve">, יצטרך להצביע על </w:t>
      </w:r>
      <w:r w:rsidRPr="00DD7D8D">
        <w:rPr>
          <w:rFonts w:ascii="Century" w:hAnsi="Century" w:hint="cs"/>
          <w:b/>
          <w:bCs/>
          <w:rtl/>
        </w:rPr>
        <w:t>יסוד של ממש</w:t>
      </w:r>
      <w:r w:rsidRPr="00DD7D8D">
        <w:rPr>
          <w:rFonts w:ascii="Century" w:hAnsi="Century" w:hint="cs"/>
          <w:rtl/>
        </w:rPr>
        <w:t xml:space="preserve"> להנחה כי יהיה ביכולתם להשפיע על בירור האישומים נגדו</w:t>
      </w:r>
      <w:r>
        <w:rPr>
          <w:rFonts w:hint="cs"/>
          <w:rtl/>
        </w:rPr>
        <w:t xml:space="preserve">" </w:t>
      </w:r>
      <w:r w:rsidR="00312DC5">
        <w:rPr>
          <w:rFonts w:hint="cs"/>
          <w:rtl/>
        </w:rPr>
        <w:t>(</w:t>
      </w:r>
      <w:r w:rsidR="00312DC5" w:rsidRPr="00A367C2">
        <w:rPr>
          <w:rFonts w:hint="cs"/>
          <w:rtl/>
        </w:rPr>
        <w:t>בש</w:t>
      </w:r>
      <w:r w:rsidR="00312DC5">
        <w:rPr>
          <w:rFonts w:hint="cs"/>
          <w:rtl/>
        </w:rPr>
        <w:t>"</w:t>
      </w:r>
      <w:r w:rsidR="00312DC5" w:rsidRPr="00A367C2">
        <w:rPr>
          <w:rFonts w:hint="cs"/>
          <w:rtl/>
        </w:rPr>
        <w:t>פ</w:t>
      </w:r>
      <w:r w:rsidR="00312DC5" w:rsidRPr="00A367C2">
        <w:rPr>
          <w:rtl/>
        </w:rPr>
        <w:t xml:space="preserve"> 4227/19 </w:t>
      </w:r>
      <w:r w:rsidR="00312DC5" w:rsidRPr="00A367C2">
        <w:rPr>
          <w:rFonts w:hint="cs"/>
          <w:b/>
          <w:bCs/>
          <w:rtl/>
        </w:rPr>
        <w:t>פונטה</w:t>
      </w:r>
      <w:r w:rsidR="00312DC5" w:rsidRPr="00A367C2">
        <w:rPr>
          <w:b/>
          <w:bCs/>
          <w:rtl/>
        </w:rPr>
        <w:t xml:space="preserve"> </w:t>
      </w:r>
      <w:r w:rsidR="00312DC5" w:rsidRPr="00A367C2">
        <w:rPr>
          <w:rFonts w:hint="cs"/>
          <w:b/>
          <w:bCs/>
          <w:rtl/>
        </w:rPr>
        <w:t>נ</w:t>
      </w:r>
      <w:r w:rsidR="00312DC5" w:rsidRPr="00A367C2">
        <w:rPr>
          <w:b/>
          <w:bCs/>
          <w:rtl/>
        </w:rPr>
        <w:t xml:space="preserve">' </w:t>
      </w:r>
      <w:r w:rsidR="00312DC5" w:rsidRPr="00A367C2">
        <w:rPr>
          <w:rFonts w:hint="cs"/>
          <w:b/>
          <w:bCs/>
          <w:rtl/>
        </w:rPr>
        <w:t>מדינת</w:t>
      </w:r>
      <w:r w:rsidR="00312DC5" w:rsidRPr="00A367C2">
        <w:rPr>
          <w:b/>
          <w:bCs/>
          <w:rtl/>
        </w:rPr>
        <w:t xml:space="preserve"> </w:t>
      </w:r>
      <w:r w:rsidR="00312DC5" w:rsidRPr="00A367C2">
        <w:rPr>
          <w:rFonts w:hint="cs"/>
          <w:b/>
          <w:bCs/>
          <w:rtl/>
        </w:rPr>
        <w:t>ישראל</w:t>
      </w:r>
      <w:r w:rsidR="00312DC5">
        <w:rPr>
          <w:rFonts w:hint="cs"/>
          <w:rtl/>
        </w:rPr>
        <w:t>, פסקה 11</w:t>
      </w:r>
      <w:r w:rsidR="00686DBA">
        <w:rPr>
          <w:rFonts w:hint="cs"/>
          <w:rtl/>
        </w:rPr>
        <w:t>. ההדגשות הוספו</w:t>
      </w:r>
      <w:r w:rsidR="00312DC5">
        <w:rPr>
          <w:rFonts w:hint="cs"/>
          <w:rtl/>
        </w:rPr>
        <w:t xml:space="preserve"> (11.7.2019)</w:t>
      </w:r>
      <w:r w:rsidR="00392F1B">
        <w:rPr>
          <w:rFonts w:hint="cs"/>
          <w:rtl/>
        </w:rPr>
        <w:t xml:space="preserve">; </w:t>
      </w:r>
      <w:r w:rsidR="004450EB">
        <w:rPr>
          <w:rFonts w:hint="cs"/>
          <w:rtl/>
        </w:rPr>
        <w:t xml:space="preserve">בש"פ 2948/19 </w:t>
      </w:r>
      <w:r w:rsidR="004450EB">
        <w:rPr>
          <w:rFonts w:hint="cs"/>
          <w:b/>
          <w:bCs/>
          <w:rtl/>
        </w:rPr>
        <w:t xml:space="preserve">טייב נ' מדינת </w:t>
      </w:r>
      <w:r w:rsidR="004450EB" w:rsidRPr="004450EB">
        <w:rPr>
          <w:rFonts w:hint="cs"/>
          <w:rtl/>
        </w:rPr>
        <w:t>ישראל</w:t>
      </w:r>
      <w:r w:rsidR="004450EB">
        <w:rPr>
          <w:rFonts w:hint="cs"/>
          <w:rtl/>
        </w:rPr>
        <w:t xml:space="preserve">, פסקה 8 (15.5.2019); </w:t>
      </w:r>
      <w:r w:rsidR="00392F1B" w:rsidRPr="004450EB">
        <w:rPr>
          <w:rFonts w:hint="cs"/>
          <w:rtl/>
        </w:rPr>
        <w:t>עלב</w:t>
      </w:r>
      <w:r w:rsidR="00392F1B">
        <w:rPr>
          <w:rFonts w:hint="cs"/>
          <w:rtl/>
        </w:rPr>
        <w:t xml:space="preserve">"ש 20/21 </w:t>
      </w:r>
      <w:r w:rsidR="00392F1B">
        <w:rPr>
          <w:rFonts w:hint="cs"/>
          <w:b/>
          <w:bCs/>
          <w:rtl/>
        </w:rPr>
        <w:t>רס"ל בן עמי נ' התובע הצבאי הראשי</w:t>
      </w:r>
      <w:r w:rsidR="00392F1B" w:rsidRPr="00392F1B">
        <w:rPr>
          <w:rFonts w:hint="cs"/>
          <w:rtl/>
        </w:rPr>
        <w:t>, פסקה</w:t>
      </w:r>
      <w:r w:rsidR="00392F1B">
        <w:rPr>
          <w:rFonts w:hint="cs"/>
          <w:rtl/>
        </w:rPr>
        <w:t xml:space="preserve"> 16 (2022)</w:t>
      </w:r>
      <w:r w:rsidR="00312DC5">
        <w:rPr>
          <w:rFonts w:hint="cs"/>
          <w:rtl/>
        </w:rPr>
        <w:t>).</w:t>
      </w:r>
      <w:r w:rsidR="00683509">
        <w:rPr>
          <w:rFonts w:hint="cs"/>
          <w:rtl/>
        </w:rPr>
        <w:t xml:space="preserve"> </w:t>
      </w:r>
    </w:p>
    <w:p w14:paraId="0B30758E" w14:textId="77777777" w:rsidR="00DD7D8D" w:rsidRDefault="00683509" w:rsidP="00560DF0">
      <w:pPr>
        <w:pStyle w:val="2"/>
        <w:numPr>
          <w:ilvl w:val="0"/>
          <w:numId w:val="0"/>
        </w:numPr>
        <w:ind w:left="-7"/>
        <w:rPr>
          <w:rtl/>
        </w:rPr>
      </w:pPr>
      <w:r>
        <w:rPr>
          <w:rFonts w:hint="cs"/>
          <w:rtl/>
        </w:rPr>
        <w:t xml:space="preserve">לאור האמור, נפסק כי </w:t>
      </w:r>
    </w:p>
    <w:p w14:paraId="5D1A8713" w14:textId="77777777" w:rsidR="00683509" w:rsidRDefault="00683509" w:rsidP="00560DF0">
      <w:pPr>
        <w:pStyle w:val="2"/>
        <w:numPr>
          <w:ilvl w:val="0"/>
          <w:numId w:val="0"/>
        </w:numPr>
        <w:ind w:left="-7"/>
      </w:pPr>
    </w:p>
    <w:p w14:paraId="5DBCD079" w14:textId="77777777" w:rsidR="00683509" w:rsidRDefault="00683509" w:rsidP="00560DF0">
      <w:pPr>
        <w:pStyle w:val="2"/>
        <w:numPr>
          <w:ilvl w:val="0"/>
          <w:numId w:val="0"/>
        </w:numPr>
        <w:tabs>
          <w:tab w:val="left" w:pos="7419"/>
          <w:tab w:val="left" w:pos="8128"/>
        </w:tabs>
        <w:spacing w:line="240" w:lineRule="auto"/>
        <w:ind w:left="899" w:right="993"/>
        <w:rPr>
          <w:rtl/>
        </w:rPr>
      </w:pPr>
      <w:r>
        <w:rPr>
          <w:rFonts w:hint="cs"/>
          <w:rtl/>
        </w:rPr>
        <w:t xml:space="preserve">"אפשרות מסירתם של תיקי מב"ד של עד או מתלונן לעיונו של הנאשם תיבחן על פי מכלול שיקולים ובהם, בין היתר, הפגיעה הפוטנציאלית בזכויותיו של העד או המתלונן; עוצמת הרלוונטיות </w:t>
      </w:r>
      <w:r w:rsidR="00782551">
        <w:rPr>
          <w:rFonts w:hint="cs"/>
          <w:rtl/>
        </w:rPr>
        <w:t>-</w:t>
      </w:r>
      <w:r>
        <w:rPr>
          <w:rFonts w:hint="cs"/>
          <w:rtl/>
        </w:rPr>
        <w:t xml:space="preserve"> אם גבוהה או שולית; ההשפעה שתהיה לעיון במידע המבוקש על נכונותם של עדים וקורבנות עבירה להעיד במשפטים; החשש מכך שבקשת העיון אינה אלא </w:t>
      </w:r>
      <w:r w:rsidR="00FA1607">
        <w:rPr>
          <w:rFonts w:hint="cs"/>
          <w:rtl/>
        </w:rPr>
        <w:t>'</w:t>
      </w:r>
      <w:r>
        <w:rPr>
          <w:rFonts w:hint="cs"/>
          <w:rtl/>
        </w:rPr>
        <w:t>מסע דיג</w:t>
      </w:r>
      <w:r w:rsidR="00FA1607">
        <w:rPr>
          <w:rFonts w:hint="cs"/>
          <w:rtl/>
        </w:rPr>
        <w:t>'</w:t>
      </w:r>
      <w:r>
        <w:rPr>
          <w:rFonts w:hint="cs"/>
          <w:rtl/>
        </w:rPr>
        <w:t xml:space="preserve"> ספקולטיבי; ועיקרון סופיות תשובות העד בעניינים צדדיים העלול להקטין את התועלת הפוטנציאלית שהמידע המבוקש ישיא להגנתו של הנאשם".</w:t>
      </w:r>
    </w:p>
    <w:p w14:paraId="2F96935D" w14:textId="77777777" w:rsidR="00683509" w:rsidRDefault="00683509" w:rsidP="00560DF0">
      <w:pPr>
        <w:pStyle w:val="2"/>
        <w:numPr>
          <w:ilvl w:val="0"/>
          <w:numId w:val="0"/>
        </w:numPr>
        <w:tabs>
          <w:tab w:val="left" w:pos="7419"/>
          <w:tab w:val="left" w:pos="8128"/>
        </w:tabs>
        <w:spacing w:line="240" w:lineRule="auto"/>
        <w:ind w:left="899" w:right="993"/>
        <w:rPr>
          <w:rtl/>
        </w:rPr>
      </w:pPr>
      <w:r>
        <w:rPr>
          <w:rFonts w:hint="cs"/>
          <w:rtl/>
        </w:rPr>
        <w:t xml:space="preserve">(בש"פ 7233/18 </w:t>
      </w:r>
      <w:r>
        <w:rPr>
          <w:rFonts w:hint="cs"/>
          <w:b/>
          <w:bCs/>
          <w:rtl/>
        </w:rPr>
        <w:t>בכיראת נ' מדינת ישראל</w:t>
      </w:r>
      <w:r>
        <w:rPr>
          <w:rFonts w:hint="cs"/>
          <w:rtl/>
        </w:rPr>
        <w:t>, פסקה 6 (24.10.2018)).</w:t>
      </w:r>
    </w:p>
    <w:p w14:paraId="3EA035B8" w14:textId="77777777" w:rsidR="00683509" w:rsidRDefault="00683509" w:rsidP="00560DF0">
      <w:pPr>
        <w:pStyle w:val="2"/>
        <w:numPr>
          <w:ilvl w:val="0"/>
          <w:numId w:val="0"/>
        </w:numPr>
        <w:ind w:left="-7"/>
      </w:pPr>
    </w:p>
    <w:p w14:paraId="2339B301" w14:textId="77777777" w:rsidR="00686DBA" w:rsidRDefault="0076452E" w:rsidP="00560DF0">
      <w:pPr>
        <w:pStyle w:val="2"/>
        <w:ind w:left="-7" w:firstLine="0"/>
      </w:pPr>
      <w:r>
        <w:rPr>
          <w:rFonts w:hint="cs"/>
          <w:rtl/>
        </w:rPr>
        <w:t>אמנם, בית הדין קמא הנכבד הורה על העברת חומרי חקירה מתיקים שבהם הוגשו כתבי אישום נגד הנילונים, כך שאין המדובר בתיקים שבהם החקירה רק בראשיתה, "ולבטח יש להבחין בין השלבים השונים במסגרת יישום מבחני הרלוונטיות" (</w:t>
      </w:r>
      <w:r w:rsidR="00917761">
        <w:rPr>
          <w:rFonts w:hint="cs"/>
          <w:rtl/>
        </w:rPr>
        <w:t xml:space="preserve">בש"פ 1408/14 </w:t>
      </w:r>
      <w:r w:rsidR="00917761">
        <w:rPr>
          <w:rFonts w:hint="cs"/>
          <w:b/>
          <w:bCs/>
          <w:rtl/>
        </w:rPr>
        <w:t>פלוני נ' מדינת ישראל</w:t>
      </w:r>
      <w:r w:rsidR="00917761">
        <w:rPr>
          <w:rFonts w:hint="cs"/>
          <w:rtl/>
        </w:rPr>
        <w:t xml:space="preserve">, פסקה 10 (14.4.2014)) - אך "שוני זה אינו קונקלוסיבי" </w:t>
      </w:r>
      <w:r w:rsidR="004877E8">
        <w:rPr>
          <w:rFonts w:hint="cs"/>
          <w:rtl/>
        </w:rPr>
        <w:t>(</w:t>
      </w:r>
      <w:r w:rsidR="004877E8" w:rsidRPr="00F825B9">
        <w:rPr>
          <w:rFonts w:hint="cs"/>
          <w:rtl/>
        </w:rPr>
        <w:t>בש</w:t>
      </w:r>
      <w:r w:rsidR="004877E8" w:rsidRPr="00F825B9">
        <w:rPr>
          <w:rtl/>
        </w:rPr>
        <w:t>"</w:t>
      </w:r>
      <w:r w:rsidR="004877E8" w:rsidRPr="00F825B9">
        <w:rPr>
          <w:rFonts w:hint="cs"/>
          <w:rtl/>
        </w:rPr>
        <w:t>פ</w:t>
      </w:r>
      <w:r w:rsidR="004877E8" w:rsidRPr="00F825B9">
        <w:rPr>
          <w:rtl/>
        </w:rPr>
        <w:t xml:space="preserve"> 3099/08 </w:t>
      </w:r>
      <w:r w:rsidR="004877E8" w:rsidRPr="00F825B9">
        <w:rPr>
          <w:rFonts w:hint="cs"/>
          <w:b/>
          <w:bCs/>
          <w:rtl/>
        </w:rPr>
        <w:t>אברהמי</w:t>
      </w:r>
      <w:r w:rsidR="004877E8" w:rsidRPr="00F825B9">
        <w:rPr>
          <w:b/>
          <w:bCs/>
          <w:rtl/>
        </w:rPr>
        <w:t xml:space="preserve"> </w:t>
      </w:r>
      <w:r w:rsidR="004877E8" w:rsidRPr="00F825B9">
        <w:rPr>
          <w:rFonts w:hint="cs"/>
          <w:b/>
          <w:bCs/>
          <w:rtl/>
        </w:rPr>
        <w:t>נ</w:t>
      </w:r>
      <w:r w:rsidR="004877E8" w:rsidRPr="00F825B9">
        <w:rPr>
          <w:b/>
          <w:bCs/>
          <w:rtl/>
        </w:rPr>
        <w:t xml:space="preserve">' </w:t>
      </w:r>
      <w:r w:rsidR="004877E8" w:rsidRPr="00F825B9">
        <w:rPr>
          <w:rFonts w:hint="cs"/>
          <w:b/>
          <w:bCs/>
          <w:rtl/>
        </w:rPr>
        <w:t>מדינת</w:t>
      </w:r>
      <w:r w:rsidR="004877E8" w:rsidRPr="00F825B9">
        <w:rPr>
          <w:b/>
          <w:bCs/>
          <w:rtl/>
        </w:rPr>
        <w:t xml:space="preserve"> </w:t>
      </w:r>
      <w:r w:rsidR="004877E8" w:rsidRPr="00F825B9">
        <w:rPr>
          <w:rFonts w:hint="cs"/>
          <w:b/>
          <w:bCs/>
          <w:rtl/>
        </w:rPr>
        <w:t>ישראל</w:t>
      </w:r>
      <w:r w:rsidR="004877E8" w:rsidRPr="00F825B9">
        <w:rPr>
          <w:rtl/>
        </w:rPr>
        <w:t xml:space="preserve">, </w:t>
      </w:r>
      <w:r w:rsidR="004877E8" w:rsidRPr="00F825B9">
        <w:rPr>
          <w:rFonts w:hint="cs"/>
          <w:rtl/>
        </w:rPr>
        <w:t>פסקה</w:t>
      </w:r>
      <w:r w:rsidR="004877E8" w:rsidRPr="00F825B9">
        <w:rPr>
          <w:rtl/>
        </w:rPr>
        <w:t xml:space="preserve"> </w:t>
      </w:r>
      <w:r w:rsidR="004877E8">
        <w:rPr>
          <w:rFonts w:hint="cs"/>
          <w:rtl/>
        </w:rPr>
        <w:t xml:space="preserve">11(א) </w:t>
      </w:r>
      <w:r w:rsidR="004877E8" w:rsidRPr="00F825B9">
        <w:rPr>
          <w:rtl/>
        </w:rPr>
        <w:t>(23.2.2009)</w:t>
      </w:r>
      <w:r w:rsidR="004877E8">
        <w:rPr>
          <w:rFonts w:hint="cs"/>
          <w:rtl/>
        </w:rPr>
        <w:t>).</w:t>
      </w:r>
      <w:r w:rsidR="00E5068F">
        <w:rPr>
          <w:rFonts w:hint="cs"/>
          <w:rtl/>
        </w:rPr>
        <w:t xml:space="preserve"> </w:t>
      </w:r>
    </w:p>
    <w:p w14:paraId="7794FB10" w14:textId="77777777" w:rsidR="0076452E" w:rsidRDefault="00E5068F" w:rsidP="00560DF0">
      <w:pPr>
        <w:pStyle w:val="2"/>
        <w:ind w:left="-7" w:firstLine="0"/>
      </w:pPr>
      <w:r>
        <w:rPr>
          <w:rFonts w:hint="cs"/>
          <w:rtl/>
        </w:rPr>
        <w:t xml:space="preserve">בהכרעה האם להעביר לעיונה של ההגנה </w:t>
      </w:r>
      <w:r w:rsidR="00686DBA">
        <w:rPr>
          <w:rFonts w:hint="cs"/>
          <w:rtl/>
        </w:rPr>
        <w:t>חומרים מ</w:t>
      </w:r>
      <w:r w:rsidR="00186FF8">
        <w:rPr>
          <w:rFonts w:hint="cs"/>
          <w:rtl/>
        </w:rPr>
        <w:t xml:space="preserve">חקירות אחרות </w:t>
      </w:r>
      <w:r>
        <w:rPr>
          <w:rFonts w:hint="cs"/>
          <w:rtl/>
        </w:rPr>
        <w:t xml:space="preserve">"יש ליתן משקל גם לדינים העוסקים בהבאת הראיות" (בש"פ 3099/08 </w:t>
      </w:r>
      <w:r>
        <w:rPr>
          <w:rFonts w:hint="cs"/>
          <w:b/>
          <w:bCs/>
          <w:rtl/>
        </w:rPr>
        <w:t xml:space="preserve">אברהמי </w:t>
      </w:r>
      <w:r>
        <w:rPr>
          <w:rFonts w:hint="cs"/>
          <w:rtl/>
        </w:rPr>
        <w:t xml:space="preserve">הנ"ל, פסקה 11, והאסמכתאות שם) </w:t>
      </w:r>
      <w:r>
        <w:rPr>
          <w:rFonts w:hint="cs"/>
          <w:rtl/>
        </w:rPr>
        <w:lastRenderedPageBreak/>
        <w:t xml:space="preserve">- וביתר פירוט, </w:t>
      </w:r>
      <w:r w:rsidR="00186FF8">
        <w:rPr>
          <w:rFonts w:hint="cs"/>
          <w:rtl/>
        </w:rPr>
        <w:t>כנזכר בבש"פ</w:t>
      </w:r>
      <w:r w:rsidR="00675191">
        <w:rPr>
          <w:rFonts w:hint="cs"/>
          <w:rtl/>
        </w:rPr>
        <w:t xml:space="preserve"> 7233/18</w:t>
      </w:r>
      <w:r w:rsidR="00186FF8">
        <w:rPr>
          <w:rFonts w:hint="cs"/>
          <w:rtl/>
        </w:rPr>
        <w:t xml:space="preserve"> </w:t>
      </w:r>
      <w:r w:rsidR="00186FF8">
        <w:rPr>
          <w:rFonts w:hint="cs"/>
          <w:b/>
          <w:bCs/>
          <w:rtl/>
        </w:rPr>
        <w:t xml:space="preserve">בכיראת </w:t>
      </w:r>
      <w:r w:rsidR="00186FF8">
        <w:rPr>
          <w:rFonts w:hint="cs"/>
          <w:rtl/>
        </w:rPr>
        <w:t>הנ"ל</w:t>
      </w:r>
      <w:r w:rsidR="006F51F0">
        <w:rPr>
          <w:rFonts w:hint="cs"/>
          <w:rtl/>
        </w:rPr>
        <w:t>,</w:t>
      </w:r>
      <w:r w:rsidR="00186FF8">
        <w:rPr>
          <w:rFonts w:hint="cs"/>
          <w:rtl/>
        </w:rPr>
        <w:t xml:space="preserve"> </w:t>
      </w:r>
      <w:r>
        <w:rPr>
          <w:rFonts w:hint="cs"/>
          <w:rtl/>
        </w:rPr>
        <w:t xml:space="preserve">"יש להביא בחשבון את הכלל של סופיות תשובות העד בעניינים צדדיים, שאינו מאפשר הבאת ראיות נוספות כדי להפריך את תשובות העד. במילים אחרות, גם אם העדים ייחקרו בנוגע לתיקים שבהם היו מעורבים, יש להביא בחשבון את הכלל בדבר סופיות תשובות העד ואת העובדה </w:t>
      </w:r>
      <w:r>
        <w:rPr>
          <w:rFonts w:hint="cs"/>
          <w:b/>
          <w:bCs/>
          <w:rtl/>
        </w:rPr>
        <w:t>שבית המשפט לא יאפשר ניהולו של 'משפט בתוך משפט' בעניינו הנפרד של העד במסגרת משפטו של הנאשם"</w:t>
      </w:r>
      <w:r>
        <w:rPr>
          <w:rFonts w:hint="cs"/>
          <w:rtl/>
        </w:rPr>
        <w:t xml:space="preserve"> (</w:t>
      </w:r>
      <w:r w:rsidRPr="00973182">
        <w:rPr>
          <w:rFonts w:hint="cs"/>
          <w:rtl/>
        </w:rPr>
        <w:t>יצחק</w:t>
      </w:r>
      <w:r w:rsidRPr="00973182">
        <w:rPr>
          <w:rtl/>
        </w:rPr>
        <w:t xml:space="preserve"> </w:t>
      </w:r>
      <w:r w:rsidRPr="00973182">
        <w:rPr>
          <w:rFonts w:hint="cs"/>
          <w:rtl/>
        </w:rPr>
        <w:t>עמית</w:t>
      </w:r>
      <w:r>
        <w:rPr>
          <w:rFonts w:hint="cs"/>
          <w:rtl/>
        </w:rPr>
        <w:t>,</w:t>
      </w:r>
      <w:r w:rsidRPr="00973182">
        <w:rPr>
          <w:rtl/>
        </w:rPr>
        <w:t xml:space="preserve"> </w:t>
      </w:r>
      <w:r w:rsidRPr="00973182">
        <w:rPr>
          <w:rFonts w:hint="cs"/>
          <w:b/>
          <w:bCs/>
          <w:rtl/>
        </w:rPr>
        <w:t>חסיונות</w:t>
      </w:r>
      <w:r w:rsidRPr="00973182">
        <w:rPr>
          <w:b/>
          <w:bCs/>
          <w:rtl/>
        </w:rPr>
        <w:t xml:space="preserve"> </w:t>
      </w:r>
      <w:r w:rsidRPr="00973182">
        <w:rPr>
          <w:rFonts w:hint="cs"/>
          <w:b/>
          <w:bCs/>
          <w:rtl/>
        </w:rPr>
        <w:t>ואינטרסים</w:t>
      </w:r>
      <w:r w:rsidRPr="00973182">
        <w:rPr>
          <w:b/>
          <w:bCs/>
          <w:rtl/>
        </w:rPr>
        <w:t xml:space="preserve"> </w:t>
      </w:r>
      <w:r w:rsidRPr="00973182">
        <w:rPr>
          <w:rFonts w:hint="cs"/>
          <w:b/>
          <w:bCs/>
          <w:rtl/>
        </w:rPr>
        <w:t>מוגנים</w:t>
      </w:r>
      <w:r w:rsidRPr="00973182">
        <w:rPr>
          <w:b/>
          <w:bCs/>
          <w:rtl/>
        </w:rPr>
        <w:t xml:space="preserve">: </w:t>
      </w:r>
      <w:r w:rsidRPr="00973182">
        <w:rPr>
          <w:rFonts w:hint="cs"/>
          <w:b/>
          <w:bCs/>
          <w:rtl/>
        </w:rPr>
        <w:t>הליכי</w:t>
      </w:r>
      <w:r w:rsidRPr="00973182">
        <w:rPr>
          <w:b/>
          <w:bCs/>
          <w:rtl/>
        </w:rPr>
        <w:t xml:space="preserve"> </w:t>
      </w:r>
      <w:r w:rsidRPr="00973182">
        <w:rPr>
          <w:rFonts w:hint="cs"/>
          <w:b/>
          <w:bCs/>
          <w:rtl/>
        </w:rPr>
        <w:t>גילוי</w:t>
      </w:r>
      <w:r w:rsidRPr="00973182">
        <w:rPr>
          <w:b/>
          <w:bCs/>
          <w:rtl/>
        </w:rPr>
        <w:t xml:space="preserve"> </w:t>
      </w:r>
      <w:r w:rsidRPr="00973182">
        <w:rPr>
          <w:rFonts w:hint="cs"/>
          <w:b/>
          <w:bCs/>
          <w:rtl/>
        </w:rPr>
        <w:t>ועיון</w:t>
      </w:r>
      <w:r w:rsidRPr="00973182">
        <w:rPr>
          <w:b/>
          <w:bCs/>
          <w:rtl/>
        </w:rPr>
        <w:t xml:space="preserve"> </w:t>
      </w:r>
      <w:r w:rsidRPr="00973182">
        <w:rPr>
          <w:rFonts w:hint="cs"/>
          <w:b/>
          <w:bCs/>
          <w:rtl/>
        </w:rPr>
        <w:t>במשפט</w:t>
      </w:r>
      <w:r w:rsidRPr="00973182">
        <w:rPr>
          <w:b/>
          <w:bCs/>
          <w:rtl/>
        </w:rPr>
        <w:t xml:space="preserve"> </w:t>
      </w:r>
      <w:r w:rsidRPr="00973182">
        <w:rPr>
          <w:rFonts w:hint="cs"/>
          <w:b/>
          <w:bCs/>
          <w:rtl/>
        </w:rPr>
        <w:t>האזרחי</w:t>
      </w:r>
      <w:r w:rsidRPr="00973182">
        <w:rPr>
          <w:b/>
          <w:bCs/>
          <w:rtl/>
        </w:rPr>
        <w:t xml:space="preserve"> </w:t>
      </w:r>
      <w:r w:rsidRPr="00973182">
        <w:rPr>
          <w:rFonts w:hint="cs"/>
          <w:b/>
          <w:bCs/>
          <w:rtl/>
        </w:rPr>
        <w:t>והפלילי</w:t>
      </w:r>
      <w:r w:rsidRPr="00973182">
        <w:rPr>
          <w:rtl/>
        </w:rPr>
        <w:t xml:space="preserve"> </w:t>
      </w:r>
      <w:r>
        <w:rPr>
          <w:rFonts w:hint="cs"/>
          <w:rtl/>
        </w:rPr>
        <w:t xml:space="preserve">226-225. ההדגשה הוספה </w:t>
      </w:r>
      <w:r w:rsidRPr="00973182">
        <w:rPr>
          <w:rtl/>
        </w:rPr>
        <w:t>(2021)</w:t>
      </w:r>
      <w:r>
        <w:rPr>
          <w:rFonts w:hint="cs"/>
          <w:rtl/>
        </w:rPr>
        <w:t>).</w:t>
      </w:r>
    </w:p>
    <w:p w14:paraId="29707C84" w14:textId="77777777" w:rsidR="006C7272" w:rsidRDefault="00CB1813" w:rsidP="00560DF0">
      <w:pPr>
        <w:pStyle w:val="2"/>
        <w:ind w:left="-7" w:firstLine="0"/>
      </w:pPr>
      <w:r>
        <w:rPr>
          <w:rFonts w:hint="cs"/>
          <w:rtl/>
        </w:rPr>
        <w:t xml:space="preserve">סוגיה </w:t>
      </w:r>
      <w:r w:rsidR="00256038">
        <w:rPr>
          <w:rFonts w:hint="cs"/>
          <w:rtl/>
        </w:rPr>
        <w:t xml:space="preserve">ראייתית </w:t>
      </w:r>
      <w:r>
        <w:rPr>
          <w:rFonts w:hint="cs"/>
          <w:rtl/>
        </w:rPr>
        <w:t xml:space="preserve">נוספת היא </w:t>
      </w:r>
      <w:r w:rsidR="001B07A3">
        <w:rPr>
          <w:rFonts w:hint="cs"/>
          <w:rtl/>
        </w:rPr>
        <w:t>"ה</w:t>
      </w:r>
      <w:r w:rsidR="001B07A3" w:rsidRPr="001B07A3">
        <w:rPr>
          <w:rtl/>
        </w:rPr>
        <w:t xml:space="preserve">הלכה לפיה תלונות עבר של מתלוננת בגין פגיעה מינית בה אינן, כשלעצמן, רלוונטיות להגנת הנאשם (ראו: ע"פ 5938/00 </w:t>
      </w:r>
      <w:r w:rsidR="001B07A3" w:rsidRPr="001B07A3">
        <w:rPr>
          <w:b/>
          <w:bCs/>
          <w:rtl/>
        </w:rPr>
        <w:t>אזולאי נ' מדינת ישראל</w:t>
      </w:r>
      <w:r w:rsidR="001B07A3" w:rsidRPr="001B07A3">
        <w:rPr>
          <w:rtl/>
        </w:rPr>
        <w:t>, פ"ד נה(3) 873, 902 (2001)</w:t>
      </w:r>
      <w:r w:rsidR="0099699C">
        <w:t>(</w:t>
      </w:r>
      <w:r w:rsidR="001B07A3" w:rsidRPr="001B07A3">
        <w:rPr>
          <w:rtl/>
        </w:rPr>
        <w:t xml:space="preserve">. תלונות אלה נכנסות בגדרי </w:t>
      </w:r>
      <w:r w:rsidR="001B07A3">
        <w:rPr>
          <w:rFonts w:hint="cs"/>
          <w:rtl/>
        </w:rPr>
        <w:t>'</w:t>
      </w:r>
      <w:r w:rsidR="001B07A3" w:rsidRPr="001B07A3">
        <w:rPr>
          <w:rtl/>
        </w:rPr>
        <w:t>עבר מיני</w:t>
      </w:r>
      <w:r w:rsidR="001B07A3">
        <w:rPr>
          <w:rFonts w:hint="cs"/>
          <w:rtl/>
        </w:rPr>
        <w:t>'</w:t>
      </w:r>
      <w:r w:rsidR="001B07A3" w:rsidRPr="001B07A3">
        <w:rPr>
          <w:rtl/>
        </w:rPr>
        <w:t xml:space="preserve">, שלא ניתן להתיר חקירה עליהן (סעיף 2א </w:t>
      </w:r>
      <w:r w:rsidR="00CE6611">
        <w:rPr>
          <w:rFonts w:hint="cs"/>
          <w:rtl/>
        </w:rPr>
        <w:t>ל</w:t>
      </w:r>
      <w:r w:rsidR="001B07A3" w:rsidRPr="001B07A3">
        <w:rPr>
          <w:rtl/>
        </w:rPr>
        <w:t>חוק לתיקון סדרי הדין (חקירת עדים), התשי</w:t>
      </w:r>
      <w:r w:rsidR="001B07A3">
        <w:rPr>
          <w:rFonts w:hint="cs"/>
          <w:rtl/>
        </w:rPr>
        <w:t>"</w:t>
      </w:r>
      <w:r w:rsidR="001B07A3" w:rsidRPr="001B07A3">
        <w:rPr>
          <w:rtl/>
        </w:rPr>
        <w:t>ח</w:t>
      </w:r>
      <w:r w:rsidR="001B07A3">
        <w:rPr>
          <w:rFonts w:hint="cs"/>
          <w:rtl/>
        </w:rPr>
        <w:t xml:space="preserve"> </w:t>
      </w:r>
      <w:r w:rsidR="001B07A3" w:rsidRPr="001B07A3">
        <w:rPr>
          <w:rtl/>
        </w:rPr>
        <w:t xml:space="preserve">-1957; עניין </w:t>
      </w:r>
      <w:r w:rsidR="001B07A3" w:rsidRPr="006F51F0">
        <w:rPr>
          <w:b/>
          <w:bCs/>
          <w:rtl/>
        </w:rPr>
        <w:t>אזולאי</w:t>
      </w:r>
      <w:r w:rsidR="001B07A3" w:rsidRPr="001B07A3">
        <w:rPr>
          <w:rtl/>
        </w:rPr>
        <w:t>, עמ' 901). אמנם, במקרים חריגים ניתן לסטות מכלל זה, אולם גם באותם מקרים יש להתייחס אליהן במידה ובזהירות הנדרשת</w:t>
      </w:r>
      <w:r w:rsidR="001B07A3">
        <w:rPr>
          <w:rFonts w:hint="cs"/>
          <w:rtl/>
        </w:rPr>
        <w:t xml:space="preserve">... </w:t>
      </w:r>
      <w:r w:rsidR="001B07A3" w:rsidRPr="001B07A3">
        <w:rPr>
          <w:rtl/>
        </w:rPr>
        <w:t xml:space="preserve">אין מדובר במתן </w:t>
      </w:r>
      <w:r w:rsidR="001B07A3">
        <w:rPr>
          <w:rFonts w:hint="cs"/>
          <w:rtl/>
        </w:rPr>
        <w:t>'</w:t>
      </w:r>
      <w:r w:rsidR="001B07A3" w:rsidRPr="001B07A3">
        <w:rPr>
          <w:rtl/>
        </w:rPr>
        <w:t>צ'ק פתוח</w:t>
      </w:r>
      <w:r w:rsidR="001B07A3">
        <w:rPr>
          <w:rFonts w:hint="cs"/>
          <w:rtl/>
        </w:rPr>
        <w:t>'</w:t>
      </w:r>
      <w:r w:rsidR="001B07A3" w:rsidRPr="001B07A3">
        <w:rPr>
          <w:rtl/>
        </w:rPr>
        <w:t xml:space="preserve"> להרחיב את גדרי החקירה בקשר לתלונות קודמות עד אין קץ</w:t>
      </w:r>
      <w:r w:rsidR="001B07A3">
        <w:rPr>
          <w:rFonts w:hint="cs"/>
          <w:rtl/>
        </w:rPr>
        <w:t xml:space="preserve">" </w:t>
      </w:r>
      <w:r w:rsidR="00F416F5">
        <w:rPr>
          <w:rFonts w:hint="cs"/>
          <w:rtl/>
        </w:rPr>
        <w:t xml:space="preserve">(בש"פ 3474/19 </w:t>
      </w:r>
      <w:r w:rsidR="00F416F5">
        <w:rPr>
          <w:rFonts w:hint="cs"/>
          <w:b/>
          <w:bCs/>
          <w:rtl/>
        </w:rPr>
        <w:t>פלוני נ' מדינת ישראל</w:t>
      </w:r>
      <w:r w:rsidR="00F416F5">
        <w:rPr>
          <w:rFonts w:hint="cs"/>
          <w:rtl/>
        </w:rPr>
        <w:t>, פסקה 11 (24.6.2019))</w:t>
      </w:r>
      <w:r w:rsidR="00E01D49">
        <w:rPr>
          <w:rFonts w:hint="cs"/>
          <w:rtl/>
        </w:rPr>
        <w:t>, ו</w:t>
      </w:r>
      <w:r w:rsidR="00F416F5">
        <w:rPr>
          <w:rFonts w:hint="cs"/>
          <w:rtl/>
        </w:rPr>
        <w:t>"לא</w:t>
      </w:r>
      <w:r w:rsidR="00F416F5">
        <w:rPr>
          <w:rtl/>
        </w:rPr>
        <w:t xml:space="preserve"> </w:t>
      </w:r>
      <w:r w:rsidR="00F416F5">
        <w:rPr>
          <w:rFonts w:hint="cs"/>
          <w:rtl/>
        </w:rPr>
        <w:t>ניתן</w:t>
      </w:r>
      <w:r w:rsidR="00F416F5">
        <w:rPr>
          <w:rtl/>
        </w:rPr>
        <w:t xml:space="preserve"> </w:t>
      </w:r>
      <w:r w:rsidR="00F416F5">
        <w:rPr>
          <w:rFonts w:hint="cs"/>
          <w:rtl/>
        </w:rPr>
        <w:t>לצאת</w:t>
      </w:r>
      <w:r w:rsidR="00F416F5">
        <w:rPr>
          <w:rtl/>
        </w:rPr>
        <w:t xml:space="preserve"> </w:t>
      </w:r>
      <w:r w:rsidR="00F416F5">
        <w:rPr>
          <w:rFonts w:hint="cs"/>
          <w:rtl/>
        </w:rPr>
        <w:t>מהנחה</w:t>
      </w:r>
      <w:r w:rsidR="00F416F5">
        <w:rPr>
          <w:rtl/>
        </w:rPr>
        <w:t xml:space="preserve"> </w:t>
      </w:r>
      <w:r w:rsidR="00F416F5">
        <w:rPr>
          <w:rFonts w:hint="cs"/>
          <w:rtl/>
        </w:rPr>
        <w:t>כי</w:t>
      </w:r>
      <w:r w:rsidR="00F416F5">
        <w:rPr>
          <w:rtl/>
        </w:rPr>
        <w:t xml:space="preserve"> </w:t>
      </w:r>
      <w:r w:rsidR="00F416F5">
        <w:rPr>
          <w:rFonts w:hint="cs"/>
          <w:rtl/>
        </w:rPr>
        <w:t>עצם</w:t>
      </w:r>
      <w:r w:rsidR="00F416F5">
        <w:rPr>
          <w:rtl/>
        </w:rPr>
        <w:t xml:space="preserve"> </w:t>
      </w:r>
      <w:r w:rsidR="00F416F5">
        <w:rPr>
          <w:rFonts w:hint="cs"/>
          <w:rtl/>
        </w:rPr>
        <w:t>קיומן</w:t>
      </w:r>
      <w:r w:rsidR="00F416F5">
        <w:rPr>
          <w:rtl/>
        </w:rPr>
        <w:t xml:space="preserve"> </w:t>
      </w:r>
      <w:r w:rsidR="00F416F5">
        <w:rPr>
          <w:rFonts w:hint="cs"/>
          <w:rtl/>
        </w:rPr>
        <w:t>של</w:t>
      </w:r>
      <w:r w:rsidR="00F416F5">
        <w:rPr>
          <w:rtl/>
        </w:rPr>
        <w:t xml:space="preserve"> </w:t>
      </w:r>
      <w:r w:rsidR="00F416F5">
        <w:rPr>
          <w:rFonts w:hint="cs"/>
          <w:rtl/>
        </w:rPr>
        <w:t>תלונות</w:t>
      </w:r>
      <w:r w:rsidR="00F416F5">
        <w:rPr>
          <w:rtl/>
        </w:rPr>
        <w:t xml:space="preserve"> </w:t>
      </w:r>
      <w:r w:rsidR="00F416F5">
        <w:rPr>
          <w:rFonts w:hint="cs"/>
          <w:rtl/>
        </w:rPr>
        <w:t>קודמות</w:t>
      </w:r>
      <w:r w:rsidR="00F416F5">
        <w:rPr>
          <w:rtl/>
        </w:rPr>
        <w:t xml:space="preserve">, </w:t>
      </w:r>
      <w:r w:rsidR="00F416F5">
        <w:rPr>
          <w:rFonts w:hint="cs"/>
          <w:rtl/>
        </w:rPr>
        <w:t>ואף</w:t>
      </w:r>
      <w:r w:rsidR="00F416F5">
        <w:rPr>
          <w:rtl/>
        </w:rPr>
        <w:t xml:space="preserve"> </w:t>
      </w:r>
      <w:r w:rsidR="00F416F5">
        <w:rPr>
          <w:rFonts w:hint="cs"/>
          <w:rtl/>
        </w:rPr>
        <w:t>תלונות</w:t>
      </w:r>
      <w:r w:rsidR="00F416F5">
        <w:rPr>
          <w:rtl/>
        </w:rPr>
        <w:t xml:space="preserve"> </w:t>
      </w:r>
      <w:r w:rsidR="00F416F5">
        <w:rPr>
          <w:rFonts w:hint="cs"/>
          <w:rtl/>
        </w:rPr>
        <w:t>שנסגרו</w:t>
      </w:r>
      <w:r w:rsidR="00F416F5">
        <w:rPr>
          <w:rtl/>
        </w:rPr>
        <w:t xml:space="preserve"> </w:t>
      </w:r>
      <w:r w:rsidR="00F416F5">
        <w:rPr>
          <w:rFonts w:hint="cs"/>
          <w:rtl/>
        </w:rPr>
        <w:t>בעילה</w:t>
      </w:r>
      <w:r w:rsidR="00F416F5">
        <w:rPr>
          <w:rtl/>
        </w:rPr>
        <w:t xml:space="preserve"> </w:t>
      </w:r>
      <w:r w:rsidR="00F416F5">
        <w:rPr>
          <w:rFonts w:hint="cs"/>
          <w:rtl/>
        </w:rPr>
        <w:t>של</w:t>
      </w:r>
      <w:r w:rsidR="00F416F5">
        <w:rPr>
          <w:rtl/>
        </w:rPr>
        <w:t xml:space="preserve"> </w:t>
      </w:r>
      <w:r w:rsidR="00F416F5">
        <w:rPr>
          <w:rFonts w:hint="cs"/>
          <w:rtl/>
        </w:rPr>
        <w:t>חוסר</w:t>
      </w:r>
      <w:r w:rsidR="00F416F5">
        <w:rPr>
          <w:rtl/>
        </w:rPr>
        <w:t xml:space="preserve"> </w:t>
      </w:r>
      <w:r w:rsidR="00F416F5">
        <w:rPr>
          <w:rFonts w:hint="cs"/>
          <w:rtl/>
        </w:rPr>
        <w:t>אשמה</w:t>
      </w:r>
      <w:r w:rsidR="00F416F5">
        <w:rPr>
          <w:rtl/>
        </w:rPr>
        <w:t xml:space="preserve"> (</w:t>
      </w:r>
      <w:r w:rsidR="00F416F5">
        <w:rPr>
          <w:rFonts w:hint="cs"/>
          <w:rtl/>
        </w:rPr>
        <w:t>שלא</w:t>
      </w:r>
      <w:r w:rsidR="00F416F5">
        <w:rPr>
          <w:rtl/>
        </w:rPr>
        <w:t xml:space="preserve"> </w:t>
      </w:r>
      <w:r w:rsidR="00F416F5">
        <w:rPr>
          <w:rFonts w:hint="cs"/>
          <w:rtl/>
        </w:rPr>
        <w:t>כבענייננו</w:t>
      </w:r>
      <w:r w:rsidR="00F416F5">
        <w:rPr>
          <w:rtl/>
        </w:rPr>
        <w:t xml:space="preserve">), </w:t>
      </w:r>
      <w:r w:rsidR="00F416F5">
        <w:rPr>
          <w:rFonts w:hint="cs"/>
          <w:rtl/>
        </w:rPr>
        <w:t>מכתים</w:t>
      </w:r>
      <w:r w:rsidR="00F416F5">
        <w:rPr>
          <w:rtl/>
        </w:rPr>
        <w:t xml:space="preserve"> </w:t>
      </w:r>
      <w:r w:rsidR="00F416F5">
        <w:rPr>
          <w:rFonts w:hint="cs"/>
          <w:rtl/>
        </w:rPr>
        <w:t>באופן</w:t>
      </w:r>
      <w:r w:rsidR="00F416F5">
        <w:rPr>
          <w:rtl/>
        </w:rPr>
        <w:t xml:space="preserve"> </w:t>
      </w:r>
      <w:r w:rsidR="00F416F5">
        <w:rPr>
          <w:rFonts w:hint="cs"/>
          <w:rtl/>
        </w:rPr>
        <w:t>אוטומטי</w:t>
      </w:r>
      <w:r w:rsidR="00F416F5">
        <w:rPr>
          <w:rtl/>
        </w:rPr>
        <w:t xml:space="preserve"> </w:t>
      </w:r>
      <w:r w:rsidR="00F416F5">
        <w:rPr>
          <w:rFonts w:hint="cs"/>
          <w:rtl/>
        </w:rPr>
        <w:t>את</w:t>
      </w:r>
      <w:r w:rsidR="00F416F5">
        <w:rPr>
          <w:rtl/>
        </w:rPr>
        <w:t xml:space="preserve"> </w:t>
      </w:r>
      <w:r w:rsidR="00F416F5">
        <w:rPr>
          <w:rFonts w:hint="cs"/>
          <w:rtl/>
        </w:rPr>
        <w:t>מהימנות</w:t>
      </w:r>
      <w:r w:rsidR="00F416F5">
        <w:rPr>
          <w:rtl/>
        </w:rPr>
        <w:t xml:space="preserve"> </w:t>
      </w:r>
      <w:r w:rsidR="00F416F5">
        <w:rPr>
          <w:rFonts w:hint="cs"/>
          <w:rtl/>
        </w:rPr>
        <w:t xml:space="preserve">המתלוננת" </w:t>
      </w:r>
      <w:r w:rsidR="00463DB7">
        <w:rPr>
          <w:rFonts w:hint="cs"/>
          <w:rtl/>
        </w:rPr>
        <w:t>(</w:t>
      </w:r>
      <w:r w:rsidR="006C7272" w:rsidRPr="003872D1">
        <w:rPr>
          <w:rFonts w:hint="cs"/>
          <w:rtl/>
        </w:rPr>
        <w:t>בש</w:t>
      </w:r>
      <w:r w:rsidR="00463DB7">
        <w:rPr>
          <w:rFonts w:hint="cs"/>
          <w:rtl/>
        </w:rPr>
        <w:t>"</w:t>
      </w:r>
      <w:r w:rsidR="006C7272" w:rsidRPr="003872D1">
        <w:rPr>
          <w:rFonts w:hint="cs"/>
          <w:rtl/>
        </w:rPr>
        <w:t>פ</w:t>
      </w:r>
      <w:r w:rsidR="006C7272" w:rsidRPr="003872D1">
        <w:rPr>
          <w:rtl/>
        </w:rPr>
        <w:t xml:space="preserve"> 6605/18 </w:t>
      </w:r>
      <w:r w:rsidR="006C7272" w:rsidRPr="003872D1">
        <w:rPr>
          <w:rFonts w:hint="cs"/>
          <w:b/>
          <w:bCs/>
          <w:rtl/>
        </w:rPr>
        <w:t>פלוני</w:t>
      </w:r>
      <w:r w:rsidR="006C7272" w:rsidRPr="003872D1">
        <w:rPr>
          <w:b/>
          <w:bCs/>
          <w:rtl/>
        </w:rPr>
        <w:t xml:space="preserve"> </w:t>
      </w:r>
      <w:r w:rsidR="006C7272" w:rsidRPr="003872D1">
        <w:rPr>
          <w:rFonts w:hint="cs"/>
          <w:b/>
          <w:bCs/>
          <w:rtl/>
        </w:rPr>
        <w:t>נ</w:t>
      </w:r>
      <w:r w:rsidR="006C7272" w:rsidRPr="003872D1">
        <w:rPr>
          <w:b/>
          <w:bCs/>
          <w:rtl/>
        </w:rPr>
        <w:t xml:space="preserve">' </w:t>
      </w:r>
      <w:r w:rsidR="006C7272" w:rsidRPr="003872D1">
        <w:rPr>
          <w:rFonts w:hint="cs"/>
          <w:b/>
          <w:bCs/>
          <w:rtl/>
        </w:rPr>
        <w:t>מדינת</w:t>
      </w:r>
      <w:r w:rsidR="006C7272" w:rsidRPr="003872D1">
        <w:rPr>
          <w:b/>
          <w:bCs/>
          <w:rtl/>
        </w:rPr>
        <w:t xml:space="preserve"> </w:t>
      </w:r>
      <w:r w:rsidR="006C7272" w:rsidRPr="003872D1">
        <w:rPr>
          <w:rFonts w:hint="cs"/>
          <w:b/>
          <w:bCs/>
          <w:rtl/>
        </w:rPr>
        <w:t>ישראל</w:t>
      </w:r>
      <w:r w:rsidR="006C7272">
        <w:rPr>
          <w:rFonts w:hint="cs"/>
          <w:rtl/>
        </w:rPr>
        <w:t>, פסקה 5 (9.10.2018)).</w:t>
      </w:r>
    </w:p>
    <w:p w14:paraId="5B65966A" w14:textId="77777777" w:rsidR="00430CFF" w:rsidRDefault="00430CFF" w:rsidP="00560DF0">
      <w:pPr>
        <w:pStyle w:val="2"/>
        <w:ind w:left="-7" w:firstLine="0"/>
      </w:pPr>
      <w:r>
        <w:rPr>
          <w:rFonts w:hint="cs"/>
          <w:rtl/>
        </w:rPr>
        <w:t xml:space="preserve">שיקול </w:t>
      </w:r>
      <w:r w:rsidR="00810066">
        <w:rPr>
          <w:rFonts w:hint="cs"/>
          <w:rtl/>
        </w:rPr>
        <w:t xml:space="preserve">אחר בקבלת ההחלטה </w:t>
      </w:r>
      <w:r>
        <w:rPr>
          <w:rFonts w:hint="cs"/>
          <w:rtl/>
        </w:rPr>
        <w:t xml:space="preserve">נוגע </w:t>
      </w:r>
      <w:r w:rsidR="00C54A42">
        <w:rPr>
          <w:rFonts w:hint="cs"/>
          <w:rtl/>
        </w:rPr>
        <w:t xml:space="preserve">כאמור </w:t>
      </w:r>
      <w:r>
        <w:rPr>
          <w:rFonts w:hint="cs"/>
          <w:rtl/>
        </w:rPr>
        <w:t xml:space="preserve">להשלכות של העברת החומר על נפגעי עבירה ועל צדדים שלישיים. ואכן, באיזון שבין זכותו של נאשם למשפט הוגן, לבין זכויותיהם של המתלוננים וצדדים שלישיים לכבוד ולפרטיות, תתקבל ההכרעה "לא רק על בסיס פוטנציאל ההגנה הטמון בחומר המצוי בתיקים המבוקשים, אלא גם על מידת הפגיעה שעלולה מסירת החומר להסב למאן דהוא" (בש"פ 3099/08 </w:t>
      </w:r>
      <w:r>
        <w:rPr>
          <w:rFonts w:hint="cs"/>
          <w:b/>
          <w:bCs/>
          <w:rtl/>
        </w:rPr>
        <w:t xml:space="preserve">אברהמי </w:t>
      </w:r>
      <w:r>
        <w:rPr>
          <w:rFonts w:hint="cs"/>
          <w:rtl/>
        </w:rPr>
        <w:t xml:space="preserve">הנ"ל, פסקה 12). </w:t>
      </w:r>
    </w:p>
    <w:p w14:paraId="63483EC4" w14:textId="77777777" w:rsidR="0069730C" w:rsidRDefault="0069730C" w:rsidP="00560DF0">
      <w:pPr>
        <w:pStyle w:val="2"/>
        <w:numPr>
          <w:ilvl w:val="0"/>
          <w:numId w:val="0"/>
        </w:numPr>
        <w:ind w:left="-7"/>
        <w:rPr>
          <w:rtl/>
        </w:rPr>
      </w:pPr>
      <w:r>
        <w:rPr>
          <w:rFonts w:hint="cs"/>
          <w:rtl/>
        </w:rPr>
        <w:t xml:space="preserve">לא לחינם, </w:t>
      </w:r>
      <w:r w:rsidR="004A72BC">
        <w:rPr>
          <w:rFonts w:hint="cs"/>
          <w:rtl/>
        </w:rPr>
        <w:t xml:space="preserve">לכן, </w:t>
      </w:r>
      <w:r>
        <w:rPr>
          <w:rFonts w:hint="cs"/>
          <w:rtl/>
        </w:rPr>
        <w:t>"</w:t>
      </w:r>
      <w:r w:rsidRPr="00AF5C19">
        <w:rPr>
          <w:rFonts w:hint="cs"/>
          <w:rtl/>
        </w:rPr>
        <w:t>שאלה</w:t>
      </w:r>
      <w:r w:rsidRPr="00AF5C19">
        <w:rPr>
          <w:rtl/>
        </w:rPr>
        <w:t xml:space="preserve"> </w:t>
      </w:r>
      <w:r w:rsidRPr="00AF5C19">
        <w:rPr>
          <w:rFonts w:hint="cs"/>
          <w:rtl/>
        </w:rPr>
        <w:t>היא</w:t>
      </w:r>
      <w:r w:rsidRPr="00AF5C19">
        <w:rPr>
          <w:rtl/>
        </w:rPr>
        <w:t xml:space="preserve"> </w:t>
      </w:r>
      <w:r w:rsidRPr="00AF5C19">
        <w:rPr>
          <w:rFonts w:hint="cs"/>
          <w:rtl/>
        </w:rPr>
        <w:t>אם</w:t>
      </w:r>
      <w:r w:rsidRPr="00AF5C19">
        <w:rPr>
          <w:rtl/>
        </w:rPr>
        <w:t xml:space="preserve"> </w:t>
      </w:r>
      <w:r w:rsidRPr="00AF5C19">
        <w:rPr>
          <w:rFonts w:hint="cs"/>
          <w:rtl/>
        </w:rPr>
        <w:t>המסלול</w:t>
      </w:r>
      <w:r w:rsidRPr="00AF5C19">
        <w:rPr>
          <w:rtl/>
        </w:rPr>
        <w:t xml:space="preserve"> </w:t>
      </w:r>
      <w:r w:rsidRPr="00AF5C19">
        <w:rPr>
          <w:rFonts w:hint="cs"/>
          <w:rtl/>
        </w:rPr>
        <w:t>המתאים</w:t>
      </w:r>
      <w:r w:rsidRPr="00AF5C19">
        <w:rPr>
          <w:rtl/>
        </w:rPr>
        <w:t xml:space="preserve"> </w:t>
      </w:r>
      <w:r w:rsidRPr="00AF5C19">
        <w:rPr>
          <w:rFonts w:hint="cs"/>
          <w:rtl/>
        </w:rPr>
        <w:t>לבקשת</w:t>
      </w:r>
      <w:r w:rsidRPr="00AF5C19">
        <w:rPr>
          <w:rtl/>
        </w:rPr>
        <w:t xml:space="preserve"> </w:t>
      </w:r>
      <w:r w:rsidRPr="00AF5C19">
        <w:rPr>
          <w:rFonts w:hint="cs"/>
          <w:rtl/>
        </w:rPr>
        <w:t>תיקי</w:t>
      </w:r>
      <w:r w:rsidRPr="00AF5C19">
        <w:rPr>
          <w:rtl/>
        </w:rPr>
        <w:t xml:space="preserve"> </w:t>
      </w:r>
      <w:r w:rsidRPr="00AF5C19">
        <w:rPr>
          <w:rFonts w:hint="cs"/>
          <w:rtl/>
        </w:rPr>
        <w:t>החקירה</w:t>
      </w:r>
      <w:r w:rsidRPr="00AF5C19">
        <w:rPr>
          <w:rtl/>
        </w:rPr>
        <w:t xml:space="preserve"> </w:t>
      </w:r>
      <w:r w:rsidRPr="00AF5C19">
        <w:rPr>
          <w:rFonts w:hint="cs"/>
          <w:rtl/>
        </w:rPr>
        <w:t>הוא</w:t>
      </w:r>
      <w:r w:rsidRPr="00AF5C19">
        <w:rPr>
          <w:rtl/>
        </w:rPr>
        <w:t xml:space="preserve"> </w:t>
      </w:r>
      <w:r w:rsidRPr="00AF5C19">
        <w:rPr>
          <w:rFonts w:hint="cs"/>
          <w:rtl/>
        </w:rPr>
        <w:t>במסגרת</w:t>
      </w:r>
      <w:r w:rsidRPr="00AF5C19">
        <w:rPr>
          <w:rtl/>
        </w:rPr>
        <w:t xml:space="preserve"> </w:t>
      </w:r>
      <w:r w:rsidRPr="00AF5C19">
        <w:rPr>
          <w:rFonts w:hint="cs"/>
          <w:rtl/>
        </w:rPr>
        <w:t>בקשה</w:t>
      </w:r>
      <w:r w:rsidRPr="00AF5C19">
        <w:rPr>
          <w:rtl/>
        </w:rPr>
        <w:t xml:space="preserve"> </w:t>
      </w:r>
      <w:r w:rsidRPr="00AF5C19">
        <w:rPr>
          <w:rFonts w:hint="cs"/>
          <w:rtl/>
        </w:rPr>
        <w:t>לפי</w:t>
      </w:r>
      <w:r w:rsidRPr="00AF5C19">
        <w:rPr>
          <w:rtl/>
        </w:rPr>
        <w:t xml:space="preserve"> </w:t>
      </w:r>
      <w:r w:rsidRPr="00AF5C19">
        <w:rPr>
          <w:rFonts w:hint="cs"/>
          <w:rtl/>
        </w:rPr>
        <w:t>סעיף</w:t>
      </w:r>
      <w:r w:rsidRPr="00AF5C19">
        <w:rPr>
          <w:rtl/>
        </w:rPr>
        <w:t xml:space="preserve"> 108 </w:t>
      </w:r>
      <w:r w:rsidRPr="00AF5C19">
        <w:rPr>
          <w:rFonts w:hint="cs"/>
          <w:rtl/>
        </w:rPr>
        <w:t>לחסד</w:t>
      </w:r>
      <w:r w:rsidRPr="00AF5C19">
        <w:rPr>
          <w:rtl/>
        </w:rPr>
        <w:t>"</w:t>
      </w:r>
      <w:r w:rsidRPr="00AF5C19">
        <w:rPr>
          <w:rFonts w:hint="cs"/>
          <w:rtl/>
        </w:rPr>
        <w:t>פ</w:t>
      </w:r>
      <w:r w:rsidRPr="00AF5C19">
        <w:rPr>
          <w:rtl/>
        </w:rPr>
        <w:t xml:space="preserve">, </w:t>
      </w:r>
      <w:r w:rsidRPr="00AF5C19">
        <w:rPr>
          <w:rFonts w:hint="cs"/>
          <w:rtl/>
        </w:rPr>
        <w:t>שאז</w:t>
      </w:r>
      <w:r w:rsidRPr="00AF5C19">
        <w:rPr>
          <w:rtl/>
        </w:rPr>
        <w:t xml:space="preserve">, </w:t>
      </w:r>
      <w:r w:rsidRPr="00AF5C19">
        <w:rPr>
          <w:rFonts w:hint="cs"/>
          <w:rtl/>
        </w:rPr>
        <w:t>בין</w:t>
      </w:r>
      <w:r w:rsidRPr="00AF5C19">
        <w:rPr>
          <w:rtl/>
        </w:rPr>
        <w:t xml:space="preserve"> </w:t>
      </w:r>
      <w:r w:rsidRPr="00AF5C19">
        <w:rPr>
          <w:rFonts w:hint="cs"/>
          <w:rtl/>
        </w:rPr>
        <w:t>היתר</w:t>
      </w:r>
      <w:r w:rsidRPr="00AF5C19">
        <w:rPr>
          <w:rtl/>
        </w:rPr>
        <w:t xml:space="preserve">, </w:t>
      </w:r>
      <w:r w:rsidRPr="00AF5C19">
        <w:rPr>
          <w:rFonts w:hint="cs"/>
          <w:rtl/>
        </w:rPr>
        <w:t>ניתן</w:t>
      </w:r>
      <w:r w:rsidRPr="00AF5C19">
        <w:rPr>
          <w:rtl/>
        </w:rPr>
        <w:t xml:space="preserve"> </w:t>
      </w:r>
      <w:r w:rsidRPr="00AF5C19">
        <w:rPr>
          <w:rFonts w:hint="cs"/>
          <w:rtl/>
        </w:rPr>
        <w:t>היה</w:t>
      </w:r>
      <w:r w:rsidRPr="00AF5C19">
        <w:rPr>
          <w:rtl/>
        </w:rPr>
        <w:t xml:space="preserve"> </w:t>
      </w:r>
      <w:r w:rsidRPr="00AF5C19">
        <w:rPr>
          <w:rFonts w:hint="cs"/>
          <w:rtl/>
        </w:rPr>
        <w:t>לאפשר</w:t>
      </w:r>
      <w:r w:rsidRPr="00AF5C19">
        <w:rPr>
          <w:rtl/>
        </w:rPr>
        <w:t xml:space="preserve"> </w:t>
      </w:r>
      <w:r w:rsidRPr="00AF5C19">
        <w:rPr>
          <w:rFonts w:hint="cs"/>
          <w:rtl/>
        </w:rPr>
        <w:t>זכות</w:t>
      </w:r>
      <w:r w:rsidRPr="00AF5C19">
        <w:rPr>
          <w:rtl/>
        </w:rPr>
        <w:t xml:space="preserve"> </w:t>
      </w:r>
      <w:r w:rsidRPr="00AF5C19">
        <w:rPr>
          <w:rFonts w:hint="cs"/>
          <w:rtl/>
        </w:rPr>
        <w:t>טיעון</w:t>
      </w:r>
      <w:r w:rsidRPr="00AF5C19">
        <w:rPr>
          <w:rtl/>
        </w:rPr>
        <w:t xml:space="preserve"> </w:t>
      </w:r>
      <w:r w:rsidRPr="00AF5C19">
        <w:rPr>
          <w:rFonts w:hint="cs"/>
          <w:rtl/>
        </w:rPr>
        <w:t>למי</w:t>
      </w:r>
      <w:r w:rsidRPr="00AF5C19">
        <w:rPr>
          <w:rtl/>
        </w:rPr>
        <w:t xml:space="preserve"> </w:t>
      </w:r>
      <w:r w:rsidRPr="00AF5C19">
        <w:rPr>
          <w:rFonts w:hint="cs"/>
          <w:rtl/>
        </w:rPr>
        <w:t>שעלול</w:t>
      </w:r>
      <w:r w:rsidRPr="00AF5C19">
        <w:rPr>
          <w:rtl/>
        </w:rPr>
        <w:t xml:space="preserve"> </w:t>
      </w:r>
      <w:r w:rsidRPr="00AF5C19">
        <w:rPr>
          <w:rFonts w:hint="cs"/>
          <w:rtl/>
        </w:rPr>
        <w:t>להיפגע</w:t>
      </w:r>
      <w:r w:rsidRPr="00AF5C19">
        <w:rPr>
          <w:rtl/>
        </w:rPr>
        <w:t xml:space="preserve"> </w:t>
      </w:r>
      <w:r w:rsidRPr="00AF5C19">
        <w:rPr>
          <w:rFonts w:hint="cs"/>
          <w:rtl/>
        </w:rPr>
        <w:t>מחשיפת</w:t>
      </w:r>
      <w:r w:rsidRPr="00AF5C19">
        <w:rPr>
          <w:rtl/>
        </w:rPr>
        <w:t xml:space="preserve"> </w:t>
      </w:r>
      <w:r w:rsidRPr="00AF5C19">
        <w:rPr>
          <w:rFonts w:hint="cs"/>
          <w:rtl/>
        </w:rPr>
        <w:t>המידע</w:t>
      </w:r>
      <w:r w:rsidRPr="00AF5C19">
        <w:rPr>
          <w:rtl/>
        </w:rPr>
        <w:t xml:space="preserve"> </w:t>
      </w:r>
      <w:r w:rsidRPr="00AF5C19">
        <w:rPr>
          <w:rFonts w:hint="cs"/>
          <w:rtl/>
        </w:rPr>
        <w:t>המבוקש</w:t>
      </w:r>
      <w:r>
        <w:rPr>
          <w:rFonts w:hint="cs"/>
          <w:rtl/>
        </w:rPr>
        <w:t xml:space="preserve">" (בש"פ 7233/18 </w:t>
      </w:r>
      <w:r>
        <w:rPr>
          <w:rFonts w:hint="cs"/>
          <w:b/>
          <w:bCs/>
          <w:rtl/>
        </w:rPr>
        <w:t xml:space="preserve">בכיראת </w:t>
      </w:r>
      <w:r w:rsidR="00683509">
        <w:rPr>
          <w:rFonts w:hint="cs"/>
          <w:rtl/>
        </w:rPr>
        <w:t xml:space="preserve">הנ"ל, </w:t>
      </w:r>
      <w:r>
        <w:rPr>
          <w:rFonts w:hint="cs"/>
          <w:rtl/>
        </w:rPr>
        <w:t>פסקה 4</w:t>
      </w:r>
      <w:r w:rsidR="00ED419A">
        <w:rPr>
          <w:rFonts w:hint="cs"/>
          <w:rtl/>
        </w:rPr>
        <w:t xml:space="preserve">; </w:t>
      </w:r>
      <w:r w:rsidR="00ED419A" w:rsidRPr="00AF5C19">
        <w:rPr>
          <w:rFonts w:hint="cs"/>
          <w:rtl/>
        </w:rPr>
        <w:t>בש</w:t>
      </w:r>
      <w:r w:rsidR="00ED419A" w:rsidRPr="00AF5C19">
        <w:rPr>
          <w:rtl/>
        </w:rPr>
        <w:t>"</w:t>
      </w:r>
      <w:r w:rsidR="00ED419A" w:rsidRPr="00AF5C19">
        <w:rPr>
          <w:rFonts w:hint="cs"/>
          <w:rtl/>
        </w:rPr>
        <w:t>פ</w:t>
      </w:r>
      <w:r w:rsidR="00ED419A" w:rsidRPr="00AF5C19">
        <w:rPr>
          <w:rtl/>
        </w:rPr>
        <w:t xml:space="preserve"> 4194/18 </w:t>
      </w:r>
      <w:r w:rsidR="00ED419A" w:rsidRPr="00236B1E">
        <w:rPr>
          <w:rFonts w:hint="cs"/>
          <w:b/>
          <w:bCs/>
          <w:rtl/>
        </w:rPr>
        <w:t>פלוני</w:t>
      </w:r>
      <w:r w:rsidR="00ED419A" w:rsidRPr="00236B1E">
        <w:rPr>
          <w:b/>
          <w:bCs/>
          <w:rtl/>
        </w:rPr>
        <w:t xml:space="preserve"> </w:t>
      </w:r>
      <w:r w:rsidR="00ED419A" w:rsidRPr="00236B1E">
        <w:rPr>
          <w:rFonts w:hint="cs"/>
          <w:b/>
          <w:bCs/>
          <w:rtl/>
        </w:rPr>
        <w:t>נ</w:t>
      </w:r>
      <w:r w:rsidR="00ED419A" w:rsidRPr="00236B1E">
        <w:rPr>
          <w:b/>
          <w:bCs/>
          <w:rtl/>
        </w:rPr>
        <w:t xml:space="preserve">' </w:t>
      </w:r>
      <w:r w:rsidR="00ED419A" w:rsidRPr="00236B1E">
        <w:rPr>
          <w:rFonts w:hint="cs"/>
          <w:b/>
          <w:bCs/>
          <w:rtl/>
        </w:rPr>
        <w:t>מדינת</w:t>
      </w:r>
      <w:r w:rsidR="00ED419A" w:rsidRPr="00236B1E">
        <w:rPr>
          <w:b/>
          <w:bCs/>
          <w:rtl/>
        </w:rPr>
        <w:t xml:space="preserve"> </w:t>
      </w:r>
      <w:r w:rsidR="00ED419A" w:rsidRPr="00236B1E">
        <w:rPr>
          <w:rFonts w:hint="cs"/>
          <w:b/>
          <w:bCs/>
          <w:rtl/>
        </w:rPr>
        <w:t>ישראל</w:t>
      </w:r>
      <w:r w:rsidR="00ED419A" w:rsidRPr="00AF5C19">
        <w:rPr>
          <w:rtl/>
        </w:rPr>
        <w:t xml:space="preserve">, </w:t>
      </w:r>
      <w:r w:rsidR="00ED419A" w:rsidRPr="00AF5C19">
        <w:rPr>
          <w:rFonts w:hint="cs"/>
          <w:rtl/>
        </w:rPr>
        <w:t>פסקה</w:t>
      </w:r>
      <w:r w:rsidR="00ED419A">
        <w:rPr>
          <w:rFonts w:hint="cs"/>
          <w:rtl/>
        </w:rPr>
        <w:t xml:space="preserve"> 15 </w:t>
      </w:r>
      <w:r w:rsidR="00ED419A" w:rsidRPr="00AF5C19">
        <w:rPr>
          <w:rtl/>
        </w:rPr>
        <w:t>(26.6.2018)</w:t>
      </w:r>
      <w:r w:rsidR="00EA6023">
        <w:rPr>
          <w:rFonts w:hint="cs"/>
          <w:rtl/>
        </w:rPr>
        <w:t xml:space="preserve">. ראו גם עלב"ש 13/23 </w:t>
      </w:r>
      <w:r w:rsidR="00EA6023">
        <w:rPr>
          <w:rFonts w:hint="cs"/>
          <w:b/>
          <w:bCs/>
          <w:rtl/>
        </w:rPr>
        <w:t>סמ"ר לזר נ' התובע הצבאי הראשי</w:t>
      </w:r>
      <w:r w:rsidR="00EA6023" w:rsidRPr="00EA6023">
        <w:rPr>
          <w:rFonts w:hint="cs"/>
          <w:rtl/>
        </w:rPr>
        <w:t xml:space="preserve">, </w:t>
      </w:r>
      <w:r w:rsidR="00EA6023">
        <w:rPr>
          <w:rFonts w:hint="cs"/>
          <w:rtl/>
        </w:rPr>
        <w:t>פסקאות 20, 44 (2023)</w:t>
      </w:r>
      <w:r>
        <w:rPr>
          <w:rFonts w:hint="cs"/>
          <w:rtl/>
        </w:rPr>
        <w:t xml:space="preserve">). </w:t>
      </w:r>
      <w:r w:rsidR="00301C51">
        <w:rPr>
          <w:rFonts w:hint="cs"/>
          <w:rtl/>
        </w:rPr>
        <w:t xml:space="preserve">בענייננו, </w:t>
      </w:r>
      <w:r>
        <w:rPr>
          <w:rFonts w:hint="cs"/>
          <w:rtl/>
        </w:rPr>
        <w:t>אף שעמדתה של הנפגעת, המתנגדת להעברת החומרים, הוצגה בבית הדין קמא - הרי שתגובתם של הנילונים</w:t>
      </w:r>
      <w:r w:rsidR="004C631C">
        <w:rPr>
          <w:rFonts w:hint="cs"/>
          <w:rtl/>
        </w:rPr>
        <w:t>, סמ"ר סנד וסמ"ר אוראל,</w:t>
      </w:r>
      <w:r>
        <w:rPr>
          <w:rFonts w:hint="cs"/>
          <w:rtl/>
        </w:rPr>
        <w:t xml:space="preserve"> כלל לא התבקשה. </w:t>
      </w:r>
      <w:r w:rsidR="00810066">
        <w:rPr>
          <w:rFonts w:hint="cs"/>
          <w:rtl/>
        </w:rPr>
        <w:t xml:space="preserve">אמנם, </w:t>
      </w:r>
      <w:r>
        <w:rPr>
          <w:rFonts w:hint="cs"/>
          <w:rtl/>
        </w:rPr>
        <w:t xml:space="preserve">התביעה העבירה </w:t>
      </w:r>
      <w:r w:rsidR="00810066">
        <w:rPr>
          <w:rFonts w:hint="cs"/>
          <w:rtl/>
        </w:rPr>
        <w:t xml:space="preserve">להגנה </w:t>
      </w:r>
      <w:r>
        <w:rPr>
          <w:rFonts w:hint="cs"/>
          <w:rtl/>
        </w:rPr>
        <w:t xml:space="preserve">את הודעותיה של הנפגעת, המפרטות את תלונותיה ביחס לאותם נילונים. ברם, </w:t>
      </w:r>
      <w:r w:rsidR="00E01D49">
        <w:rPr>
          <w:rFonts w:hint="cs"/>
          <w:rtl/>
        </w:rPr>
        <w:t>אמרותיהם</w:t>
      </w:r>
      <w:r>
        <w:rPr>
          <w:rFonts w:hint="cs"/>
          <w:rtl/>
        </w:rPr>
        <w:t xml:space="preserve"> </w:t>
      </w:r>
      <w:r w:rsidR="00810066">
        <w:rPr>
          <w:rFonts w:hint="cs"/>
          <w:rtl/>
        </w:rPr>
        <w:t xml:space="preserve">של הללו </w:t>
      </w:r>
      <w:r>
        <w:rPr>
          <w:rFonts w:hint="cs"/>
          <w:rtl/>
        </w:rPr>
        <w:t>והחומרים הנוספים שעל העברתם הורה בית הדין קמא עוסקים "</w:t>
      </w:r>
      <w:r w:rsidRPr="00810066">
        <w:rPr>
          <w:rFonts w:hint="cs"/>
          <w:b/>
          <w:bCs/>
          <w:rtl/>
        </w:rPr>
        <w:t xml:space="preserve">בליבת </w:t>
      </w:r>
      <w:r w:rsidRPr="00810066">
        <w:rPr>
          <w:rFonts w:hint="cs"/>
          <w:b/>
          <w:bCs/>
          <w:rtl/>
        </w:rPr>
        <w:lastRenderedPageBreak/>
        <w:t>הזכות לפרטיות</w:t>
      </w:r>
      <w:r>
        <w:rPr>
          <w:rFonts w:hint="cs"/>
          <w:rtl/>
        </w:rPr>
        <w:t xml:space="preserve"> של אותם צדדים שלישיים, אשר חשיפת[ם] תגרור פגיעה ניכרת בה" (</w:t>
      </w:r>
      <w:r w:rsidR="00C56ADD">
        <w:rPr>
          <w:rFonts w:hint="cs"/>
          <w:rtl/>
        </w:rPr>
        <w:t xml:space="preserve">בש"פ 7233/18 </w:t>
      </w:r>
      <w:r w:rsidR="00C56ADD" w:rsidRPr="00DC3DD5">
        <w:rPr>
          <w:rFonts w:hint="cs"/>
          <w:b/>
          <w:bCs/>
          <w:rtl/>
        </w:rPr>
        <w:t xml:space="preserve">בכיראת </w:t>
      </w:r>
      <w:r w:rsidR="00C56ADD">
        <w:rPr>
          <w:rFonts w:hint="cs"/>
          <w:rtl/>
        </w:rPr>
        <w:t>הנ"ל, פסקה 6</w:t>
      </w:r>
      <w:r w:rsidR="00810066">
        <w:rPr>
          <w:rFonts w:hint="cs"/>
          <w:rtl/>
        </w:rPr>
        <w:t>. ההדגשה הוספה</w:t>
      </w:r>
      <w:r w:rsidR="00F46764">
        <w:rPr>
          <w:rFonts w:hint="cs"/>
          <w:rtl/>
        </w:rPr>
        <w:t>)</w:t>
      </w:r>
      <w:r w:rsidR="00C56ADD">
        <w:rPr>
          <w:rFonts w:hint="cs"/>
          <w:rtl/>
        </w:rPr>
        <w:t>.</w:t>
      </w:r>
      <w:r w:rsidR="00F46764">
        <w:rPr>
          <w:rFonts w:hint="cs"/>
          <w:rtl/>
        </w:rPr>
        <w:t xml:space="preserve"> </w:t>
      </w:r>
    </w:p>
    <w:p w14:paraId="659CD25F" w14:textId="77777777" w:rsidR="00D32C8C" w:rsidRPr="009B2536" w:rsidRDefault="00D32C8C" w:rsidP="00560DF0">
      <w:pPr>
        <w:pStyle w:val="2"/>
        <w:numPr>
          <w:ilvl w:val="0"/>
          <w:numId w:val="0"/>
        </w:numPr>
        <w:ind w:left="-7"/>
        <w:rPr>
          <w:sz w:val="12"/>
          <w:szCs w:val="12"/>
          <w:rtl/>
        </w:rPr>
      </w:pPr>
    </w:p>
    <w:p w14:paraId="4C3F794D" w14:textId="77777777" w:rsidR="00D32C8C" w:rsidRPr="00D32C8C" w:rsidRDefault="00D32C8C" w:rsidP="00560DF0">
      <w:pPr>
        <w:pStyle w:val="2"/>
        <w:numPr>
          <w:ilvl w:val="0"/>
          <w:numId w:val="0"/>
        </w:numPr>
        <w:ind w:left="-7"/>
        <w:rPr>
          <w:b/>
          <w:bCs/>
        </w:rPr>
      </w:pPr>
      <w:r>
        <w:rPr>
          <w:rFonts w:hint="cs"/>
          <w:b/>
          <w:bCs/>
          <w:rtl/>
        </w:rPr>
        <w:t>מן הכלל אל הפרט</w:t>
      </w:r>
    </w:p>
    <w:p w14:paraId="3A1D634D" w14:textId="77777777" w:rsidR="00416A21" w:rsidRDefault="008E7FCC" w:rsidP="00560DF0">
      <w:pPr>
        <w:pStyle w:val="2"/>
        <w:ind w:left="-7" w:firstLine="0"/>
      </w:pPr>
      <w:r>
        <w:rPr>
          <w:rFonts w:hint="cs"/>
          <w:rtl/>
        </w:rPr>
        <w:t>עיינתי בחומרים שעל העברתם הורה בית הדין קמא</w:t>
      </w:r>
      <w:r w:rsidR="00ED419A">
        <w:rPr>
          <w:rFonts w:hint="cs"/>
          <w:rtl/>
        </w:rPr>
        <w:t>. אל מול הפגיעה המובהקת בפרטיותם של הנפגעת ושל הנילונים</w:t>
      </w:r>
      <w:r w:rsidR="00E228E0">
        <w:rPr>
          <w:rFonts w:hint="cs"/>
          <w:rtl/>
        </w:rPr>
        <w:t>;</w:t>
      </w:r>
      <w:r>
        <w:rPr>
          <w:rFonts w:hint="cs"/>
          <w:rtl/>
        </w:rPr>
        <w:t xml:space="preserve"> </w:t>
      </w:r>
      <w:r w:rsidR="00CE6611">
        <w:rPr>
          <w:rFonts w:hint="cs"/>
          <w:rtl/>
        </w:rPr>
        <w:t>הסוגיות הראייתיות העולות לגבי שימוש עתידי בחומר (כלל סופיות התשובות בעניינים צדדיים, והאיסור</w:t>
      </w:r>
      <w:r w:rsidR="00E228E0">
        <w:rPr>
          <w:rFonts w:hint="cs"/>
          <w:rtl/>
        </w:rPr>
        <w:t xml:space="preserve"> על חקירת הנפגעת על עברה המיני);</w:t>
      </w:r>
      <w:r w:rsidR="00CE6611">
        <w:rPr>
          <w:rFonts w:hint="cs"/>
          <w:rtl/>
        </w:rPr>
        <w:t xml:space="preserve"> </w:t>
      </w:r>
      <w:r w:rsidR="00782551">
        <w:rPr>
          <w:rFonts w:hint="cs"/>
          <w:rtl/>
        </w:rPr>
        <w:t xml:space="preserve">והחשש המוצדק שהעלתה התביעה מפני "אפקט מצנן" על נפגעי עבירה, כנזכר בבש"פ 7233/18 </w:t>
      </w:r>
      <w:r w:rsidR="00782551">
        <w:rPr>
          <w:rFonts w:hint="cs"/>
          <w:b/>
          <w:bCs/>
          <w:rtl/>
        </w:rPr>
        <w:t xml:space="preserve">בכיראת </w:t>
      </w:r>
      <w:r w:rsidR="00782551">
        <w:rPr>
          <w:rFonts w:hint="cs"/>
          <w:rtl/>
        </w:rPr>
        <w:t xml:space="preserve">הנ"ל - </w:t>
      </w:r>
      <w:r>
        <w:rPr>
          <w:rFonts w:hint="cs"/>
          <w:rtl/>
        </w:rPr>
        <w:t xml:space="preserve">לא מצאתי כי </w:t>
      </w:r>
      <w:r w:rsidR="00E366FB">
        <w:rPr>
          <w:rFonts w:hint="cs"/>
          <w:rtl/>
        </w:rPr>
        <w:t>יש ב</w:t>
      </w:r>
      <w:r w:rsidR="00ED419A">
        <w:rPr>
          <w:rFonts w:hint="cs"/>
          <w:rtl/>
        </w:rPr>
        <w:t xml:space="preserve">חומרים </w:t>
      </w:r>
      <w:r w:rsidR="00E366FB">
        <w:rPr>
          <w:rFonts w:hint="cs"/>
          <w:rtl/>
        </w:rPr>
        <w:t xml:space="preserve">המדוברים </w:t>
      </w:r>
      <w:r>
        <w:rPr>
          <w:rFonts w:hint="cs"/>
          <w:rtl/>
        </w:rPr>
        <w:t>"</w:t>
      </w:r>
      <w:r w:rsidRPr="008E7FCC">
        <w:rPr>
          <w:rFonts w:hint="cs"/>
          <w:b/>
          <w:bCs/>
          <w:rtl/>
        </w:rPr>
        <w:t>רלוונטיות ממשית</w:t>
      </w:r>
      <w:r>
        <w:rPr>
          <w:rFonts w:hint="cs"/>
          <w:rtl/>
        </w:rPr>
        <w:t xml:space="preserve"> לבירור האישום" (</w:t>
      </w:r>
      <w:r w:rsidR="0057673B">
        <w:rPr>
          <w:rFonts w:hint="cs"/>
          <w:rtl/>
        </w:rPr>
        <w:t xml:space="preserve">בש"פ 3099/08 </w:t>
      </w:r>
      <w:r w:rsidR="0057673B">
        <w:rPr>
          <w:rFonts w:hint="cs"/>
          <w:b/>
          <w:bCs/>
          <w:rtl/>
        </w:rPr>
        <w:t>אברהמי</w:t>
      </w:r>
      <w:r w:rsidR="0057673B">
        <w:rPr>
          <w:rFonts w:hint="cs"/>
          <w:rtl/>
        </w:rPr>
        <w:t xml:space="preserve"> הנ"ל, </w:t>
      </w:r>
      <w:r w:rsidR="00E228E0">
        <w:rPr>
          <w:rFonts w:hint="cs"/>
          <w:rtl/>
        </w:rPr>
        <w:t>פסקה 12. ההדגשה הוספה</w:t>
      </w:r>
      <w:r w:rsidR="0057673B">
        <w:rPr>
          <w:rFonts w:hint="cs"/>
          <w:rtl/>
        </w:rPr>
        <w:t>).</w:t>
      </w:r>
      <w:r w:rsidR="00814C4A">
        <w:rPr>
          <w:rFonts w:hint="cs"/>
          <w:rtl/>
        </w:rPr>
        <w:t xml:space="preserve"> </w:t>
      </w:r>
      <w:r w:rsidR="005613D7">
        <w:rPr>
          <w:rFonts w:hint="cs"/>
          <w:rtl/>
        </w:rPr>
        <w:t>המדובר באירועים נפרדים לחלוטין, בזמן ובמקום. מלבד הנפגעת, העדים באותם תיקים שונים מאלה שנחקרו בעניינו של המשיב</w:t>
      </w:r>
      <w:r w:rsidR="000907E6">
        <w:rPr>
          <w:rFonts w:hint="cs"/>
          <w:rtl/>
        </w:rPr>
        <w:t xml:space="preserve"> (השוו, לעומת זאת, לבש"פ 2948/19 </w:t>
      </w:r>
      <w:r w:rsidR="000907E6">
        <w:rPr>
          <w:rFonts w:hint="cs"/>
          <w:b/>
          <w:bCs/>
          <w:rtl/>
        </w:rPr>
        <w:t xml:space="preserve">טייב </w:t>
      </w:r>
      <w:r w:rsidR="000907E6">
        <w:rPr>
          <w:rFonts w:hint="cs"/>
          <w:rtl/>
        </w:rPr>
        <w:t>הנ"ל</w:t>
      </w:r>
      <w:r w:rsidR="007F6F53">
        <w:rPr>
          <w:rFonts w:hint="cs"/>
          <w:rtl/>
        </w:rPr>
        <w:t>)</w:t>
      </w:r>
      <w:r w:rsidR="005613D7">
        <w:rPr>
          <w:rFonts w:hint="cs"/>
          <w:rtl/>
        </w:rPr>
        <w:t>. הנפגעת עצמה איננה קושרת, בהודעותיה, בין התלונות</w:t>
      </w:r>
      <w:r w:rsidR="00C149C7">
        <w:rPr>
          <w:rFonts w:hint="cs"/>
          <w:rtl/>
        </w:rPr>
        <w:t>. זאת</w:t>
      </w:r>
      <w:r w:rsidR="005613D7">
        <w:rPr>
          <w:rFonts w:hint="cs"/>
          <w:rtl/>
        </w:rPr>
        <w:t xml:space="preserve"> לעומת עלב"ש 20/21 </w:t>
      </w:r>
      <w:r w:rsidR="005613D7">
        <w:rPr>
          <w:rFonts w:hint="cs"/>
          <w:b/>
          <w:bCs/>
          <w:rtl/>
        </w:rPr>
        <w:t xml:space="preserve">רס"ל בן עמי </w:t>
      </w:r>
      <w:r w:rsidR="005613D7">
        <w:rPr>
          <w:rFonts w:hint="cs"/>
          <w:rtl/>
        </w:rPr>
        <w:t xml:space="preserve">הנ"ל, לעניין קווי דמיון שציינה </w:t>
      </w:r>
      <w:r w:rsidR="00416A21">
        <w:rPr>
          <w:rFonts w:hint="cs"/>
          <w:rtl/>
        </w:rPr>
        <w:t xml:space="preserve">שם הנפגעת </w:t>
      </w:r>
      <w:r w:rsidR="005613D7">
        <w:rPr>
          <w:rFonts w:hint="cs"/>
          <w:rtl/>
        </w:rPr>
        <w:t xml:space="preserve">בין האירועים; ולעומת עלב"ש 77/16 </w:t>
      </w:r>
      <w:r w:rsidR="005613D7">
        <w:rPr>
          <w:rFonts w:hint="cs"/>
          <w:b/>
          <w:bCs/>
          <w:rtl/>
        </w:rPr>
        <w:t>סמל אסעד נ' התובע הצבאי הראשי</w:t>
      </w:r>
      <w:r w:rsidR="00996B95">
        <w:rPr>
          <w:rFonts w:hint="cs"/>
          <w:b/>
          <w:bCs/>
          <w:rtl/>
        </w:rPr>
        <w:t xml:space="preserve"> </w:t>
      </w:r>
      <w:r w:rsidR="00996B95">
        <w:rPr>
          <w:rFonts w:hint="cs"/>
          <w:rtl/>
        </w:rPr>
        <w:t>(2016), שם כרכה הנפגעת בין התלונות</w:t>
      </w:r>
      <w:r w:rsidR="00980991">
        <w:rPr>
          <w:rFonts w:hint="cs"/>
          <w:rtl/>
        </w:rPr>
        <w:t>,</w:t>
      </w:r>
      <w:r w:rsidR="00996B95">
        <w:rPr>
          <w:rFonts w:hint="cs"/>
          <w:rtl/>
        </w:rPr>
        <w:t xml:space="preserve"> מבחינת רגשות האשמה שחשה </w:t>
      </w:r>
      <w:r w:rsidR="00980991">
        <w:rPr>
          <w:rFonts w:hint="cs"/>
          <w:rtl/>
        </w:rPr>
        <w:t xml:space="preserve">לדבריה </w:t>
      </w:r>
      <w:r w:rsidR="00996B95">
        <w:rPr>
          <w:rFonts w:hint="cs"/>
          <w:rtl/>
        </w:rPr>
        <w:t>ביחס לכל האירועים</w:t>
      </w:r>
      <w:r w:rsidR="00416A21">
        <w:rPr>
          <w:rFonts w:hint="cs"/>
          <w:rtl/>
        </w:rPr>
        <w:t xml:space="preserve">. </w:t>
      </w:r>
      <w:r w:rsidR="00C149C7">
        <w:rPr>
          <w:rFonts w:hint="cs"/>
          <w:rtl/>
        </w:rPr>
        <w:t>ו</w:t>
      </w:r>
      <w:r w:rsidR="00416A21">
        <w:rPr>
          <w:rFonts w:hint="cs"/>
          <w:rtl/>
        </w:rPr>
        <w:t>לא למותר לציין, כי חרף הקשר המסוים בין התלונות ב</w:t>
      </w:r>
      <w:r w:rsidR="00804763">
        <w:rPr>
          <w:rFonts w:hint="cs"/>
          <w:rtl/>
        </w:rPr>
        <w:t xml:space="preserve">אותם </w:t>
      </w:r>
      <w:r w:rsidR="00416A21">
        <w:rPr>
          <w:rFonts w:hint="cs"/>
          <w:rtl/>
        </w:rPr>
        <w:t>שני מקרים, הועברו לעיון ההגנה פרפראזות בלבד מחומרי החקירה</w:t>
      </w:r>
      <w:r w:rsidR="007F6F53">
        <w:rPr>
          <w:rFonts w:hint="cs"/>
          <w:rtl/>
        </w:rPr>
        <w:t xml:space="preserve"> (בבש"פ </w:t>
      </w:r>
      <w:r w:rsidR="007F6F53" w:rsidRPr="003E4DE6">
        <w:rPr>
          <w:rtl/>
        </w:rPr>
        <w:t xml:space="preserve">5335/16 </w:t>
      </w:r>
      <w:r w:rsidR="007F6F53" w:rsidRPr="003E4DE6">
        <w:rPr>
          <w:b/>
          <w:bCs/>
          <w:rtl/>
        </w:rPr>
        <w:t>מדינת ישראל נ' מלק</w:t>
      </w:r>
      <w:r w:rsidR="007F6F53" w:rsidRPr="003E4DE6">
        <w:rPr>
          <w:rFonts w:hint="cs"/>
          <w:rtl/>
        </w:rPr>
        <w:t xml:space="preserve"> </w:t>
      </w:r>
      <w:r w:rsidR="002E0FC9" w:rsidRPr="003E4DE6">
        <w:rPr>
          <w:rFonts w:hint="cs"/>
          <w:rtl/>
        </w:rPr>
        <w:t>(19.7.2016)</w:t>
      </w:r>
      <w:r w:rsidR="002E0FC9">
        <w:rPr>
          <w:rFonts w:hint="cs"/>
          <w:rtl/>
        </w:rPr>
        <w:t xml:space="preserve">, אף התקבל ערעור המדינה על </w:t>
      </w:r>
      <w:r w:rsidR="00F74CB4">
        <w:rPr>
          <w:rFonts w:hint="cs"/>
          <w:rtl/>
        </w:rPr>
        <w:t xml:space="preserve">עצם </w:t>
      </w:r>
      <w:r w:rsidR="002E0FC9">
        <w:rPr>
          <w:rFonts w:hint="cs"/>
          <w:rtl/>
        </w:rPr>
        <w:t>העברת</w:t>
      </w:r>
      <w:r w:rsidR="00F74CB4">
        <w:rPr>
          <w:rFonts w:hint="cs"/>
          <w:rtl/>
        </w:rPr>
        <w:t>ה</w:t>
      </w:r>
      <w:r w:rsidR="002E0FC9">
        <w:rPr>
          <w:rFonts w:hint="cs"/>
          <w:rtl/>
        </w:rPr>
        <w:t xml:space="preserve"> </w:t>
      </w:r>
      <w:r w:rsidR="00F74CB4">
        <w:rPr>
          <w:rFonts w:hint="cs"/>
          <w:rtl/>
        </w:rPr>
        <w:t xml:space="preserve">של </w:t>
      </w:r>
      <w:r w:rsidR="002E0FC9">
        <w:rPr>
          <w:rFonts w:hint="cs"/>
          <w:rtl/>
        </w:rPr>
        <w:t>פרפראזה</w:t>
      </w:r>
      <w:r w:rsidR="00F74CB4">
        <w:rPr>
          <w:rFonts w:hint="cs"/>
          <w:rtl/>
        </w:rPr>
        <w:t xml:space="preserve"> (ללא חומר נוסף)</w:t>
      </w:r>
      <w:r w:rsidR="00B26610">
        <w:rPr>
          <w:rFonts w:hint="cs"/>
          <w:rtl/>
        </w:rPr>
        <w:t>, בשל היעדרו של קשר כלשהו בין הפרשות</w:t>
      </w:r>
      <w:r w:rsidR="002E0FC9">
        <w:rPr>
          <w:rFonts w:hint="cs"/>
          <w:rtl/>
        </w:rPr>
        <w:t xml:space="preserve">). </w:t>
      </w:r>
    </w:p>
    <w:p w14:paraId="14776322" w14:textId="77777777" w:rsidR="00B24452" w:rsidRDefault="00814C4A" w:rsidP="00560DF0">
      <w:pPr>
        <w:pStyle w:val="2"/>
        <w:ind w:left="-7" w:firstLine="0"/>
      </w:pPr>
      <w:r>
        <w:rPr>
          <w:rFonts w:hint="cs"/>
          <w:rtl/>
        </w:rPr>
        <w:t>קווי ההגנה האפשריים שהעלה בית הדין הנכבד (מבלי שפורטו עדיין בגדר כפירה מסודר מטעם ההגנה)</w:t>
      </w:r>
      <w:r w:rsidR="00416A21">
        <w:rPr>
          <w:rFonts w:hint="cs"/>
          <w:rtl/>
        </w:rPr>
        <w:t>, כמצדיקים את העברת החומרים מן התיקים האחרים,</w:t>
      </w:r>
      <w:r>
        <w:rPr>
          <w:rFonts w:hint="cs"/>
          <w:rtl/>
        </w:rPr>
        <w:t xml:space="preserve"> לוו בהסתייגויות הנדרשות </w:t>
      </w:r>
      <w:r w:rsidR="00B24452">
        <w:rPr>
          <w:rFonts w:hint="cs"/>
          <w:rtl/>
        </w:rPr>
        <w:t>לגבי הסתברות התממשותם. אלא</w:t>
      </w:r>
      <w:r w:rsidR="00416A21">
        <w:rPr>
          <w:rFonts w:hint="cs"/>
          <w:rtl/>
        </w:rPr>
        <w:t>,</w:t>
      </w:r>
      <w:r w:rsidR="00B24452">
        <w:rPr>
          <w:rFonts w:hint="cs"/>
          <w:rtl/>
        </w:rPr>
        <w:t xml:space="preserve"> שכפי שנפסק, </w:t>
      </w:r>
    </w:p>
    <w:p w14:paraId="4322C0E1" w14:textId="77777777" w:rsidR="00416A21" w:rsidRPr="00D1763A" w:rsidRDefault="00416A21" w:rsidP="00560DF0">
      <w:pPr>
        <w:pStyle w:val="2"/>
        <w:numPr>
          <w:ilvl w:val="0"/>
          <w:numId w:val="0"/>
        </w:numPr>
        <w:ind w:left="-7"/>
        <w:rPr>
          <w:sz w:val="4"/>
          <w:szCs w:val="4"/>
        </w:rPr>
      </w:pPr>
    </w:p>
    <w:p w14:paraId="274E540D" w14:textId="77777777" w:rsidR="00B24452" w:rsidRDefault="00B24452" w:rsidP="00560DF0">
      <w:pPr>
        <w:pStyle w:val="2"/>
        <w:numPr>
          <w:ilvl w:val="0"/>
          <w:numId w:val="0"/>
        </w:numPr>
        <w:tabs>
          <w:tab w:val="left" w:pos="7080"/>
        </w:tabs>
        <w:spacing w:line="240" w:lineRule="auto"/>
        <w:ind w:left="560" w:right="993"/>
        <w:rPr>
          <w:rtl/>
        </w:rPr>
      </w:pPr>
      <w:r>
        <w:rPr>
          <w:rFonts w:hint="cs"/>
          <w:rtl/>
        </w:rPr>
        <w:t>"</w:t>
      </w:r>
      <w:r w:rsidRPr="00B24452">
        <w:rPr>
          <w:rFonts w:hint="cs"/>
          <w:rtl/>
        </w:rPr>
        <w:t xml:space="preserve">האפשרות </w:t>
      </w:r>
      <w:r w:rsidRPr="00996B95">
        <w:rPr>
          <w:rFonts w:hint="cs"/>
          <w:b/>
          <w:bCs/>
          <w:rtl/>
        </w:rPr>
        <w:t>התיאורטית</w:t>
      </w:r>
      <w:r w:rsidRPr="00B24452">
        <w:rPr>
          <w:rFonts w:hint="cs"/>
          <w:rtl/>
        </w:rPr>
        <w:t xml:space="preserve"> למצוא בתיק החקירה האחר סיוע להגנת המשיב ללא כל אינדיקציה </w:t>
      </w:r>
      <w:r w:rsidRPr="00996B95">
        <w:rPr>
          <w:rFonts w:hint="cs"/>
          <w:b/>
          <w:bCs/>
          <w:rtl/>
        </w:rPr>
        <w:t>קונקרטית</w:t>
      </w:r>
      <w:r w:rsidRPr="00B24452">
        <w:rPr>
          <w:rFonts w:hint="cs"/>
          <w:rtl/>
        </w:rPr>
        <w:t xml:space="preserve">, אין די בה כדי להצדיק לראות בתיק האחר </w:t>
      </w:r>
      <w:r w:rsidR="007635D9">
        <w:rPr>
          <w:rFonts w:hint="cs"/>
          <w:rtl/>
        </w:rPr>
        <w:t>'</w:t>
      </w:r>
      <w:r w:rsidRPr="00B24452">
        <w:rPr>
          <w:rFonts w:hint="cs"/>
          <w:rtl/>
        </w:rPr>
        <w:t>חומר חקירה</w:t>
      </w:r>
      <w:r w:rsidR="007635D9">
        <w:rPr>
          <w:rFonts w:hint="cs"/>
          <w:rtl/>
        </w:rPr>
        <w:t>'</w:t>
      </w:r>
      <w:r w:rsidRPr="00B24452">
        <w:rPr>
          <w:rFonts w:hint="cs"/>
          <w:rtl/>
        </w:rPr>
        <w:t xml:space="preserve">. תקווה ספקולטיבית של המשיב כי יימצא בתיק מידע העשוי לסייע בהגנתו, אינה מצדיקה שיבוש חקירה תלויה ועומדת ופגיעה בזכויות עדים, כמו גם עיכוב משפטו של המשיב עצמו. אין מנוס מהמסקנה כי מדובר בענייננו במה שכונה על ידי בית המשפט בענין </w:t>
      </w:r>
      <w:r w:rsidRPr="00B24452">
        <w:rPr>
          <w:rFonts w:hint="cs"/>
          <w:b/>
          <w:bCs/>
          <w:rtl/>
        </w:rPr>
        <w:t>אל הוזייל</w:t>
      </w:r>
      <w:r w:rsidRPr="00B24452">
        <w:rPr>
          <w:rFonts w:hint="cs"/>
          <w:rtl/>
        </w:rPr>
        <w:t xml:space="preserve"> </w:t>
      </w:r>
      <w:r>
        <w:rPr>
          <w:rFonts w:hint="cs"/>
          <w:rtl/>
        </w:rPr>
        <w:t>'</w:t>
      </w:r>
      <w:r w:rsidRPr="00B24452">
        <w:rPr>
          <w:rFonts w:hint="cs"/>
          <w:rtl/>
        </w:rPr>
        <w:t>מסע דיג</w:t>
      </w:r>
      <w:r>
        <w:rPr>
          <w:rFonts w:hint="cs"/>
          <w:rtl/>
        </w:rPr>
        <w:t>'</w:t>
      </w:r>
      <w:r w:rsidRPr="00B24452">
        <w:rPr>
          <w:rFonts w:hint="cs"/>
          <w:rtl/>
        </w:rPr>
        <w:t xml:space="preserve"> </w:t>
      </w:r>
      <w:r w:rsidRPr="00B24452">
        <w:rPr>
          <w:rtl/>
        </w:rPr>
        <w:t>(</w:t>
      </w:r>
      <w:r w:rsidRPr="00B24452">
        <w:t>fishing expedition</w:t>
      </w:r>
      <w:r w:rsidRPr="00B24452">
        <w:rPr>
          <w:rtl/>
        </w:rPr>
        <w:t>),</w:t>
      </w:r>
      <w:r w:rsidRPr="00B24452">
        <w:rPr>
          <w:rFonts w:hint="cs"/>
          <w:rtl/>
        </w:rPr>
        <w:t xml:space="preserve"> שאינו בגדר הזכות לקבלת חומר חקירה</w:t>
      </w:r>
      <w:r>
        <w:rPr>
          <w:rFonts w:hint="cs"/>
          <w:rtl/>
        </w:rPr>
        <w:t>".</w:t>
      </w:r>
    </w:p>
    <w:p w14:paraId="02FB482C" w14:textId="77777777" w:rsidR="008E7FCC" w:rsidRPr="003E4DE6" w:rsidRDefault="00B24452" w:rsidP="00560DF0">
      <w:pPr>
        <w:pStyle w:val="2"/>
        <w:numPr>
          <w:ilvl w:val="0"/>
          <w:numId w:val="0"/>
        </w:numPr>
        <w:tabs>
          <w:tab w:val="left" w:pos="7080"/>
        </w:tabs>
        <w:spacing w:line="240" w:lineRule="auto"/>
        <w:ind w:left="560" w:right="993"/>
        <w:rPr>
          <w:b/>
          <w:bCs/>
          <w:rtl/>
        </w:rPr>
      </w:pPr>
      <w:r>
        <w:rPr>
          <w:rFonts w:hint="cs"/>
          <w:rtl/>
        </w:rPr>
        <w:t>(</w:t>
      </w:r>
      <w:r w:rsidR="003E4DE6" w:rsidRPr="003E4DE6">
        <w:rPr>
          <w:rtl/>
        </w:rPr>
        <w:t>בש</w:t>
      </w:r>
      <w:r w:rsidR="003E4DE6">
        <w:rPr>
          <w:rFonts w:hint="cs"/>
          <w:rtl/>
        </w:rPr>
        <w:t>"</w:t>
      </w:r>
      <w:r w:rsidR="003E4DE6" w:rsidRPr="003E4DE6">
        <w:rPr>
          <w:rtl/>
        </w:rPr>
        <w:t xml:space="preserve">פ 5335/16 </w:t>
      </w:r>
      <w:r w:rsidR="003E4DE6" w:rsidRPr="003E4DE6">
        <w:rPr>
          <w:b/>
          <w:bCs/>
          <w:rtl/>
        </w:rPr>
        <w:t>מלק</w:t>
      </w:r>
      <w:r w:rsidR="006D41F6">
        <w:rPr>
          <w:rFonts w:hint="cs"/>
          <w:b/>
          <w:bCs/>
          <w:rtl/>
        </w:rPr>
        <w:t xml:space="preserve"> </w:t>
      </w:r>
      <w:r w:rsidR="006D41F6" w:rsidRPr="006D41F6">
        <w:rPr>
          <w:rFonts w:hint="cs"/>
          <w:rtl/>
        </w:rPr>
        <w:t>הנ"</w:t>
      </w:r>
      <w:r w:rsidR="006D41F6">
        <w:rPr>
          <w:rFonts w:hint="cs"/>
          <w:rtl/>
        </w:rPr>
        <w:t>ל</w:t>
      </w:r>
      <w:r w:rsidR="003E4DE6" w:rsidRPr="003E4DE6">
        <w:rPr>
          <w:rFonts w:hint="cs"/>
          <w:rtl/>
        </w:rPr>
        <w:t>, פסקה 15</w:t>
      </w:r>
      <w:r w:rsidR="00996B95">
        <w:rPr>
          <w:rFonts w:hint="cs"/>
          <w:rtl/>
        </w:rPr>
        <w:t>. ההדגשות במקור</w:t>
      </w:r>
      <w:r w:rsidR="001C360E">
        <w:rPr>
          <w:rFonts w:hint="cs"/>
          <w:rtl/>
        </w:rPr>
        <w:t xml:space="preserve">. ראו גם בש"פ 4227/19 </w:t>
      </w:r>
      <w:r w:rsidR="001C360E">
        <w:rPr>
          <w:rFonts w:hint="cs"/>
          <w:b/>
          <w:bCs/>
          <w:rtl/>
        </w:rPr>
        <w:t xml:space="preserve">פונטה </w:t>
      </w:r>
      <w:r w:rsidR="001C360E">
        <w:rPr>
          <w:rFonts w:hint="cs"/>
          <w:rtl/>
        </w:rPr>
        <w:t>הנ"ל, פסקה 12</w:t>
      </w:r>
      <w:r w:rsidR="003E4DE6" w:rsidRPr="003E4DE6">
        <w:rPr>
          <w:rFonts w:hint="cs"/>
          <w:rtl/>
        </w:rPr>
        <w:t>).</w:t>
      </w:r>
    </w:p>
    <w:p w14:paraId="7D0C8477" w14:textId="77777777" w:rsidR="007F4098" w:rsidRPr="009B2536" w:rsidRDefault="007F4098" w:rsidP="00560DF0">
      <w:pPr>
        <w:pStyle w:val="2"/>
        <w:numPr>
          <w:ilvl w:val="0"/>
          <w:numId w:val="0"/>
        </w:numPr>
        <w:tabs>
          <w:tab w:val="left" w:pos="418"/>
          <w:tab w:val="left" w:pos="992"/>
        </w:tabs>
        <w:ind w:left="-7"/>
        <w:rPr>
          <w:sz w:val="16"/>
          <w:szCs w:val="16"/>
          <w:rtl/>
        </w:rPr>
      </w:pPr>
    </w:p>
    <w:p w14:paraId="6442CA2F" w14:textId="77777777" w:rsidR="001C360E" w:rsidRDefault="007635D9" w:rsidP="00560DF0">
      <w:pPr>
        <w:pStyle w:val="2"/>
        <w:ind w:left="-7" w:firstLine="0"/>
      </w:pPr>
      <w:r>
        <w:rPr>
          <w:rFonts w:hint="cs"/>
          <w:rtl/>
        </w:rPr>
        <w:t xml:space="preserve">ואף לגופם של </w:t>
      </w:r>
      <w:r w:rsidR="007B3671">
        <w:rPr>
          <w:rFonts w:hint="cs"/>
          <w:rtl/>
        </w:rPr>
        <w:t xml:space="preserve">שלושת </w:t>
      </w:r>
      <w:r>
        <w:rPr>
          <w:rFonts w:hint="cs"/>
          <w:rtl/>
        </w:rPr>
        <w:t>קווי ההגנה</w:t>
      </w:r>
      <w:r w:rsidR="00416A21">
        <w:rPr>
          <w:rFonts w:hint="cs"/>
          <w:rtl/>
        </w:rPr>
        <w:t xml:space="preserve"> שבחן בית הדין</w:t>
      </w:r>
      <w:r>
        <w:rPr>
          <w:rFonts w:hint="cs"/>
          <w:rtl/>
        </w:rPr>
        <w:t xml:space="preserve">, הרי ששאלת הסכמתה של הנפגעת למעשיו של המשיב, או האפשרות להבין את אי-הסכמתה, תוכרע לפי העדויות הקשורות לעניין הקונקרטי; הודעותיה של הנפגעת הועברו ממילא להגנה, אשר תוכל להצביע על התפתחות בגרסותיה גם לגבי הנילונים האחרים, ככל שיותר לה לשאול את הנפגעת על כך; ולבסוף, מחדלי </w:t>
      </w:r>
      <w:r>
        <w:rPr>
          <w:rFonts w:hint="cs"/>
          <w:rtl/>
        </w:rPr>
        <w:lastRenderedPageBreak/>
        <w:t xml:space="preserve">חקירה בתיק אחד אינם משליכים, בפני עצמם, על טענה למחדלי חקירה בתיק אחר (ראו, בדומה, </w:t>
      </w:r>
      <w:r w:rsidRPr="007635D9">
        <w:rPr>
          <w:rFonts w:hint="cs"/>
          <w:rtl/>
        </w:rPr>
        <w:t>בש"פ</w:t>
      </w:r>
      <w:r>
        <w:rPr>
          <w:rFonts w:hint="cs"/>
          <w:b/>
          <w:bCs/>
          <w:rtl/>
        </w:rPr>
        <w:t xml:space="preserve"> מלק </w:t>
      </w:r>
      <w:r>
        <w:rPr>
          <w:rFonts w:hint="cs"/>
          <w:rtl/>
        </w:rPr>
        <w:t xml:space="preserve">הנ"ל, פסקה 15). </w:t>
      </w:r>
    </w:p>
    <w:p w14:paraId="71534EB4" w14:textId="77777777" w:rsidR="00A64124" w:rsidRDefault="00E91C6F" w:rsidP="00560DF0">
      <w:pPr>
        <w:pStyle w:val="2"/>
        <w:ind w:left="-7" w:firstLine="0"/>
      </w:pPr>
      <w:r>
        <w:rPr>
          <w:rFonts w:hint="cs"/>
          <w:rtl/>
        </w:rPr>
        <w:t>כפי שנפסק, "ככל שהזיקה בין החומר הנדון לבין השאלות שבמחלוקת במשפט רחוקה יותר, והזיקה בין החומר לפוטנציאל ההגנה של הנאשם קטנה יותר, כך גובר המשקל הניתן לשיקולים אחרים, כגון הפגיעה שעלולה להיגרם לעדים, בהם לקורבנות ולצדדים שלישיים. באיזון זה, זכותו של הנאשם למשפט הוגן אמורה להכריע באיזון חזיתי מול השיקולים הנוגדים, אולם כאשר האפשרות של הפגיעה בזכותו רחוקה - כך גובר משקלם של השיקולים הנגדיים" (</w:t>
      </w:r>
      <w:r w:rsidRPr="00F825B9">
        <w:rPr>
          <w:rFonts w:hint="cs"/>
          <w:rtl/>
        </w:rPr>
        <w:t>בש</w:t>
      </w:r>
      <w:r w:rsidRPr="00F825B9">
        <w:rPr>
          <w:rtl/>
        </w:rPr>
        <w:t>"</w:t>
      </w:r>
      <w:r w:rsidRPr="00F825B9">
        <w:rPr>
          <w:rFonts w:hint="cs"/>
          <w:rtl/>
        </w:rPr>
        <w:t>פ</w:t>
      </w:r>
      <w:r w:rsidRPr="00F825B9">
        <w:rPr>
          <w:rtl/>
        </w:rPr>
        <w:t xml:space="preserve"> 3099/08 </w:t>
      </w:r>
      <w:r w:rsidRPr="00F825B9">
        <w:rPr>
          <w:rFonts w:hint="cs"/>
          <w:b/>
          <w:bCs/>
          <w:rtl/>
        </w:rPr>
        <w:t>אברהמי</w:t>
      </w:r>
      <w:r w:rsidRPr="00F825B9">
        <w:rPr>
          <w:b/>
          <w:bCs/>
          <w:rtl/>
        </w:rPr>
        <w:t xml:space="preserve"> </w:t>
      </w:r>
      <w:r w:rsidR="00DD008D">
        <w:rPr>
          <w:rFonts w:hint="cs"/>
          <w:rtl/>
        </w:rPr>
        <w:t>הנ"ל</w:t>
      </w:r>
      <w:r w:rsidRPr="00F825B9">
        <w:rPr>
          <w:rtl/>
        </w:rPr>
        <w:t xml:space="preserve">, </w:t>
      </w:r>
      <w:r w:rsidRPr="00F825B9">
        <w:rPr>
          <w:rFonts w:hint="cs"/>
          <w:rtl/>
        </w:rPr>
        <w:t>פסקה</w:t>
      </w:r>
      <w:r w:rsidRPr="00F825B9">
        <w:rPr>
          <w:rtl/>
        </w:rPr>
        <w:t xml:space="preserve"> 9</w:t>
      </w:r>
      <w:r>
        <w:rPr>
          <w:rFonts w:hint="cs"/>
          <w:rtl/>
        </w:rPr>
        <w:t xml:space="preserve">. וראו גם, למשל, עלב"ש 17/20 </w:t>
      </w:r>
      <w:r>
        <w:rPr>
          <w:rFonts w:hint="cs"/>
          <w:b/>
          <w:bCs/>
          <w:rtl/>
        </w:rPr>
        <w:t>התובע הצבאי הראשי נ' פלוני</w:t>
      </w:r>
      <w:r>
        <w:rPr>
          <w:rFonts w:hint="cs"/>
          <w:rtl/>
        </w:rPr>
        <w:t>, פסקה 22 (2020)).</w:t>
      </w:r>
      <w:r w:rsidR="00DD008D">
        <w:rPr>
          <w:rFonts w:hint="cs"/>
          <w:rtl/>
        </w:rPr>
        <w:t xml:space="preserve"> ביישום לענייננו, </w:t>
      </w:r>
      <w:r w:rsidR="00E366FB">
        <w:rPr>
          <w:rFonts w:hint="cs"/>
          <w:rtl/>
        </w:rPr>
        <w:t>האיזון בין הגנה על פרטיות</w:t>
      </w:r>
      <w:r w:rsidR="00E66D98">
        <w:rPr>
          <w:rFonts w:hint="cs"/>
          <w:rtl/>
        </w:rPr>
        <w:t>ם של</w:t>
      </w:r>
      <w:r w:rsidR="00E366FB">
        <w:rPr>
          <w:rFonts w:hint="cs"/>
          <w:rtl/>
        </w:rPr>
        <w:t xml:space="preserve"> הנפגעת והצדדים השלישיים הנוספים המעורבים בתיקי החקירה, לבין הגנת המשיב - </w:t>
      </w:r>
      <w:r w:rsidR="00E366FB" w:rsidRPr="00F86516">
        <w:rPr>
          <w:rFonts w:hint="cs"/>
          <w:b/>
          <w:bCs/>
          <w:rtl/>
        </w:rPr>
        <w:t>אינו מצריך</w:t>
      </w:r>
      <w:r w:rsidR="00DC0C40">
        <w:rPr>
          <w:rFonts w:hint="cs"/>
          <w:rtl/>
        </w:rPr>
        <w:t>, לעת הזו,</w:t>
      </w:r>
      <w:r w:rsidR="00E366FB">
        <w:rPr>
          <w:rFonts w:hint="cs"/>
          <w:rtl/>
        </w:rPr>
        <w:t xml:space="preserve"> העברת חומרים נוספים, מעבר </w:t>
      </w:r>
      <w:r w:rsidR="00E95870">
        <w:rPr>
          <w:rFonts w:hint="cs"/>
          <w:rtl/>
        </w:rPr>
        <w:t>ל</w:t>
      </w:r>
      <w:r w:rsidR="00E366FB">
        <w:rPr>
          <w:rFonts w:hint="cs"/>
          <w:rtl/>
        </w:rPr>
        <w:t xml:space="preserve">הודעותיה של הנפגעת, </w:t>
      </w:r>
      <w:r w:rsidR="004506D6">
        <w:rPr>
          <w:rFonts w:hint="cs"/>
          <w:rtl/>
        </w:rPr>
        <w:t xml:space="preserve">כפי </w:t>
      </w:r>
      <w:r w:rsidR="00E366FB">
        <w:rPr>
          <w:rFonts w:hint="cs"/>
          <w:rtl/>
        </w:rPr>
        <w:t xml:space="preserve">שהועברו על ידי התביעה (ראו, בדומה, החומרים שהועברו </w:t>
      </w:r>
      <w:r w:rsidR="00C90569">
        <w:rPr>
          <w:rFonts w:hint="cs"/>
          <w:rtl/>
        </w:rPr>
        <w:t xml:space="preserve">בבש"פ 3376/21 </w:t>
      </w:r>
      <w:r w:rsidR="00C90569" w:rsidRPr="00F86516">
        <w:rPr>
          <w:rFonts w:hint="cs"/>
          <w:b/>
          <w:bCs/>
          <w:rtl/>
        </w:rPr>
        <w:t xml:space="preserve">פלוני </w:t>
      </w:r>
      <w:r w:rsidR="00C90569">
        <w:rPr>
          <w:rFonts w:hint="cs"/>
          <w:rtl/>
        </w:rPr>
        <w:t xml:space="preserve">הנ"ל; </w:t>
      </w:r>
      <w:r w:rsidR="00E366FB">
        <w:rPr>
          <w:rFonts w:hint="cs"/>
          <w:rtl/>
        </w:rPr>
        <w:t xml:space="preserve">בבש"פ 4227/19 </w:t>
      </w:r>
      <w:r w:rsidR="00E366FB" w:rsidRPr="00F86516">
        <w:rPr>
          <w:rFonts w:hint="cs"/>
          <w:b/>
          <w:bCs/>
          <w:rtl/>
        </w:rPr>
        <w:t>פונטה</w:t>
      </w:r>
      <w:r w:rsidR="00E366FB">
        <w:rPr>
          <w:rFonts w:hint="cs"/>
          <w:rtl/>
        </w:rPr>
        <w:t xml:space="preserve"> הנ"ל, וכן בבש"פ 2886/16 </w:t>
      </w:r>
      <w:r w:rsidR="00E366FB" w:rsidRPr="00F86516">
        <w:rPr>
          <w:rFonts w:hint="cs"/>
          <w:b/>
          <w:bCs/>
          <w:rtl/>
        </w:rPr>
        <w:t>גורבאן נ' מדינת ישראל</w:t>
      </w:r>
      <w:r w:rsidR="00E366FB">
        <w:rPr>
          <w:rFonts w:hint="cs"/>
          <w:rtl/>
        </w:rPr>
        <w:t>, פסקה 12 (11.5.2016)).</w:t>
      </w:r>
      <w:r w:rsidR="00A37E27">
        <w:rPr>
          <w:rFonts w:hint="cs"/>
          <w:rtl/>
        </w:rPr>
        <w:t xml:space="preserve"> בפני ההגנה פתוחה הדרך </w:t>
      </w:r>
      <w:r w:rsidR="00E56414" w:rsidRPr="00E56414">
        <w:rPr>
          <w:rFonts w:hint="cs"/>
          <w:rtl/>
        </w:rPr>
        <w:t>להגיש</w:t>
      </w:r>
      <w:r w:rsidR="00E56414" w:rsidRPr="00E56414">
        <w:rPr>
          <w:rtl/>
        </w:rPr>
        <w:t xml:space="preserve"> </w:t>
      </w:r>
      <w:r w:rsidR="00E56414" w:rsidRPr="00E56414">
        <w:rPr>
          <w:rFonts w:hint="cs"/>
          <w:rtl/>
        </w:rPr>
        <w:t>בקשה</w:t>
      </w:r>
      <w:r w:rsidR="00E56414" w:rsidRPr="00E56414">
        <w:rPr>
          <w:rtl/>
        </w:rPr>
        <w:t xml:space="preserve"> </w:t>
      </w:r>
      <w:r w:rsidR="00E56414" w:rsidRPr="00E56414">
        <w:rPr>
          <w:rFonts w:hint="cs"/>
          <w:rtl/>
        </w:rPr>
        <w:t>לפי</w:t>
      </w:r>
      <w:r w:rsidR="00E56414" w:rsidRPr="00E56414">
        <w:rPr>
          <w:rtl/>
        </w:rPr>
        <w:t xml:space="preserve"> </w:t>
      </w:r>
      <w:r w:rsidR="00E56414" w:rsidRPr="00E56414">
        <w:rPr>
          <w:rFonts w:hint="cs"/>
          <w:rtl/>
        </w:rPr>
        <w:t>סעיף</w:t>
      </w:r>
      <w:r w:rsidR="00E56414" w:rsidRPr="00E56414">
        <w:rPr>
          <w:rtl/>
        </w:rPr>
        <w:t xml:space="preserve"> 108</w:t>
      </w:r>
      <w:r w:rsidR="00A37E27">
        <w:rPr>
          <w:rFonts w:hint="cs"/>
          <w:rtl/>
        </w:rPr>
        <w:t xml:space="preserve"> לחוק סדר הדין הפלילי, בהתאם להתפתחויות בהליך העיקרי</w:t>
      </w:r>
      <w:r w:rsidR="00E56414" w:rsidRPr="00E56414">
        <w:rPr>
          <w:rtl/>
        </w:rPr>
        <w:t xml:space="preserve">, </w:t>
      </w:r>
      <w:r w:rsidR="00A37E27">
        <w:rPr>
          <w:rFonts w:hint="cs"/>
          <w:rtl/>
        </w:rPr>
        <w:t>"</w:t>
      </w:r>
      <w:r w:rsidR="00E56414" w:rsidRPr="00E56414">
        <w:rPr>
          <w:rFonts w:hint="cs"/>
          <w:rtl/>
        </w:rPr>
        <w:t>ומובן</w:t>
      </w:r>
      <w:r w:rsidR="00E56414" w:rsidRPr="00E56414">
        <w:rPr>
          <w:rtl/>
        </w:rPr>
        <w:t xml:space="preserve"> </w:t>
      </w:r>
      <w:r w:rsidR="00E56414" w:rsidRPr="00E56414">
        <w:rPr>
          <w:rFonts w:hint="cs"/>
          <w:rtl/>
        </w:rPr>
        <w:t>כי</w:t>
      </w:r>
      <w:r w:rsidR="00E56414" w:rsidRPr="00E56414">
        <w:rPr>
          <w:rtl/>
        </w:rPr>
        <w:t xml:space="preserve"> </w:t>
      </w:r>
      <w:r w:rsidR="00E56414" w:rsidRPr="00E56414">
        <w:rPr>
          <w:rFonts w:hint="cs"/>
          <w:rtl/>
        </w:rPr>
        <w:t>איני</w:t>
      </w:r>
      <w:r w:rsidR="00E56414" w:rsidRPr="00E56414">
        <w:rPr>
          <w:rtl/>
        </w:rPr>
        <w:t xml:space="preserve"> </w:t>
      </w:r>
      <w:r w:rsidR="00E56414" w:rsidRPr="00E56414">
        <w:rPr>
          <w:rFonts w:hint="cs"/>
          <w:rtl/>
        </w:rPr>
        <w:t>מביע</w:t>
      </w:r>
      <w:r w:rsidR="00E56414" w:rsidRPr="00E56414">
        <w:rPr>
          <w:rtl/>
        </w:rPr>
        <w:t xml:space="preserve"> </w:t>
      </w:r>
      <w:r w:rsidR="00E56414" w:rsidRPr="00E56414">
        <w:rPr>
          <w:rFonts w:hint="cs"/>
          <w:rtl/>
        </w:rPr>
        <w:t>עמדה</w:t>
      </w:r>
      <w:r w:rsidR="00E56414" w:rsidRPr="00E56414">
        <w:rPr>
          <w:rtl/>
        </w:rPr>
        <w:t xml:space="preserve"> </w:t>
      </w:r>
      <w:r w:rsidR="00E56414" w:rsidRPr="00E56414">
        <w:rPr>
          <w:rFonts w:hint="cs"/>
          <w:rtl/>
        </w:rPr>
        <w:t>לגופה</w:t>
      </w:r>
      <w:r w:rsidR="00E56414" w:rsidRPr="00E56414">
        <w:rPr>
          <w:rtl/>
        </w:rPr>
        <w:t xml:space="preserve"> </w:t>
      </w:r>
      <w:r w:rsidR="00E56414" w:rsidRPr="00E56414">
        <w:rPr>
          <w:rFonts w:hint="cs"/>
          <w:rtl/>
        </w:rPr>
        <w:t>של</w:t>
      </w:r>
      <w:r w:rsidR="00E56414" w:rsidRPr="00E56414">
        <w:rPr>
          <w:rtl/>
        </w:rPr>
        <w:t xml:space="preserve"> </w:t>
      </w:r>
      <w:r w:rsidR="00E56414" w:rsidRPr="00E56414">
        <w:rPr>
          <w:rFonts w:hint="cs"/>
          <w:rtl/>
        </w:rPr>
        <w:t>בקשה</w:t>
      </w:r>
      <w:r w:rsidR="00E56414" w:rsidRPr="00E56414">
        <w:rPr>
          <w:rtl/>
        </w:rPr>
        <w:t xml:space="preserve"> </w:t>
      </w:r>
      <w:r w:rsidR="00E56414" w:rsidRPr="00E56414">
        <w:rPr>
          <w:rFonts w:hint="cs"/>
          <w:rtl/>
        </w:rPr>
        <w:t>מעין</w:t>
      </w:r>
      <w:r w:rsidR="00E56414" w:rsidRPr="00E56414">
        <w:rPr>
          <w:rtl/>
        </w:rPr>
        <w:t xml:space="preserve"> </w:t>
      </w:r>
      <w:r w:rsidR="00E56414" w:rsidRPr="00E56414">
        <w:rPr>
          <w:rFonts w:hint="cs"/>
          <w:rtl/>
        </w:rPr>
        <w:t>זו</w:t>
      </w:r>
      <w:r w:rsidR="00E56414" w:rsidRPr="00E56414">
        <w:rPr>
          <w:rtl/>
        </w:rPr>
        <w:t xml:space="preserve">, </w:t>
      </w:r>
      <w:r w:rsidR="00E56414" w:rsidRPr="00E56414">
        <w:rPr>
          <w:rFonts w:hint="cs"/>
          <w:rtl/>
        </w:rPr>
        <w:t>ככל</w:t>
      </w:r>
      <w:r w:rsidR="00E56414" w:rsidRPr="00E56414">
        <w:rPr>
          <w:rtl/>
        </w:rPr>
        <w:t xml:space="preserve"> </w:t>
      </w:r>
      <w:r w:rsidR="00E56414" w:rsidRPr="00E56414">
        <w:rPr>
          <w:rFonts w:hint="cs"/>
          <w:rtl/>
        </w:rPr>
        <w:t>שתוגש</w:t>
      </w:r>
      <w:r w:rsidR="00E56414">
        <w:rPr>
          <w:rFonts w:hint="cs"/>
          <w:rtl/>
        </w:rPr>
        <w:t>" (</w:t>
      </w:r>
      <w:r w:rsidR="00DC3DD5">
        <w:rPr>
          <w:rtl/>
        </w:rPr>
        <w:t>בש</w:t>
      </w:r>
      <w:r w:rsidR="00DC3DD5">
        <w:rPr>
          <w:rFonts w:hint="cs"/>
          <w:rtl/>
        </w:rPr>
        <w:t>"</w:t>
      </w:r>
      <w:r w:rsidR="00DC3DD5">
        <w:rPr>
          <w:rtl/>
        </w:rPr>
        <w:t xml:space="preserve">פ 6520/21 </w:t>
      </w:r>
      <w:r w:rsidR="00DC3DD5" w:rsidRPr="00F86516">
        <w:rPr>
          <w:b/>
          <w:bCs/>
          <w:rtl/>
        </w:rPr>
        <w:t>פלוני נ' מדינת ישראל</w:t>
      </w:r>
      <w:r w:rsidR="00DC3DD5">
        <w:rPr>
          <w:rFonts w:hint="cs"/>
          <w:rtl/>
        </w:rPr>
        <w:t>, פסקה 7 (10.10.2021)</w:t>
      </w:r>
      <w:r w:rsidR="00A37E27">
        <w:rPr>
          <w:rFonts w:hint="cs"/>
          <w:rtl/>
        </w:rPr>
        <w:t xml:space="preserve">; עלב"ש 20/21 </w:t>
      </w:r>
      <w:r w:rsidR="00A37E27" w:rsidRPr="00F86516">
        <w:rPr>
          <w:rFonts w:hint="cs"/>
          <w:b/>
          <w:bCs/>
          <w:rtl/>
        </w:rPr>
        <w:t xml:space="preserve">רס"ל בן עמי </w:t>
      </w:r>
      <w:r w:rsidR="00A37E27">
        <w:rPr>
          <w:rFonts w:hint="cs"/>
          <w:rtl/>
        </w:rPr>
        <w:t xml:space="preserve">הנ"ל, </w:t>
      </w:r>
      <w:r w:rsidR="00F86516">
        <w:rPr>
          <w:rFonts w:hint="cs"/>
          <w:rtl/>
        </w:rPr>
        <w:t>פסקה 19)</w:t>
      </w:r>
      <w:r w:rsidR="00DC3DD5">
        <w:rPr>
          <w:rFonts w:hint="cs"/>
          <w:rtl/>
        </w:rPr>
        <w:t xml:space="preserve">. </w:t>
      </w:r>
    </w:p>
    <w:p w14:paraId="23FF433B" w14:textId="77777777" w:rsidR="00F65AEC" w:rsidRDefault="00682154" w:rsidP="00560DF0">
      <w:pPr>
        <w:pStyle w:val="2"/>
        <w:ind w:left="-7" w:firstLine="0"/>
      </w:pPr>
      <w:r>
        <w:rPr>
          <w:rFonts w:hint="cs"/>
          <w:rtl/>
        </w:rPr>
        <w:t xml:space="preserve">ערעור </w:t>
      </w:r>
      <w:r w:rsidR="00F86516">
        <w:rPr>
          <w:rFonts w:hint="cs"/>
          <w:rtl/>
        </w:rPr>
        <w:t>התביעה מתקבל, אפוא</w:t>
      </w:r>
      <w:r>
        <w:rPr>
          <w:rFonts w:hint="cs"/>
          <w:rtl/>
        </w:rPr>
        <w:t>.</w:t>
      </w:r>
    </w:p>
    <w:p w14:paraId="12C30162" w14:textId="77777777" w:rsidR="00A64124" w:rsidRPr="009B2536" w:rsidRDefault="00A64124" w:rsidP="00A64124">
      <w:pPr>
        <w:pStyle w:val="2"/>
        <w:numPr>
          <w:ilvl w:val="0"/>
          <w:numId w:val="0"/>
        </w:numPr>
        <w:ind w:left="-7"/>
        <w:rPr>
          <w:i/>
          <w:iCs/>
          <w:sz w:val="14"/>
          <w:szCs w:val="14"/>
          <w:rtl/>
        </w:rPr>
      </w:pPr>
    </w:p>
    <w:p w14:paraId="5E18C2FF" w14:textId="77777777" w:rsidR="000C45A4" w:rsidRDefault="003261B1" w:rsidP="00F86516">
      <w:pPr>
        <w:pStyle w:val="2"/>
        <w:numPr>
          <w:ilvl w:val="0"/>
          <w:numId w:val="0"/>
        </w:numPr>
        <w:rPr>
          <w:rtl/>
        </w:rPr>
      </w:pPr>
      <w:r w:rsidRPr="00A77FE2">
        <w:rPr>
          <w:rFonts w:hint="cs"/>
          <w:rtl/>
        </w:rPr>
        <w:t xml:space="preserve">ניתנה היום, </w:t>
      </w:r>
      <w:r w:rsidR="00F25931">
        <w:rPr>
          <w:rFonts w:hint="cs"/>
          <w:rtl/>
        </w:rPr>
        <w:t>ב</w:t>
      </w:r>
      <w:r w:rsidR="00EF718D">
        <w:rPr>
          <w:rFonts w:hint="cs"/>
          <w:rtl/>
        </w:rPr>
        <w:t>' ניסן</w:t>
      </w:r>
      <w:r w:rsidR="00A64124">
        <w:rPr>
          <w:rFonts w:hint="cs"/>
          <w:rtl/>
        </w:rPr>
        <w:t xml:space="preserve"> </w:t>
      </w:r>
      <w:r w:rsidR="00C73F42">
        <w:rPr>
          <w:rFonts w:hint="cs"/>
          <w:rtl/>
        </w:rPr>
        <w:t>ה</w:t>
      </w:r>
      <w:r w:rsidR="002F7AFC">
        <w:rPr>
          <w:rFonts w:hint="cs"/>
          <w:rtl/>
        </w:rPr>
        <w:t>תש</w:t>
      </w:r>
      <w:r w:rsidR="00A64124">
        <w:rPr>
          <w:rFonts w:hint="cs"/>
          <w:rtl/>
        </w:rPr>
        <w:t>פ"</w:t>
      </w:r>
      <w:r w:rsidR="00F86516">
        <w:rPr>
          <w:rFonts w:hint="cs"/>
          <w:rtl/>
        </w:rPr>
        <w:t>ד</w:t>
      </w:r>
      <w:r w:rsidRPr="00A77FE2">
        <w:rPr>
          <w:rFonts w:hint="cs"/>
          <w:rtl/>
        </w:rPr>
        <w:t xml:space="preserve">, </w:t>
      </w:r>
      <w:r w:rsidR="00F25931">
        <w:rPr>
          <w:rFonts w:hint="cs"/>
          <w:rtl/>
        </w:rPr>
        <w:t xml:space="preserve">10 </w:t>
      </w:r>
      <w:r w:rsidR="00F86516">
        <w:rPr>
          <w:rFonts w:hint="cs"/>
          <w:rtl/>
        </w:rPr>
        <w:t>באפריל 2024</w:t>
      </w:r>
      <w:r w:rsidRPr="00A77FE2">
        <w:rPr>
          <w:rFonts w:hint="cs"/>
          <w:rtl/>
        </w:rPr>
        <w:t xml:space="preserve">, </w:t>
      </w:r>
      <w:r>
        <w:rPr>
          <w:rFonts w:hint="cs"/>
          <w:rtl/>
        </w:rPr>
        <w:t>ותועבר לצדדים על-ידי המזכירות</w:t>
      </w:r>
      <w:r w:rsidRPr="00A77FE2">
        <w:rPr>
          <w:rFonts w:hint="cs"/>
          <w:rtl/>
        </w:rPr>
        <w:t>.</w:t>
      </w:r>
    </w:p>
    <w:p w14:paraId="76FDABE4" w14:textId="77777777" w:rsidR="00E95870" w:rsidRPr="009B2536" w:rsidRDefault="00E95870" w:rsidP="00F86516">
      <w:pPr>
        <w:pStyle w:val="2"/>
        <w:numPr>
          <w:ilvl w:val="0"/>
          <w:numId w:val="0"/>
        </w:numPr>
        <w:rPr>
          <w:sz w:val="6"/>
          <w:szCs w:val="6"/>
          <w:rtl/>
        </w:rPr>
      </w:pPr>
    </w:p>
    <w:p w14:paraId="7CB8424F" w14:textId="77777777" w:rsidR="00890C41" w:rsidRPr="00C32777" w:rsidRDefault="00890C41" w:rsidP="00560DF0">
      <w:pPr>
        <w:ind w:left="6143"/>
        <w:rPr>
          <w:b/>
          <w:bCs/>
          <w:rtl/>
        </w:rPr>
      </w:pPr>
      <w:r w:rsidRPr="00C32777">
        <w:rPr>
          <w:rFonts w:hint="cs"/>
          <w:b/>
          <w:bCs/>
          <w:rtl/>
        </w:rPr>
        <w:t>______________________</w:t>
      </w:r>
      <w:r w:rsidR="00560DF0">
        <w:rPr>
          <w:rFonts w:hint="cs"/>
          <w:b/>
          <w:bCs/>
          <w:rtl/>
        </w:rPr>
        <w:t>_</w:t>
      </w:r>
    </w:p>
    <w:p w14:paraId="43D4D3E6" w14:textId="77777777" w:rsidR="00560DF0" w:rsidRDefault="00E27C2E" w:rsidP="00560DF0">
      <w:pPr>
        <w:ind w:left="6143"/>
        <w:rPr>
          <w:b/>
          <w:bCs/>
          <w:rtl/>
        </w:rPr>
      </w:pPr>
      <w:r>
        <w:rPr>
          <w:rFonts w:hint="cs"/>
          <w:b/>
          <w:bCs/>
          <w:rtl/>
        </w:rPr>
        <w:t>תא"ל</w:t>
      </w:r>
      <w:r w:rsidRPr="007C1144">
        <w:rPr>
          <w:rFonts w:hint="cs"/>
          <w:b/>
          <w:bCs/>
          <w:rtl/>
        </w:rPr>
        <w:t xml:space="preserve">        </w:t>
      </w:r>
      <w:r w:rsidR="00560DF0">
        <w:rPr>
          <w:rFonts w:hint="cs"/>
          <w:b/>
          <w:bCs/>
          <w:rtl/>
        </w:rPr>
        <w:t xml:space="preserve">    </w:t>
      </w:r>
      <w:r w:rsidRPr="007C1144">
        <w:rPr>
          <w:rFonts w:hint="cs"/>
          <w:b/>
          <w:bCs/>
          <w:rtl/>
        </w:rPr>
        <w:t xml:space="preserve"> נועה   </w:t>
      </w:r>
      <w:r w:rsidR="00560DF0">
        <w:rPr>
          <w:rFonts w:hint="cs"/>
          <w:b/>
          <w:bCs/>
          <w:rtl/>
        </w:rPr>
        <w:t xml:space="preserve">          </w:t>
      </w:r>
      <w:r w:rsidRPr="007C1144">
        <w:rPr>
          <w:rFonts w:hint="cs"/>
          <w:b/>
          <w:bCs/>
          <w:rtl/>
        </w:rPr>
        <w:t xml:space="preserve">  זומר </w:t>
      </w:r>
    </w:p>
    <w:p w14:paraId="56D1FA7E" w14:textId="77777777" w:rsidR="00560DF0" w:rsidRPr="009B2536" w:rsidRDefault="00890C41" w:rsidP="009B2536">
      <w:pPr>
        <w:ind w:left="6143"/>
        <w:rPr>
          <w:b/>
          <w:bCs/>
          <w:rtl/>
        </w:rPr>
      </w:pPr>
      <w:r w:rsidRPr="00C32777">
        <w:rPr>
          <w:rFonts w:hint="cs"/>
          <w:b/>
          <w:bCs/>
          <w:rtl/>
        </w:rPr>
        <w:t>שופטת      בית     הדין     הצבאי</w:t>
      </w:r>
      <w:r w:rsidRPr="00C32777">
        <w:rPr>
          <w:rFonts w:hint="cs"/>
          <w:b/>
          <w:bCs/>
          <w:rtl/>
        </w:rPr>
        <w:br/>
        <w:t>ל      ע     ר     ע     ו     ר     י     ם</w:t>
      </w:r>
    </w:p>
    <w:p w14:paraId="508388BE" w14:textId="77777777" w:rsidR="00560DF0" w:rsidRPr="000B7E52" w:rsidRDefault="00560DF0" w:rsidP="00560DF0">
      <w:pPr>
        <w:ind w:left="-58" w:right="-567"/>
        <w:rPr>
          <w:rFonts w:ascii="David" w:hAnsi="David"/>
          <w:b/>
          <w:bCs/>
          <w:rtl/>
        </w:rPr>
      </w:pPr>
      <w:r>
        <w:rPr>
          <w:rtl/>
        </w:rPr>
        <w:tab/>
      </w:r>
      <w:bookmarkStart w:id="2" w:name="_Hlk122599666"/>
      <w:bookmarkStart w:id="3" w:name="_Hlk141797760"/>
      <w:r w:rsidRPr="000B7E52">
        <w:rPr>
          <w:rFonts w:ascii="David" w:hAnsi="David"/>
          <w:b/>
          <w:bCs/>
          <w:rtl/>
        </w:rPr>
        <w:t>חתימת המגיה: _______________________________</w:t>
      </w:r>
      <w:r>
        <w:rPr>
          <w:rFonts w:ascii="David" w:hAnsi="David" w:hint="cs"/>
          <w:b/>
          <w:bCs/>
          <w:rtl/>
        </w:rPr>
        <w:t>_</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העתק         נאמן       למקור             </w:t>
      </w:r>
    </w:p>
    <w:p w14:paraId="6121BA1D" w14:textId="77777777" w:rsidR="00560DF0" w:rsidRPr="000B7E52" w:rsidRDefault="00560DF0" w:rsidP="00560DF0">
      <w:pPr>
        <w:ind w:left="-58" w:right="-567"/>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סרן           </w:t>
      </w:r>
      <w:r w:rsidRPr="000B7E52">
        <w:rPr>
          <w:rFonts w:ascii="David" w:hAnsi="David" w:hint="cs"/>
          <w:b/>
          <w:bCs/>
          <w:rtl/>
        </w:rPr>
        <w:t xml:space="preserve"> </w:t>
      </w:r>
      <w:r w:rsidRPr="000B7E52">
        <w:rPr>
          <w:rFonts w:ascii="David" w:hAnsi="David"/>
          <w:b/>
          <w:bCs/>
          <w:rtl/>
        </w:rPr>
        <w:t xml:space="preserve"> כפיר             לב  </w:t>
      </w:r>
    </w:p>
    <w:p w14:paraId="65EDC340" w14:textId="77777777" w:rsidR="00560DF0" w:rsidRPr="000B7E52" w:rsidRDefault="00560DF0" w:rsidP="00560DF0">
      <w:pPr>
        <w:ind w:left="-58" w:right="-567"/>
        <w:rPr>
          <w:rFonts w:ascii="David" w:hAnsi="David"/>
          <w:b/>
          <w:bCs/>
          <w:rtl/>
        </w:rPr>
      </w:pPr>
      <w:r w:rsidRPr="000B7E52">
        <w:rPr>
          <w:rFonts w:ascii="David" w:hAnsi="David"/>
          <w:b/>
          <w:bCs/>
          <w:rtl/>
        </w:rPr>
        <w:t xml:space="preserve">תאריך: ____________________________________ </w:t>
      </w:r>
      <w:r>
        <w:rPr>
          <w:rFonts w:ascii="David" w:hAnsi="David" w:hint="cs"/>
          <w:b/>
          <w:bCs/>
          <w:rtl/>
        </w:rPr>
        <w:t xml:space="preserve">  </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קצין            בית           הדין</w:t>
      </w:r>
      <w:bookmarkEnd w:id="2"/>
      <w:bookmarkEnd w:id="3"/>
    </w:p>
    <w:sectPr w:rsidR="00560DF0" w:rsidRPr="000B7E52" w:rsidSect="00274332">
      <w:headerReference w:type="even" r:id="rId12"/>
      <w:headerReference w:type="default" r:id="rId13"/>
      <w:footerReference w:type="default" r:id="rId14"/>
      <w:headerReference w:type="first" r:id="rId15"/>
      <w:pgSz w:w="12240" w:h="15840"/>
      <w:pgMar w:top="1418" w:right="1418" w:bottom="1418" w:left="1418" w:header="425"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09825" w14:textId="77777777" w:rsidR="00274332" w:rsidRDefault="00274332" w:rsidP="00FB4276">
      <w:pPr>
        <w:spacing w:after="0" w:line="240" w:lineRule="auto"/>
      </w:pPr>
      <w:r>
        <w:separator/>
      </w:r>
    </w:p>
  </w:endnote>
  <w:endnote w:type="continuationSeparator" w:id="0">
    <w:p w14:paraId="74961F06" w14:textId="77777777" w:rsidR="00274332" w:rsidRDefault="00274332"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12393" w14:textId="77777777" w:rsidR="00560DF0" w:rsidRDefault="00560DF0">
    <w:pPr>
      <w:pStyle w:val="Footer"/>
      <w:jc w:val="center"/>
    </w:pPr>
    <w:r>
      <w:fldChar w:fldCharType="begin"/>
    </w:r>
    <w:r>
      <w:instrText>PAGE   \* MERGEFORMAT</w:instrText>
    </w:r>
    <w:r>
      <w:fldChar w:fldCharType="separate"/>
    </w:r>
    <w:r>
      <w:rPr>
        <w:rtl/>
        <w:lang w:val="he-IL"/>
      </w:rPr>
      <w:t>2</w:t>
    </w:r>
    <w:r>
      <w:fldChar w:fldCharType="end"/>
    </w:r>
  </w:p>
  <w:p w14:paraId="555E8BBA" w14:textId="77777777" w:rsidR="00457098" w:rsidRDefault="00457098" w:rsidP="00560DF0">
    <w:pPr>
      <w:pStyle w:val="Footer"/>
      <w:tabs>
        <w:tab w:val="clear" w:pos="4153"/>
        <w:tab w:val="clear" w:pos="8306"/>
        <w:tab w:val="left" w:pos="4814"/>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FCE60" w14:textId="77777777" w:rsidR="00274332" w:rsidRDefault="00274332" w:rsidP="00FB4276">
      <w:pPr>
        <w:spacing w:after="0" w:line="240" w:lineRule="auto"/>
      </w:pPr>
      <w:r>
        <w:separator/>
      </w:r>
    </w:p>
  </w:footnote>
  <w:footnote w:type="continuationSeparator" w:id="0">
    <w:p w14:paraId="54AEEC5D" w14:textId="77777777" w:rsidR="00274332" w:rsidRDefault="00274332"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A1AA" w14:textId="77777777" w:rsidR="00E839CC" w:rsidRDefault="00E83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9D11" w14:textId="77777777" w:rsidR="00457098" w:rsidRDefault="00457098" w:rsidP="00560DF0">
    <w:pPr>
      <w:pStyle w:val="Header"/>
      <w:tabs>
        <w:tab w:val="clear" w:pos="4153"/>
        <w:tab w:val="clear" w:pos="8306"/>
        <w:tab w:val="left" w:pos="2625"/>
        <w:tab w:val="left" w:pos="3240"/>
        <w:tab w:val="center" w:pos="4726"/>
        <w:tab w:val="right" w:pos="9404"/>
      </w:tabs>
      <w:spacing w:after="0" w:line="240" w:lineRule="auto"/>
      <w:jc w:val="both"/>
      <w:rPr>
        <w:rtl/>
      </w:rPr>
    </w:pPr>
    <w:r>
      <w:rPr>
        <w:rtl/>
      </w:rPr>
      <w:tab/>
    </w:r>
    <w:r>
      <w:rPr>
        <w:rFonts w:hint="cs"/>
        <w:rtl/>
      </w:rPr>
      <w:t xml:space="preserve">   </w:t>
    </w:r>
    <w:r>
      <w:rPr>
        <w:rtl/>
      </w:rPr>
      <w:tab/>
    </w:r>
    <w:r w:rsidR="00560DF0">
      <w:t xml:space="preserve">    </w:t>
    </w:r>
    <w:r>
      <w:t xml:space="preserve"> </w:t>
    </w:r>
    <w:r w:rsidR="00560DF0">
      <w:t xml:space="preserve">  </w:t>
    </w:r>
    <w:r>
      <w:tab/>
    </w:r>
    <w:r w:rsidR="00C400D6">
      <w:rPr>
        <w:rFonts w:hint="cs"/>
        <w:rtl/>
      </w:rPr>
      <w:t>ב ל מ " ס</w:t>
    </w:r>
    <w:r w:rsidR="00560DF0">
      <w:rPr>
        <w:rtl/>
      </w:rPr>
      <w:tab/>
    </w:r>
    <w:r w:rsidR="00560DF0">
      <w:rPr>
        <w:rFonts w:hint="cs"/>
        <w:rtl/>
      </w:rPr>
      <w:t>עלב"ש 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FB85B" w14:textId="77777777" w:rsidR="00E839CC" w:rsidRDefault="00E83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55268"/>
    <w:multiLevelType w:val="hybridMultilevel"/>
    <w:tmpl w:val="58C298D4"/>
    <w:lvl w:ilvl="0" w:tplc="E32C9194">
      <w:start w:val="1"/>
      <w:numFmt w:val="decimal"/>
      <w:pStyle w:val="2"/>
      <w:suff w:val="space"/>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13C129B"/>
    <w:multiLevelType w:val="hybridMultilevel"/>
    <w:tmpl w:val="136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916005">
    <w:abstractNumId w:val="0"/>
  </w:num>
  <w:num w:numId="2" w16cid:durableId="548997486">
    <w:abstractNumId w:val="1"/>
  </w:num>
  <w:num w:numId="3" w16cid:durableId="1681157133">
    <w:abstractNumId w:val="0"/>
  </w:num>
  <w:num w:numId="4" w16cid:durableId="987974611">
    <w:abstractNumId w:val="0"/>
  </w:num>
  <w:num w:numId="5" w16cid:durableId="605767272">
    <w:abstractNumId w:val="0"/>
  </w:num>
  <w:num w:numId="6" w16cid:durableId="1282806198">
    <w:abstractNumId w:val="0"/>
  </w:num>
  <w:num w:numId="7" w16cid:durableId="571622792">
    <w:abstractNumId w:val="0"/>
  </w:num>
  <w:num w:numId="8" w16cid:durableId="1056928070">
    <w:abstractNumId w:val="0"/>
  </w:num>
  <w:num w:numId="9" w16cid:durableId="2057191250">
    <w:abstractNumId w:val="0"/>
  </w:num>
  <w:num w:numId="10" w16cid:durableId="363677358">
    <w:abstractNumId w:val="0"/>
  </w:num>
  <w:num w:numId="11" w16cid:durableId="1861622836">
    <w:abstractNumId w:val="0"/>
  </w:num>
  <w:num w:numId="12" w16cid:durableId="102309425">
    <w:abstractNumId w:val="0"/>
  </w:num>
  <w:num w:numId="13" w16cid:durableId="96799693">
    <w:abstractNumId w:val="0"/>
  </w:num>
  <w:num w:numId="14" w16cid:durableId="855390670">
    <w:abstractNumId w:val="0"/>
  </w:num>
  <w:num w:numId="15" w16cid:durableId="664357696">
    <w:abstractNumId w:val="0"/>
  </w:num>
  <w:num w:numId="16" w16cid:durableId="590044785">
    <w:abstractNumId w:val="0"/>
  </w:num>
  <w:num w:numId="17" w16cid:durableId="415133323">
    <w:abstractNumId w:val="0"/>
  </w:num>
  <w:num w:numId="18" w16cid:durableId="288753021">
    <w:abstractNumId w:val="0"/>
  </w:num>
  <w:num w:numId="19" w16cid:durableId="60252322">
    <w:abstractNumId w:val="0"/>
  </w:num>
  <w:num w:numId="20" w16cid:durableId="1402633199">
    <w:abstractNumId w:val="0"/>
  </w:num>
  <w:num w:numId="21" w16cid:durableId="1240555853">
    <w:abstractNumId w:val="0"/>
  </w:num>
  <w:num w:numId="22" w16cid:durableId="209154483">
    <w:abstractNumId w:val="0"/>
  </w:num>
  <w:num w:numId="23" w16cid:durableId="1754816694">
    <w:abstractNumId w:val="0"/>
  </w:num>
  <w:num w:numId="24" w16cid:durableId="1628465388">
    <w:abstractNumId w:val="0"/>
  </w:num>
  <w:num w:numId="25" w16cid:durableId="1280800713">
    <w:abstractNumId w:val="0"/>
  </w:num>
  <w:num w:numId="26" w16cid:durableId="2088651331">
    <w:abstractNumId w:val="0"/>
  </w:num>
  <w:num w:numId="27" w16cid:durableId="492767985">
    <w:abstractNumId w:val="0"/>
  </w:num>
  <w:num w:numId="28" w16cid:durableId="982730349">
    <w:abstractNumId w:val="0"/>
  </w:num>
  <w:num w:numId="29" w16cid:durableId="1133014013">
    <w:abstractNumId w:val="0"/>
  </w:num>
  <w:num w:numId="30" w16cid:durableId="1334841507">
    <w:abstractNumId w:val="0"/>
  </w:num>
  <w:num w:numId="31" w16cid:durableId="135876104">
    <w:abstractNumId w:val="0"/>
  </w:num>
  <w:num w:numId="32" w16cid:durableId="1399355258">
    <w:abstractNumId w:val="0"/>
  </w:num>
  <w:num w:numId="33" w16cid:durableId="298537006">
    <w:abstractNumId w:val="0"/>
  </w:num>
  <w:num w:numId="34" w16cid:durableId="1137259216">
    <w:abstractNumId w:val="0"/>
  </w:num>
  <w:num w:numId="35" w16cid:durableId="1274627245">
    <w:abstractNumId w:val="0"/>
  </w:num>
  <w:num w:numId="36" w16cid:durableId="543323972">
    <w:abstractNumId w:val="0"/>
  </w:num>
  <w:num w:numId="37" w16cid:durableId="768163305">
    <w:abstractNumId w:val="0"/>
  </w:num>
  <w:num w:numId="38" w16cid:durableId="1005131611">
    <w:abstractNumId w:val="0"/>
  </w:num>
  <w:num w:numId="39" w16cid:durableId="776607014">
    <w:abstractNumId w:val="0"/>
  </w:num>
  <w:num w:numId="40" w16cid:durableId="426461100">
    <w:abstractNumId w:val="0"/>
  </w:num>
  <w:num w:numId="41" w16cid:durableId="423455900">
    <w:abstractNumId w:val="0"/>
  </w:num>
  <w:num w:numId="42" w16cid:durableId="685981867">
    <w:abstractNumId w:val="0"/>
  </w:num>
  <w:num w:numId="43" w16cid:durableId="1018391234">
    <w:abstractNumId w:val="0"/>
  </w:num>
  <w:num w:numId="44" w16cid:durableId="10467618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42D"/>
    <w:rsid w:val="00002453"/>
    <w:rsid w:val="00003C3F"/>
    <w:rsid w:val="00004C8F"/>
    <w:rsid w:val="000121B9"/>
    <w:rsid w:val="00012364"/>
    <w:rsid w:val="00013993"/>
    <w:rsid w:val="000162D4"/>
    <w:rsid w:val="00016C2F"/>
    <w:rsid w:val="000177CA"/>
    <w:rsid w:val="000177D3"/>
    <w:rsid w:val="00017B6B"/>
    <w:rsid w:val="00017FF1"/>
    <w:rsid w:val="00020798"/>
    <w:rsid w:val="00021840"/>
    <w:rsid w:val="000220B1"/>
    <w:rsid w:val="0002282C"/>
    <w:rsid w:val="000235A6"/>
    <w:rsid w:val="000253CD"/>
    <w:rsid w:val="000274A4"/>
    <w:rsid w:val="00027819"/>
    <w:rsid w:val="0002784C"/>
    <w:rsid w:val="00027E6A"/>
    <w:rsid w:val="000336FE"/>
    <w:rsid w:val="00033C1A"/>
    <w:rsid w:val="00033D73"/>
    <w:rsid w:val="00034F95"/>
    <w:rsid w:val="000351AE"/>
    <w:rsid w:val="00041221"/>
    <w:rsid w:val="000413EA"/>
    <w:rsid w:val="0004177E"/>
    <w:rsid w:val="000468F0"/>
    <w:rsid w:val="00046D3A"/>
    <w:rsid w:val="000510F7"/>
    <w:rsid w:val="00051AAF"/>
    <w:rsid w:val="00051EE5"/>
    <w:rsid w:val="00052CB2"/>
    <w:rsid w:val="00052D04"/>
    <w:rsid w:val="000563E0"/>
    <w:rsid w:val="000609DB"/>
    <w:rsid w:val="00061ABA"/>
    <w:rsid w:val="00063280"/>
    <w:rsid w:val="00070277"/>
    <w:rsid w:val="000708A0"/>
    <w:rsid w:val="000714D8"/>
    <w:rsid w:val="0007195E"/>
    <w:rsid w:val="000739A3"/>
    <w:rsid w:val="00073D71"/>
    <w:rsid w:val="00077027"/>
    <w:rsid w:val="0007775D"/>
    <w:rsid w:val="0008089D"/>
    <w:rsid w:val="00080ABE"/>
    <w:rsid w:val="00080EED"/>
    <w:rsid w:val="0008341D"/>
    <w:rsid w:val="000844DD"/>
    <w:rsid w:val="0008730F"/>
    <w:rsid w:val="000907E6"/>
    <w:rsid w:val="00091334"/>
    <w:rsid w:val="00091C2A"/>
    <w:rsid w:val="00091D93"/>
    <w:rsid w:val="00092E51"/>
    <w:rsid w:val="000940B9"/>
    <w:rsid w:val="000A060C"/>
    <w:rsid w:val="000A06F0"/>
    <w:rsid w:val="000A09F1"/>
    <w:rsid w:val="000A0B65"/>
    <w:rsid w:val="000A1699"/>
    <w:rsid w:val="000A1A8B"/>
    <w:rsid w:val="000A1EF8"/>
    <w:rsid w:val="000A405C"/>
    <w:rsid w:val="000A4C04"/>
    <w:rsid w:val="000A5347"/>
    <w:rsid w:val="000B21B8"/>
    <w:rsid w:val="000B2548"/>
    <w:rsid w:val="000B2ED4"/>
    <w:rsid w:val="000B3B9A"/>
    <w:rsid w:val="000B447D"/>
    <w:rsid w:val="000B479D"/>
    <w:rsid w:val="000B50BF"/>
    <w:rsid w:val="000B5BE2"/>
    <w:rsid w:val="000C0FB7"/>
    <w:rsid w:val="000C150E"/>
    <w:rsid w:val="000C1FF8"/>
    <w:rsid w:val="000C2C27"/>
    <w:rsid w:val="000C3A39"/>
    <w:rsid w:val="000C45A4"/>
    <w:rsid w:val="000C4B9D"/>
    <w:rsid w:val="000C5A34"/>
    <w:rsid w:val="000C6432"/>
    <w:rsid w:val="000C649D"/>
    <w:rsid w:val="000C7CA7"/>
    <w:rsid w:val="000D1A8E"/>
    <w:rsid w:val="000D2302"/>
    <w:rsid w:val="000D3B61"/>
    <w:rsid w:val="000D64E2"/>
    <w:rsid w:val="000D64F4"/>
    <w:rsid w:val="000D681F"/>
    <w:rsid w:val="000D6B9A"/>
    <w:rsid w:val="000E3349"/>
    <w:rsid w:val="000E4B1E"/>
    <w:rsid w:val="000F0040"/>
    <w:rsid w:val="000F20D9"/>
    <w:rsid w:val="000F2249"/>
    <w:rsid w:val="000F237D"/>
    <w:rsid w:val="000F39D6"/>
    <w:rsid w:val="00100F88"/>
    <w:rsid w:val="00101681"/>
    <w:rsid w:val="00102148"/>
    <w:rsid w:val="001021F2"/>
    <w:rsid w:val="00102F6E"/>
    <w:rsid w:val="001036D0"/>
    <w:rsid w:val="00104956"/>
    <w:rsid w:val="001070F9"/>
    <w:rsid w:val="001071F4"/>
    <w:rsid w:val="001114EE"/>
    <w:rsid w:val="00111BFA"/>
    <w:rsid w:val="00111FA8"/>
    <w:rsid w:val="00113199"/>
    <w:rsid w:val="0011320F"/>
    <w:rsid w:val="00114CF3"/>
    <w:rsid w:val="00114D37"/>
    <w:rsid w:val="00115497"/>
    <w:rsid w:val="00115688"/>
    <w:rsid w:val="0012097A"/>
    <w:rsid w:val="00120D4A"/>
    <w:rsid w:val="001244D6"/>
    <w:rsid w:val="00125858"/>
    <w:rsid w:val="001259B2"/>
    <w:rsid w:val="0012605E"/>
    <w:rsid w:val="00126C85"/>
    <w:rsid w:val="00127C03"/>
    <w:rsid w:val="001319E6"/>
    <w:rsid w:val="00131A1E"/>
    <w:rsid w:val="00131EE0"/>
    <w:rsid w:val="0013262C"/>
    <w:rsid w:val="00133D1A"/>
    <w:rsid w:val="001357E9"/>
    <w:rsid w:val="00140B1F"/>
    <w:rsid w:val="00141812"/>
    <w:rsid w:val="00143FFE"/>
    <w:rsid w:val="00144E5C"/>
    <w:rsid w:val="0014572D"/>
    <w:rsid w:val="001531EA"/>
    <w:rsid w:val="00155458"/>
    <w:rsid w:val="00155610"/>
    <w:rsid w:val="00156857"/>
    <w:rsid w:val="001572A7"/>
    <w:rsid w:val="00160345"/>
    <w:rsid w:val="00161B49"/>
    <w:rsid w:val="00162858"/>
    <w:rsid w:val="001636F6"/>
    <w:rsid w:val="00163AAA"/>
    <w:rsid w:val="00165D2C"/>
    <w:rsid w:val="001677F9"/>
    <w:rsid w:val="00167944"/>
    <w:rsid w:val="00170F4F"/>
    <w:rsid w:val="00172140"/>
    <w:rsid w:val="0017245D"/>
    <w:rsid w:val="00172A38"/>
    <w:rsid w:val="00176F30"/>
    <w:rsid w:val="00180ED5"/>
    <w:rsid w:val="00184B7E"/>
    <w:rsid w:val="00186FF8"/>
    <w:rsid w:val="00190A22"/>
    <w:rsid w:val="00190E03"/>
    <w:rsid w:val="001912CB"/>
    <w:rsid w:val="00194B60"/>
    <w:rsid w:val="001951C6"/>
    <w:rsid w:val="00196D48"/>
    <w:rsid w:val="00197E16"/>
    <w:rsid w:val="001A266A"/>
    <w:rsid w:val="001A316F"/>
    <w:rsid w:val="001A3BCE"/>
    <w:rsid w:val="001A3C52"/>
    <w:rsid w:val="001A6708"/>
    <w:rsid w:val="001B005B"/>
    <w:rsid w:val="001B07A3"/>
    <w:rsid w:val="001B28E1"/>
    <w:rsid w:val="001B2A8A"/>
    <w:rsid w:val="001B4533"/>
    <w:rsid w:val="001B7FE8"/>
    <w:rsid w:val="001C0609"/>
    <w:rsid w:val="001C1A7F"/>
    <w:rsid w:val="001C1F79"/>
    <w:rsid w:val="001C201A"/>
    <w:rsid w:val="001C2291"/>
    <w:rsid w:val="001C3187"/>
    <w:rsid w:val="001C360E"/>
    <w:rsid w:val="001C3FA5"/>
    <w:rsid w:val="001C5ED0"/>
    <w:rsid w:val="001C7A6C"/>
    <w:rsid w:val="001C7B51"/>
    <w:rsid w:val="001C7C3C"/>
    <w:rsid w:val="001D1BC7"/>
    <w:rsid w:val="001D26E3"/>
    <w:rsid w:val="001D2743"/>
    <w:rsid w:val="001D3AC8"/>
    <w:rsid w:val="001D4860"/>
    <w:rsid w:val="001D608A"/>
    <w:rsid w:val="001D655E"/>
    <w:rsid w:val="001D6749"/>
    <w:rsid w:val="001D70AF"/>
    <w:rsid w:val="001E0DAD"/>
    <w:rsid w:val="001E116A"/>
    <w:rsid w:val="001E1C59"/>
    <w:rsid w:val="001E2AAF"/>
    <w:rsid w:val="001E3031"/>
    <w:rsid w:val="001F0DF3"/>
    <w:rsid w:val="001F2B3C"/>
    <w:rsid w:val="001F3470"/>
    <w:rsid w:val="001F4DEA"/>
    <w:rsid w:val="001F5676"/>
    <w:rsid w:val="001F68E5"/>
    <w:rsid w:val="001F7DE1"/>
    <w:rsid w:val="00201D80"/>
    <w:rsid w:val="002054EA"/>
    <w:rsid w:val="00210439"/>
    <w:rsid w:val="00212AA1"/>
    <w:rsid w:val="00213232"/>
    <w:rsid w:val="00213FE5"/>
    <w:rsid w:val="002142E5"/>
    <w:rsid w:val="002225EA"/>
    <w:rsid w:val="00222DED"/>
    <w:rsid w:val="00223E38"/>
    <w:rsid w:val="002251DC"/>
    <w:rsid w:val="0022531E"/>
    <w:rsid w:val="00225353"/>
    <w:rsid w:val="00230F88"/>
    <w:rsid w:val="00231459"/>
    <w:rsid w:val="0023186D"/>
    <w:rsid w:val="002327E6"/>
    <w:rsid w:val="00232BF6"/>
    <w:rsid w:val="00233DE9"/>
    <w:rsid w:val="00235BFD"/>
    <w:rsid w:val="00236B1E"/>
    <w:rsid w:val="002400A4"/>
    <w:rsid w:val="00240C28"/>
    <w:rsid w:val="00242E59"/>
    <w:rsid w:val="002451B7"/>
    <w:rsid w:val="002467C7"/>
    <w:rsid w:val="00247061"/>
    <w:rsid w:val="002508AD"/>
    <w:rsid w:val="002532C9"/>
    <w:rsid w:val="00255BD3"/>
    <w:rsid w:val="00256038"/>
    <w:rsid w:val="002564AD"/>
    <w:rsid w:val="00257E29"/>
    <w:rsid w:val="00260535"/>
    <w:rsid w:val="00260D56"/>
    <w:rsid w:val="002610A3"/>
    <w:rsid w:val="0026261C"/>
    <w:rsid w:val="00263802"/>
    <w:rsid w:val="002643E0"/>
    <w:rsid w:val="00265FF4"/>
    <w:rsid w:val="00267363"/>
    <w:rsid w:val="0026754E"/>
    <w:rsid w:val="00270277"/>
    <w:rsid w:val="00272F1C"/>
    <w:rsid w:val="00274332"/>
    <w:rsid w:val="00274794"/>
    <w:rsid w:val="00274C07"/>
    <w:rsid w:val="002758CD"/>
    <w:rsid w:val="0027647B"/>
    <w:rsid w:val="002770A0"/>
    <w:rsid w:val="0027768F"/>
    <w:rsid w:val="00280F21"/>
    <w:rsid w:val="00282CB9"/>
    <w:rsid w:val="00282CBD"/>
    <w:rsid w:val="00286D8D"/>
    <w:rsid w:val="00287B39"/>
    <w:rsid w:val="002911E8"/>
    <w:rsid w:val="00292B50"/>
    <w:rsid w:val="002932A2"/>
    <w:rsid w:val="0029332F"/>
    <w:rsid w:val="00294969"/>
    <w:rsid w:val="002950A7"/>
    <w:rsid w:val="002A0849"/>
    <w:rsid w:val="002A0C09"/>
    <w:rsid w:val="002A40FD"/>
    <w:rsid w:val="002A4E51"/>
    <w:rsid w:val="002A5BC9"/>
    <w:rsid w:val="002A5C2D"/>
    <w:rsid w:val="002A64F1"/>
    <w:rsid w:val="002B11A1"/>
    <w:rsid w:val="002B2D16"/>
    <w:rsid w:val="002B2D60"/>
    <w:rsid w:val="002B58A8"/>
    <w:rsid w:val="002B6795"/>
    <w:rsid w:val="002C05E8"/>
    <w:rsid w:val="002C0B66"/>
    <w:rsid w:val="002C146D"/>
    <w:rsid w:val="002C3451"/>
    <w:rsid w:val="002C46E0"/>
    <w:rsid w:val="002C4C3C"/>
    <w:rsid w:val="002C4C78"/>
    <w:rsid w:val="002C4E55"/>
    <w:rsid w:val="002C50C0"/>
    <w:rsid w:val="002C709A"/>
    <w:rsid w:val="002C72B8"/>
    <w:rsid w:val="002C753C"/>
    <w:rsid w:val="002D0E9E"/>
    <w:rsid w:val="002D10AB"/>
    <w:rsid w:val="002D16EF"/>
    <w:rsid w:val="002D18DC"/>
    <w:rsid w:val="002D2AED"/>
    <w:rsid w:val="002D371D"/>
    <w:rsid w:val="002D3CF6"/>
    <w:rsid w:val="002D4444"/>
    <w:rsid w:val="002D49C9"/>
    <w:rsid w:val="002D4C85"/>
    <w:rsid w:val="002E00F6"/>
    <w:rsid w:val="002E0FC9"/>
    <w:rsid w:val="002E1994"/>
    <w:rsid w:val="002E733C"/>
    <w:rsid w:val="002F11EC"/>
    <w:rsid w:val="002F145E"/>
    <w:rsid w:val="002F1AA5"/>
    <w:rsid w:val="002F78E6"/>
    <w:rsid w:val="002F7AFC"/>
    <w:rsid w:val="002F7FE5"/>
    <w:rsid w:val="0030094E"/>
    <w:rsid w:val="00300B61"/>
    <w:rsid w:val="00300FD5"/>
    <w:rsid w:val="00301142"/>
    <w:rsid w:val="003015D5"/>
    <w:rsid w:val="00301C51"/>
    <w:rsid w:val="003021A3"/>
    <w:rsid w:val="00302E7A"/>
    <w:rsid w:val="00303747"/>
    <w:rsid w:val="003037DD"/>
    <w:rsid w:val="00305164"/>
    <w:rsid w:val="003053F3"/>
    <w:rsid w:val="0030651B"/>
    <w:rsid w:val="003066C4"/>
    <w:rsid w:val="00306BE0"/>
    <w:rsid w:val="003110CD"/>
    <w:rsid w:val="00312B01"/>
    <w:rsid w:val="00312BB3"/>
    <w:rsid w:val="00312DC5"/>
    <w:rsid w:val="003137C1"/>
    <w:rsid w:val="00314C2E"/>
    <w:rsid w:val="003162D5"/>
    <w:rsid w:val="00317355"/>
    <w:rsid w:val="00323FFB"/>
    <w:rsid w:val="00324459"/>
    <w:rsid w:val="00324984"/>
    <w:rsid w:val="00324A1A"/>
    <w:rsid w:val="00325E98"/>
    <w:rsid w:val="003261B1"/>
    <w:rsid w:val="003306C0"/>
    <w:rsid w:val="00330B29"/>
    <w:rsid w:val="0033106A"/>
    <w:rsid w:val="003325CC"/>
    <w:rsid w:val="0033264C"/>
    <w:rsid w:val="0033368F"/>
    <w:rsid w:val="00334264"/>
    <w:rsid w:val="00334291"/>
    <w:rsid w:val="00335BE3"/>
    <w:rsid w:val="003437DE"/>
    <w:rsid w:val="003447D0"/>
    <w:rsid w:val="00346F7A"/>
    <w:rsid w:val="0034774A"/>
    <w:rsid w:val="00347935"/>
    <w:rsid w:val="0035175B"/>
    <w:rsid w:val="003518E5"/>
    <w:rsid w:val="00352596"/>
    <w:rsid w:val="00353EEB"/>
    <w:rsid w:val="00356E38"/>
    <w:rsid w:val="0036129F"/>
    <w:rsid w:val="00364251"/>
    <w:rsid w:val="00364987"/>
    <w:rsid w:val="00365871"/>
    <w:rsid w:val="00366EDA"/>
    <w:rsid w:val="00370856"/>
    <w:rsid w:val="003708CE"/>
    <w:rsid w:val="0037110A"/>
    <w:rsid w:val="003727D8"/>
    <w:rsid w:val="00372B02"/>
    <w:rsid w:val="00372C52"/>
    <w:rsid w:val="00374802"/>
    <w:rsid w:val="00376EBC"/>
    <w:rsid w:val="00381610"/>
    <w:rsid w:val="00383741"/>
    <w:rsid w:val="00390CD2"/>
    <w:rsid w:val="0039227A"/>
    <w:rsid w:val="00392F1B"/>
    <w:rsid w:val="0039322B"/>
    <w:rsid w:val="00393AA2"/>
    <w:rsid w:val="003948BD"/>
    <w:rsid w:val="003962DB"/>
    <w:rsid w:val="003A1040"/>
    <w:rsid w:val="003A1598"/>
    <w:rsid w:val="003A1844"/>
    <w:rsid w:val="003A2A48"/>
    <w:rsid w:val="003A3A82"/>
    <w:rsid w:val="003A3DFE"/>
    <w:rsid w:val="003A5628"/>
    <w:rsid w:val="003A564E"/>
    <w:rsid w:val="003A7B56"/>
    <w:rsid w:val="003B002D"/>
    <w:rsid w:val="003B3883"/>
    <w:rsid w:val="003B3B14"/>
    <w:rsid w:val="003B4041"/>
    <w:rsid w:val="003B43F0"/>
    <w:rsid w:val="003B5F08"/>
    <w:rsid w:val="003B5FFE"/>
    <w:rsid w:val="003B7041"/>
    <w:rsid w:val="003C0749"/>
    <w:rsid w:val="003C247A"/>
    <w:rsid w:val="003C3D12"/>
    <w:rsid w:val="003C589D"/>
    <w:rsid w:val="003C599A"/>
    <w:rsid w:val="003C65F9"/>
    <w:rsid w:val="003D0F32"/>
    <w:rsid w:val="003D28E5"/>
    <w:rsid w:val="003D5D01"/>
    <w:rsid w:val="003D6060"/>
    <w:rsid w:val="003D6857"/>
    <w:rsid w:val="003E0AA8"/>
    <w:rsid w:val="003E1056"/>
    <w:rsid w:val="003E1B52"/>
    <w:rsid w:val="003E23D0"/>
    <w:rsid w:val="003E4BF1"/>
    <w:rsid w:val="003E4DE6"/>
    <w:rsid w:val="003E4DE8"/>
    <w:rsid w:val="003E5FB9"/>
    <w:rsid w:val="003E7866"/>
    <w:rsid w:val="003F0582"/>
    <w:rsid w:val="003F1042"/>
    <w:rsid w:val="003F1BE8"/>
    <w:rsid w:val="003F209D"/>
    <w:rsid w:val="003F3177"/>
    <w:rsid w:val="003F3E43"/>
    <w:rsid w:val="003F4E28"/>
    <w:rsid w:val="003F548B"/>
    <w:rsid w:val="003F67EE"/>
    <w:rsid w:val="00401377"/>
    <w:rsid w:val="0040137E"/>
    <w:rsid w:val="0040148F"/>
    <w:rsid w:val="004017E3"/>
    <w:rsid w:val="004024B7"/>
    <w:rsid w:val="004038C5"/>
    <w:rsid w:val="00405E1F"/>
    <w:rsid w:val="004077BD"/>
    <w:rsid w:val="00407DE8"/>
    <w:rsid w:val="00410370"/>
    <w:rsid w:val="004116BE"/>
    <w:rsid w:val="00414728"/>
    <w:rsid w:val="00416453"/>
    <w:rsid w:val="004168F5"/>
    <w:rsid w:val="004169CF"/>
    <w:rsid w:val="00416A21"/>
    <w:rsid w:val="004204C1"/>
    <w:rsid w:val="0042171A"/>
    <w:rsid w:val="004237BE"/>
    <w:rsid w:val="00423903"/>
    <w:rsid w:val="004246D3"/>
    <w:rsid w:val="0042711C"/>
    <w:rsid w:val="004273C5"/>
    <w:rsid w:val="00430936"/>
    <w:rsid w:val="00430CFF"/>
    <w:rsid w:val="004314FE"/>
    <w:rsid w:val="00432593"/>
    <w:rsid w:val="004329CE"/>
    <w:rsid w:val="00432C8A"/>
    <w:rsid w:val="00433105"/>
    <w:rsid w:val="004356CB"/>
    <w:rsid w:val="00440110"/>
    <w:rsid w:val="00441440"/>
    <w:rsid w:val="00443AF6"/>
    <w:rsid w:val="004444FA"/>
    <w:rsid w:val="004445E1"/>
    <w:rsid w:val="004450EB"/>
    <w:rsid w:val="004460F8"/>
    <w:rsid w:val="004506D6"/>
    <w:rsid w:val="00451557"/>
    <w:rsid w:val="004517F6"/>
    <w:rsid w:val="0045220C"/>
    <w:rsid w:val="004556A3"/>
    <w:rsid w:val="00456139"/>
    <w:rsid w:val="00457098"/>
    <w:rsid w:val="00460C34"/>
    <w:rsid w:val="00460D98"/>
    <w:rsid w:val="0046215A"/>
    <w:rsid w:val="0046263F"/>
    <w:rsid w:val="00463B2E"/>
    <w:rsid w:val="00463DB7"/>
    <w:rsid w:val="0046601D"/>
    <w:rsid w:val="00466843"/>
    <w:rsid w:val="004668EF"/>
    <w:rsid w:val="00470303"/>
    <w:rsid w:val="004718C7"/>
    <w:rsid w:val="0048111C"/>
    <w:rsid w:val="004831A4"/>
    <w:rsid w:val="00483BB9"/>
    <w:rsid w:val="00483CDF"/>
    <w:rsid w:val="004843B0"/>
    <w:rsid w:val="00484D1D"/>
    <w:rsid w:val="00485D81"/>
    <w:rsid w:val="00485EDF"/>
    <w:rsid w:val="00486770"/>
    <w:rsid w:val="004877E8"/>
    <w:rsid w:val="00487C65"/>
    <w:rsid w:val="00490370"/>
    <w:rsid w:val="00490467"/>
    <w:rsid w:val="004913A4"/>
    <w:rsid w:val="00492E53"/>
    <w:rsid w:val="00493248"/>
    <w:rsid w:val="00494092"/>
    <w:rsid w:val="00495DC4"/>
    <w:rsid w:val="00496163"/>
    <w:rsid w:val="00496674"/>
    <w:rsid w:val="0049719B"/>
    <w:rsid w:val="00497A28"/>
    <w:rsid w:val="00497D1C"/>
    <w:rsid w:val="004A27FA"/>
    <w:rsid w:val="004A2931"/>
    <w:rsid w:val="004A2F44"/>
    <w:rsid w:val="004A440B"/>
    <w:rsid w:val="004A452E"/>
    <w:rsid w:val="004A6753"/>
    <w:rsid w:val="004A72BC"/>
    <w:rsid w:val="004A730F"/>
    <w:rsid w:val="004A7425"/>
    <w:rsid w:val="004A76CD"/>
    <w:rsid w:val="004A7CA8"/>
    <w:rsid w:val="004B0921"/>
    <w:rsid w:val="004B1B4E"/>
    <w:rsid w:val="004B2827"/>
    <w:rsid w:val="004B2AF5"/>
    <w:rsid w:val="004B3670"/>
    <w:rsid w:val="004B4E31"/>
    <w:rsid w:val="004B5281"/>
    <w:rsid w:val="004C158A"/>
    <w:rsid w:val="004C2115"/>
    <w:rsid w:val="004C631C"/>
    <w:rsid w:val="004C71D4"/>
    <w:rsid w:val="004D4AC9"/>
    <w:rsid w:val="004D4EB9"/>
    <w:rsid w:val="004D4ECD"/>
    <w:rsid w:val="004D61CA"/>
    <w:rsid w:val="004D62A0"/>
    <w:rsid w:val="004D7BED"/>
    <w:rsid w:val="004E0FED"/>
    <w:rsid w:val="004E145B"/>
    <w:rsid w:val="004E1E52"/>
    <w:rsid w:val="004E1FD3"/>
    <w:rsid w:val="004E24E1"/>
    <w:rsid w:val="004E3B8A"/>
    <w:rsid w:val="004E3E08"/>
    <w:rsid w:val="004E476B"/>
    <w:rsid w:val="004E4BDF"/>
    <w:rsid w:val="004E554E"/>
    <w:rsid w:val="004E5A16"/>
    <w:rsid w:val="004E5DCB"/>
    <w:rsid w:val="004E721C"/>
    <w:rsid w:val="004F1F91"/>
    <w:rsid w:val="004F2C57"/>
    <w:rsid w:val="004F3F71"/>
    <w:rsid w:val="004F44B4"/>
    <w:rsid w:val="004F4B03"/>
    <w:rsid w:val="004F51AA"/>
    <w:rsid w:val="004F73A2"/>
    <w:rsid w:val="005004AA"/>
    <w:rsid w:val="00500E2E"/>
    <w:rsid w:val="00501DBA"/>
    <w:rsid w:val="0050225A"/>
    <w:rsid w:val="00502B89"/>
    <w:rsid w:val="00504C76"/>
    <w:rsid w:val="0050502F"/>
    <w:rsid w:val="00505A42"/>
    <w:rsid w:val="005074DB"/>
    <w:rsid w:val="00511AFE"/>
    <w:rsid w:val="00514142"/>
    <w:rsid w:val="005148EF"/>
    <w:rsid w:val="00515285"/>
    <w:rsid w:val="00515B46"/>
    <w:rsid w:val="00516616"/>
    <w:rsid w:val="00516E1B"/>
    <w:rsid w:val="00517F50"/>
    <w:rsid w:val="00521872"/>
    <w:rsid w:val="00524A9B"/>
    <w:rsid w:val="005257EA"/>
    <w:rsid w:val="00526809"/>
    <w:rsid w:val="00527AB2"/>
    <w:rsid w:val="00530BCC"/>
    <w:rsid w:val="005329F4"/>
    <w:rsid w:val="00534132"/>
    <w:rsid w:val="005402B8"/>
    <w:rsid w:val="005414C5"/>
    <w:rsid w:val="005438E3"/>
    <w:rsid w:val="00544E46"/>
    <w:rsid w:val="00544F5B"/>
    <w:rsid w:val="00546E4A"/>
    <w:rsid w:val="0055012F"/>
    <w:rsid w:val="00554972"/>
    <w:rsid w:val="00554F7D"/>
    <w:rsid w:val="005556D9"/>
    <w:rsid w:val="00556140"/>
    <w:rsid w:val="00557ECF"/>
    <w:rsid w:val="00560DF0"/>
    <w:rsid w:val="005613D7"/>
    <w:rsid w:val="00561405"/>
    <w:rsid w:val="00562AF5"/>
    <w:rsid w:val="00562FF0"/>
    <w:rsid w:val="00565CEE"/>
    <w:rsid w:val="00567184"/>
    <w:rsid w:val="00570CE5"/>
    <w:rsid w:val="00572733"/>
    <w:rsid w:val="005731E9"/>
    <w:rsid w:val="0057322D"/>
    <w:rsid w:val="00574F67"/>
    <w:rsid w:val="005763D6"/>
    <w:rsid w:val="0057661F"/>
    <w:rsid w:val="0057673B"/>
    <w:rsid w:val="0057705C"/>
    <w:rsid w:val="0058177D"/>
    <w:rsid w:val="00581AFE"/>
    <w:rsid w:val="00583D81"/>
    <w:rsid w:val="0058451C"/>
    <w:rsid w:val="0058524A"/>
    <w:rsid w:val="0058597F"/>
    <w:rsid w:val="00585E1C"/>
    <w:rsid w:val="00587587"/>
    <w:rsid w:val="005907A2"/>
    <w:rsid w:val="005917DE"/>
    <w:rsid w:val="00592247"/>
    <w:rsid w:val="00592981"/>
    <w:rsid w:val="00592C5F"/>
    <w:rsid w:val="00593302"/>
    <w:rsid w:val="00593C8D"/>
    <w:rsid w:val="00594C7B"/>
    <w:rsid w:val="005953EC"/>
    <w:rsid w:val="005960D7"/>
    <w:rsid w:val="00596A17"/>
    <w:rsid w:val="00596A32"/>
    <w:rsid w:val="005A0628"/>
    <w:rsid w:val="005A077D"/>
    <w:rsid w:val="005A0C24"/>
    <w:rsid w:val="005A20B7"/>
    <w:rsid w:val="005A51C6"/>
    <w:rsid w:val="005A5D54"/>
    <w:rsid w:val="005A657E"/>
    <w:rsid w:val="005B21C6"/>
    <w:rsid w:val="005B23D2"/>
    <w:rsid w:val="005B2E1C"/>
    <w:rsid w:val="005B53E2"/>
    <w:rsid w:val="005B7900"/>
    <w:rsid w:val="005C0120"/>
    <w:rsid w:val="005C0F4D"/>
    <w:rsid w:val="005C287B"/>
    <w:rsid w:val="005C2CF5"/>
    <w:rsid w:val="005C2DB6"/>
    <w:rsid w:val="005C4F4D"/>
    <w:rsid w:val="005C5A28"/>
    <w:rsid w:val="005C64F2"/>
    <w:rsid w:val="005C742A"/>
    <w:rsid w:val="005D2DED"/>
    <w:rsid w:val="005D3F00"/>
    <w:rsid w:val="005D4793"/>
    <w:rsid w:val="005D6E41"/>
    <w:rsid w:val="005E0314"/>
    <w:rsid w:val="005E1CA1"/>
    <w:rsid w:val="005E36AF"/>
    <w:rsid w:val="005E41E3"/>
    <w:rsid w:val="005E4787"/>
    <w:rsid w:val="005E4AFD"/>
    <w:rsid w:val="005E724D"/>
    <w:rsid w:val="005E75A0"/>
    <w:rsid w:val="005E7695"/>
    <w:rsid w:val="005E7B6E"/>
    <w:rsid w:val="005F180A"/>
    <w:rsid w:val="005F1ACE"/>
    <w:rsid w:val="005F3641"/>
    <w:rsid w:val="005F3AB5"/>
    <w:rsid w:val="005F3E62"/>
    <w:rsid w:val="005F5128"/>
    <w:rsid w:val="00603671"/>
    <w:rsid w:val="00604C17"/>
    <w:rsid w:val="00604DD9"/>
    <w:rsid w:val="00606072"/>
    <w:rsid w:val="0060626E"/>
    <w:rsid w:val="00607882"/>
    <w:rsid w:val="00612E52"/>
    <w:rsid w:val="006142C6"/>
    <w:rsid w:val="00614B66"/>
    <w:rsid w:val="0061578D"/>
    <w:rsid w:val="00615B12"/>
    <w:rsid w:val="00617721"/>
    <w:rsid w:val="00617737"/>
    <w:rsid w:val="00617C60"/>
    <w:rsid w:val="0062065D"/>
    <w:rsid w:val="00620E4C"/>
    <w:rsid w:val="00621DCA"/>
    <w:rsid w:val="006231FA"/>
    <w:rsid w:val="0062416E"/>
    <w:rsid w:val="00631734"/>
    <w:rsid w:val="00635185"/>
    <w:rsid w:val="00635CC7"/>
    <w:rsid w:val="00635F3A"/>
    <w:rsid w:val="0063681E"/>
    <w:rsid w:val="006409CA"/>
    <w:rsid w:val="00641810"/>
    <w:rsid w:val="00643592"/>
    <w:rsid w:val="00644856"/>
    <w:rsid w:val="00645F24"/>
    <w:rsid w:val="00646896"/>
    <w:rsid w:val="006504FC"/>
    <w:rsid w:val="006507BE"/>
    <w:rsid w:val="00650AAB"/>
    <w:rsid w:val="00652481"/>
    <w:rsid w:val="00660EED"/>
    <w:rsid w:val="00660F70"/>
    <w:rsid w:val="006625F7"/>
    <w:rsid w:val="00662968"/>
    <w:rsid w:val="00666A51"/>
    <w:rsid w:val="00667A4A"/>
    <w:rsid w:val="00667ECC"/>
    <w:rsid w:val="00672B2A"/>
    <w:rsid w:val="00674650"/>
    <w:rsid w:val="00675191"/>
    <w:rsid w:val="00675A61"/>
    <w:rsid w:val="00677702"/>
    <w:rsid w:val="0068033A"/>
    <w:rsid w:val="00680EC1"/>
    <w:rsid w:val="00682154"/>
    <w:rsid w:val="006829E4"/>
    <w:rsid w:val="0068312D"/>
    <w:rsid w:val="00683509"/>
    <w:rsid w:val="006843BC"/>
    <w:rsid w:val="00685268"/>
    <w:rsid w:val="00685478"/>
    <w:rsid w:val="00686DBA"/>
    <w:rsid w:val="0068768B"/>
    <w:rsid w:val="00687826"/>
    <w:rsid w:val="0069116F"/>
    <w:rsid w:val="00693376"/>
    <w:rsid w:val="006966DC"/>
    <w:rsid w:val="0069730C"/>
    <w:rsid w:val="006A0554"/>
    <w:rsid w:val="006A1DDD"/>
    <w:rsid w:val="006A267A"/>
    <w:rsid w:val="006A2AE1"/>
    <w:rsid w:val="006A2DE4"/>
    <w:rsid w:val="006A353A"/>
    <w:rsid w:val="006A3F0E"/>
    <w:rsid w:val="006A4B9F"/>
    <w:rsid w:val="006A6BAF"/>
    <w:rsid w:val="006A7E03"/>
    <w:rsid w:val="006B0AB0"/>
    <w:rsid w:val="006B1F1F"/>
    <w:rsid w:val="006B217E"/>
    <w:rsid w:val="006B221D"/>
    <w:rsid w:val="006B2483"/>
    <w:rsid w:val="006B282B"/>
    <w:rsid w:val="006B30CB"/>
    <w:rsid w:val="006B367A"/>
    <w:rsid w:val="006B4741"/>
    <w:rsid w:val="006B5111"/>
    <w:rsid w:val="006B5CD4"/>
    <w:rsid w:val="006B6331"/>
    <w:rsid w:val="006B681D"/>
    <w:rsid w:val="006B74D7"/>
    <w:rsid w:val="006C12D9"/>
    <w:rsid w:val="006C41DB"/>
    <w:rsid w:val="006C7272"/>
    <w:rsid w:val="006C765C"/>
    <w:rsid w:val="006C7D00"/>
    <w:rsid w:val="006C7D0C"/>
    <w:rsid w:val="006D0B29"/>
    <w:rsid w:val="006D0CE3"/>
    <w:rsid w:val="006D229F"/>
    <w:rsid w:val="006D397C"/>
    <w:rsid w:val="006D3BF6"/>
    <w:rsid w:val="006D40AE"/>
    <w:rsid w:val="006D41F6"/>
    <w:rsid w:val="006D45FF"/>
    <w:rsid w:val="006D6BEE"/>
    <w:rsid w:val="006D6F68"/>
    <w:rsid w:val="006E19B9"/>
    <w:rsid w:val="006E2173"/>
    <w:rsid w:val="006E2DBB"/>
    <w:rsid w:val="006E2E00"/>
    <w:rsid w:val="006E2EB7"/>
    <w:rsid w:val="006E305F"/>
    <w:rsid w:val="006E74A5"/>
    <w:rsid w:val="006E75A5"/>
    <w:rsid w:val="006E76D5"/>
    <w:rsid w:val="006F12A2"/>
    <w:rsid w:val="006F51F0"/>
    <w:rsid w:val="006F5BBE"/>
    <w:rsid w:val="006F5BD5"/>
    <w:rsid w:val="006F6B54"/>
    <w:rsid w:val="006F6E01"/>
    <w:rsid w:val="007006CD"/>
    <w:rsid w:val="00701313"/>
    <w:rsid w:val="00701C01"/>
    <w:rsid w:val="00702DC9"/>
    <w:rsid w:val="007030B8"/>
    <w:rsid w:val="00711283"/>
    <w:rsid w:val="007116AA"/>
    <w:rsid w:val="007117F9"/>
    <w:rsid w:val="00713363"/>
    <w:rsid w:val="0071398C"/>
    <w:rsid w:val="0071558B"/>
    <w:rsid w:val="00715FB3"/>
    <w:rsid w:val="0071693B"/>
    <w:rsid w:val="007212D7"/>
    <w:rsid w:val="0072149E"/>
    <w:rsid w:val="00721766"/>
    <w:rsid w:val="0072477E"/>
    <w:rsid w:val="00724D95"/>
    <w:rsid w:val="00725A8E"/>
    <w:rsid w:val="007260BD"/>
    <w:rsid w:val="007261F6"/>
    <w:rsid w:val="00726475"/>
    <w:rsid w:val="00726977"/>
    <w:rsid w:val="0072778F"/>
    <w:rsid w:val="00727FAF"/>
    <w:rsid w:val="00730CE8"/>
    <w:rsid w:val="007339EC"/>
    <w:rsid w:val="0073483D"/>
    <w:rsid w:val="00737058"/>
    <w:rsid w:val="007377AD"/>
    <w:rsid w:val="00740C32"/>
    <w:rsid w:val="007426A9"/>
    <w:rsid w:val="0074348F"/>
    <w:rsid w:val="00743617"/>
    <w:rsid w:val="007439A3"/>
    <w:rsid w:val="007454A2"/>
    <w:rsid w:val="00745A42"/>
    <w:rsid w:val="00746CEB"/>
    <w:rsid w:val="00746E58"/>
    <w:rsid w:val="0074722F"/>
    <w:rsid w:val="00747A7C"/>
    <w:rsid w:val="00750E4A"/>
    <w:rsid w:val="007513FA"/>
    <w:rsid w:val="00757ACD"/>
    <w:rsid w:val="00760A4F"/>
    <w:rsid w:val="007622B3"/>
    <w:rsid w:val="0076246D"/>
    <w:rsid w:val="007635D9"/>
    <w:rsid w:val="0076371E"/>
    <w:rsid w:val="00764019"/>
    <w:rsid w:val="007642EC"/>
    <w:rsid w:val="0076452E"/>
    <w:rsid w:val="00765027"/>
    <w:rsid w:val="00766767"/>
    <w:rsid w:val="00767BA1"/>
    <w:rsid w:val="00767F14"/>
    <w:rsid w:val="007707A6"/>
    <w:rsid w:val="00771533"/>
    <w:rsid w:val="007726C5"/>
    <w:rsid w:val="00774199"/>
    <w:rsid w:val="00774FB3"/>
    <w:rsid w:val="007768BB"/>
    <w:rsid w:val="00777C6E"/>
    <w:rsid w:val="00780C20"/>
    <w:rsid w:val="007811E0"/>
    <w:rsid w:val="007814F6"/>
    <w:rsid w:val="00782337"/>
    <w:rsid w:val="00782551"/>
    <w:rsid w:val="0078392E"/>
    <w:rsid w:val="00783F24"/>
    <w:rsid w:val="00784E9B"/>
    <w:rsid w:val="0078674E"/>
    <w:rsid w:val="00786EC3"/>
    <w:rsid w:val="007879E5"/>
    <w:rsid w:val="00787B42"/>
    <w:rsid w:val="0079259F"/>
    <w:rsid w:val="007932F7"/>
    <w:rsid w:val="007946DF"/>
    <w:rsid w:val="00795455"/>
    <w:rsid w:val="0079607F"/>
    <w:rsid w:val="00796DED"/>
    <w:rsid w:val="00796EC2"/>
    <w:rsid w:val="00797352"/>
    <w:rsid w:val="007976E6"/>
    <w:rsid w:val="007A0675"/>
    <w:rsid w:val="007A3DA6"/>
    <w:rsid w:val="007B0519"/>
    <w:rsid w:val="007B2067"/>
    <w:rsid w:val="007B3671"/>
    <w:rsid w:val="007B562C"/>
    <w:rsid w:val="007B5C02"/>
    <w:rsid w:val="007B685A"/>
    <w:rsid w:val="007B751D"/>
    <w:rsid w:val="007B7F16"/>
    <w:rsid w:val="007C0246"/>
    <w:rsid w:val="007C16FC"/>
    <w:rsid w:val="007C1FA2"/>
    <w:rsid w:val="007C5587"/>
    <w:rsid w:val="007C71D8"/>
    <w:rsid w:val="007D016E"/>
    <w:rsid w:val="007D02DB"/>
    <w:rsid w:val="007D45DC"/>
    <w:rsid w:val="007D56C3"/>
    <w:rsid w:val="007E0E5C"/>
    <w:rsid w:val="007E2790"/>
    <w:rsid w:val="007E285A"/>
    <w:rsid w:val="007E395A"/>
    <w:rsid w:val="007E5339"/>
    <w:rsid w:val="007F0AAD"/>
    <w:rsid w:val="007F4098"/>
    <w:rsid w:val="007F6F53"/>
    <w:rsid w:val="00801BE9"/>
    <w:rsid w:val="00802E80"/>
    <w:rsid w:val="00803154"/>
    <w:rsid w:val="00803D56"/>
    <w:rsid w:val="00803E71"/>
    <w:rsid w:val="00804763"/>
    <w:rsid w:val="00804CC1"/>
    <w:rsid w:val="0080789A"/>
    <w:rsid w:val="00810066"/>
    <w:rsid w:val="00811389"/>
    <w:rsid w:val="0081186D"/>
    <w:rsid w:val="00812072"/>
    <w:rsid w:val="00812690"/>
    <w:rsid w:val="00813B81"/>
    <w:rsid w:val="00814022"/>
    <w:rsid w:val="00814C4A"/>
    <w:rsid w:val="008162E9"/>
    <w:rsid w:val="00816450"/>
    <w:rsid w:val="00816A62"/>
    <w:rsid w:val="00816B4A"/>
    <w:rsid w:val="00817C33"/>
    <w:rsid w:val="008205D8"/>
    <w:rsid w:val="0082192E"/>
    <w:rsid w:val="00822B17"/>
    <w:rsid w:val="00822E14"/>
    <w:rsid w:val="00826A8E"/>
    <w:rsid w:val="008279B4"/>
    <w:rsid w:val="00831956"/>
    <w:rsid w:val="0083467B"/>
    <w:rsid w:val="008346BF"/>
    <w:rsid w:val="00834A63"/>
    <w:rsid w:val="00840741"/>
    <w:rsid w:val="00841CE0"/>
    <w:rsid w:val="00842F24"/>
    <w:rsid w:val="008434BF"/>
    <w:rsid w:val="00846796"/>
    <w:rsid w:val="00846CE6"/>
    <w:rsid w:val="008475AA"/>
    <w:rsid w:val="008478C7"/>
    <w:rsid w:val="0085070C"/>
    <w:rsid w:val="008526B5"/>
    <w:rsid w:val="00856DBD"/>
    <w:rsid w:val="00860DDF"/>
    <w:rsid w:val="00862DC8"/>
    <w:rsid w:val="00864C6B"/>
    <w:rsid w:val="00867D93"/>
    <w:rsid w:val="008703B8"/>
    <w:rsid w:val="00870446"/>
    <w:rsid w:val="0087232A"/>
    <w:rsid w:val="0087309F"/>
    <w:rsid w:val="008760AC"/>
    <w:rsid w:val="0087727C"/>
    <w:rsid w:val="00877A32"/>
    <w:rsid w:val="00881667"/>
    <w:rsid w:val="00881DBB"/>
    <w:rsid w:val="00881E83"/>
    <w:rsid w:val="008855CA"/>
    <w:rsid w:val="00887536"/>
    <w:rsid w:val="00887661"/>
    <w:rsid w:val="00887DB3"/>
    <w:rsid w:val="00890152"/>
    <w:rsid w:val="00890C41"/>
    <w:rsid w:val="00891A3B"/>
    <w:rsid w:val="00892DC6"/>
    <w:rsid w:val="00894413"/>
    <w:rsid w:val="00895423"/>
    <w:rsid w:val="00895BEA"/>
    <w:rsid w:val="00896049"/>
    <w:rsid w:val="008A36C9"/>
    <w:rsid w:val="008A42CE"/>
    <w:rsid w:val="008A53DB"/>
    <w:rsid w:val="008A6D07"/>
    <w:rsid w:val="008B3C44"/>
    <w:rsid w:val="008B43F4"/>
    <w:rsid w:val="008B4ECE"/>
    <w:rsid w:val="008C090A"/>
    <w:rsid w:val="008C0B33"/>
    <w:rsid w:val="008C2259"/>
    <w:rsid w:val="008C260E"/>
    <w:rsid w:val="008C2944"/>
    <w:rsid w:val="008C2CF9"/>
    <w:rsid w:val="008C360D"/>
    <w:rsid w:val="008C40E9"/>
    <w:rsid w:val="008C49BD"/>
    <w:rsid w:val="008C4A6F"/>
    <w:rsid w:val="008C4AAA"/>
    <w:rsid w:val="008C5F96"/>
    <w:rsid w:val="008C6D03"/>
    <w:rsid w:val="008C700B"/>
    <w:rsid w:val="008C76E4"/>
    <w:rsid w:val="008D0035"/>
    <w:rsid w:val="008D027C"/>
    <w:rsid w:val="008D1658"/>
    <w:rsid w:val="008D26D8"/>
    <w:rsid w:val="008D3008"/>
    <w:rsid w:val="008D34A8"/>
    <w:rsid w:val="008D3F06"/>
    <w:rsid w:val="008D52DA"/>
    <w:rsid w:val="008D68F1"/>
    <w:rsid w:val="008D70CB"/>
    <w:rsid w:val="008D7B04"/>
    <w:rsid w:val="008E0F94"/>
    <w:rsid w:val="008E10F9"/>
    <w:rsid w:val="008E31E1"/>
    <w:rsid w:val="008E3314"/>
    <w:rsid w:val="008E3B0B"/>
    <w:rsid w:val="008E3EE6"/>
    <w:rsid w:val="008E697D"/>
    <w:rsid w:val="008E72DB"/>
    <w:rsid w:val="008E7FCC"/>
    <w:rsid w:val="008F00A1"/>
    <w:rsid w:val="008F06F7"/>
    <w:rsid w:val="008F188C"/>
    <w:rsid w:val="008F28CD"/>
    <w:rsid w:val="008F40D5"/>
    <w:rsid w:val="008F5B69"/>
    <w:rsid w:val="008F70F1"/>
    <w:rsid w:val="0090182C"/>
    <w:rsid w:val="00902393"/>
    <w:rsid w:val="0090475C"/>
    <w:rsid w:val="00905067"/>
    <w:rsid w:val="00905170"/>
    <w:rsid w:val="0091172A"/>
    <w:rsid w:val="00912DC1"/>
    <w:rsid w:val="009151C0"/>
    <w:rsid w:val="0091564A"/>
    <w:rsid w:val="00915C27"/>
    <w:rsid w:val="009174CA"/>
    <w:rsid w:val="009175A7"/>
    <w:rsid w:val="00917761"/>
    <w:rsid w:val="00917BB0"/>
    <w:rsid w:val="00921721"/>
    <w:rsid w:val="009218DF"/>
    <w:rsid w:val="009223C9"/>
    <w:rsid w:val="00922827"/>
    <w:rsid w:val="009239DB"/>
    <w:rsid w:val="00923B61"/>
    <w:rsid w:val="00925978"/>
    <w:rsid w:val="00925A3A"/>
    <w:rsid w:val="00925BC8"/>
    <w:rsid w:val="0092600E"/>
    <w:rsid w:val="00931E5F"/>
    <w:rsid w:val="009327EE"/>
    <w:rsid w:val="009328CC"/>
    <w:rsid w:val="00932BE7"/>
    <w:rsid w:val="00933FCF"/>
    <w:rsid w:val="009341D5"/>
    <w:rsid w:val="00934C39"/>
    <w:rsid w:val="00934DDE"/>
    <w:rsid w:val="00945070"/>
    <w:rsid w:val="00945672"/>
    <w:rsid w:val="00945A60"/>
    <w:rsid w:val="00951621"/>
    <w:rsid w:val="00953A9E"/>
    <w:rsid w:val="009540CF"/>
    <w:rsid w:val="009547AF"/>
    <w:rsid w:val="009608B5"/>
    <w:rsid w:val="00960947"/>
    <w:rsid w:val="0096259C"/>
    <w:rsid w:val="00962F52"/>
    <w:rsid w:val="009640A5"/>
    <w:rsid w:val="009642AC"/>
    <w:rsid w:val="00964F78"/>
    <w:rsid w:val="009655C2"/>
    <w:rsid w:val="00965FE0"/>
    <w:rsid w:val="00967827"/>
    <w:rsid w:val="009708D8"/>
    <w:rsid w:val="00971385"/>
    <w:rsid w:val="00972C4C"/>
    <w:rsid w:val="00973182"/>
    <w:rsid w:val="0097349F"/>
    <w:rsid w:val="009744EC"/>
    <w:rsid w:val="0097585F"/>
    <w:rsid w:val="00975D11"/>
    <w:rsid w:val="00977B1A"/>
    <w:rsid w:val="00977C0C"/>
    <w:rsid w:val="00977CE7"/>
    <w:rsid w:val="00980991"/>
    <w:rsid w:val="00980E60"/>
    <w:rsid w:val="0098177A"/>
    <w:rsid w:val="0098694E"/>
    <w:rsid w:val="00986D2C"/>
    <w:rsid w:val="00987CF6"/>
    <w:rsid w:val="00990602"/>
    <w:rsid w:val="009908FD"/>
    <w:rsid w:val="00991D17"/>
    <w:rsid w:val="00992B66"/>
    <w:rsid w:val="009931BA"/>
    <w:rsid w:val="009943BE"/>
    <w:rsid w:val="00995095"/>
    <w:rsid w:val="0099699C"/>
    <w:rsid w:val="00996B95"/>
    <w:rsid w:val="00996C9B"/>
    <w:rsid w:val="009A3EFA"/>
    <w:rsid w:val="009A47DB"/>
    <w:rsid w:val="009A70FD"/>
    <w:rsid w:val="009A7C97"/>
    <w:rsid w:val="009B2536"/>
    <w:rsid w:val="009B257C"/>
    <w:rsid w:val="009B390B"/>
    <w:rsid w:val="009B48FE"/>
    <w:rsid w:val="009B5278"/>
    <w:rsid w:val="009B543E"/>
    <w:rsid w:val="009B663C"/>
    <w:rsid w:val="009B6ABC"/>
    <w:rsid w:val="009B790C"/>
    <w:rsid w:val="009B7927"/>
    <w:rsid w:val="009B7999"/>
    <w:rsid w:val="009C1C2E"/>
    <w:rsid w:val="009C2C3D"/>
    <w:rsid w:val="009C3D90"/>
    <w:rsid w:val="009C4AE7"/>
    <w:rsid w:val="009C506A"/>
    <w:rsid w:val="009C5FD1"/>
    <w:rsid w:val="009C7C9B"/>
    <w:rsid w:val="009C7D74"/>
    <w:rsid w:val="009D04C5"/>
    <w:rsid w:val="009D2307"/>
    <w:rsid w:val="009D2B02"/>
    <w:rsid w:val="009D677A"/>
    <w:rsid w:val="009E08F6"/>
    <w:rsid w:val="009E1E48"/>
    <w:rsid w:val="009E266C"/>
    <w:rsid w:val="009E4946"/>
    <w:rsid w:val="009E4DA7"/>
    <w:rsid w:val="009E6127"/>
    <w:rsid w:val="009E6D0D"/>
    <w:rsid w:val="009E74CB"/>
    <w:rsid w:val="009F1931"/>
    <w:rsid w:val="009F252C"/>
    <w:rsid w:val="009F4E4E"/>
    <w:rsid w:val="009F525C"/>
    <w:rsid w:val="009F72EE"/>
    <w:rsid w:val="009F79D5"/>
    <w:rsid w:val="00A05528"/>
    <w:rsid w:val="00A059DD"/>
    <w:rsid w:val="00A05A78"/>
    <w:rsid w:val="00A06103"/>
    <w:rsid w:val="00A12100"/>
    <w:rsid w:val="00A132B7"/>
    <w:rsid w:val="00A13868"/>
    <w:rsid w:val="00A14B7B"/>
    <w:rsid w:val="00A160B0"/>
    <w:rsid w:val="00A16A4E"/>
    <w:rsid w:val="00A17AB1"/>
    <w:rsid w:val="00A209C2"/>
    <w:rsid w:val="00A23EB8"/>
    <w:rsid w:val="00A24C76"/>
    <w:rsid w:val="00A250B6"/>
    <w:rsid w:val="00A255C5"/>
    <w:rsid w:val="00A2597F"/>
    <w:rsid w:val="00A26830"/>
    <w:rsid w:val="00A3075E"/>
    <w:rsid w:val="00A31B71"/>
    <w:rsid w:val="00A35EB2"/>
    <w:rsid w:val="00A367C2"/>
    <w:rsid w:val="00A3699E"/>
    <w:rsid w:val="00A36B20"/>
    <w:rsid w:val="00A375F5"/>
    <w:rsid w:val="00A37E27"/>
    <w:rsid w:val="00A4035B"/>
    <w:rsid w:val="00A40B2A"/>
    <w:rsid w:val="00A41029"/>
    <w:rsid w:val="00A42347"/>
    <w:rsid w:val="00A42AB5"/>
    <w:rsid w:val="00A42E14"/>
    <w:rsid w:val="00A431CF"/>
    <w:rsid w:val="00A4526A"/>
    <w:rsid w:val="00A46CDF"/>
    <w:rsid w:val="00A50E45"/>
    <w:rsid w:val="00A511D2"/>
    <w:rsid w:val="00A5196F"/>
    <w:rsid w:val="00A52457"/>
    <w:rsid w:val="00A56030"/>
    <w:rsid w:val="00A56273"/>
    <w:rsid w:val="00A60816"/>
    <w:rsid w:val="00A6153A"/>
    <w:rsid w:val="00A62FC7"/>
    <w:rsid w:val="00A64124"/>
    <w:rsid w:val="00A651C3"/>
    <w:rsid w:val="00A6648C"/>
    <w:rsid w:val="00A66B2D"/>
    <w:rsid w:val="00A719DB"/>
    <w:rsid w:val="00A71A43"/>
    <w:rsid w:val="00A73DBE"/>
    <w:rsid w:val="00A74020"/>
    <w:rsid w:val="00A743FC"/>
    <w:rsid w:val="00A75D7F"/>
    <w:rsid w:val="00A776FD"/>
    <w:rsid w:val="00A77D2A"/>
    <w:rsid w:val="00A855FA"/>
    <w:rsid w:val="00A85C72"/>
    <w:rsid w:val="00A8664E"/>
    <w:rsid w:val="00A87A34"/>
    <w:rsid w:val="00A90928"/>
    <w:rsid w:val="00A92E12"/>
    <w:rsid w:val="00A932A7"/>
    <w:rsid w:val="00A9394E"/>
    <w:rsid w:val="00A94DE8"/>
    <w:rsid w:val="00A95DEE"/>
    <w:rsid w:val="00A9660E"/>
    <w:rsid w:val="00A97C8C"/>
    <w:rsid w:val="00AA1C1D"/>
    <w:rsid w:val="00AA390E"/>
    <w:rsid w:val="00AA3DD9"/>
    <w:rsid w:val="00AA4DDA"/>
    <w:rsid w:val="00AA5264"/>
    <w:rsid w:val="00AA551A"/>
    <w:rsid w:val="00AA5641"/>
    <w:rsid w:val="00AB0F99"/>
    <w:rsid w:val="00AB43EC"/>
    <w:rsid w:val="00AB4B8E"/>
    <w:rsid w:val="00AB53C9"/>
    <w:rsid w:val="00AB6394"/>
    <w:rsid w:val="00AB63CE"/>
    <w:rsid w:val="00AB77B0"/>
    <w:rsid w:val="00AB7EB2"/>
    <w:rsid w:val="00AC3367"/>
    <w:rsid w:val="00AC5E1C"/>
    <w:rsid w:val="00AC62C2"/>
    <w:rsid w:val="00AC6822"/>
    <w:rsid w:val="00AC6CFA"/>
    <w:rsid w:val="00AC7D83"/>
    <w:rsid w:val="00AD0676"/>
    <w:rsid w:val="00AD09D1"/>
    <w:rsid w:val="00AD0B86"/>
    <w:rsid w:val="00AD130A"/>
    <w:rsid w:val="00AD251C"/>
    <w:rsid w:val="00AD2E03"/>
    <w:rsid w:val="00AD3391"/>
    <w:rsid w:val="00AD3E85"/>
    <w:rsid w:val="00AD4DC2"/>
    <w:rsid w:val="00AD55F1"/>
    <w:rsid w:val="00AD5D7F"/>
    <w:rsid w:val="00AD6184"/>
    <w:rsid w:val="00AE275D"/>
    <w:rsid w:val="00AE2B93"/>
    <w:rsid w:val="00AE3C8D"/>
    <w:rsid w:val="00AE3D40"/>
    <w:rsid w:val="00AE3F64"/>
    <w:rsid w:val="00AE4F3D"/>
    <w:rsid w:val="00AE559B"/>
    <w:rsid w:val="00AE5CD7"/>
    <w:rsid w:val="00AE6D63"/>
    <w:rsid w:val="00AE73FD"/>
    <w:rsid w:val="00AE7C4E"/>
    <w:rsid w:val="00AE7E3D"/>
    <w:rsid w:val="00AF062C"/>
    <w:rsid w:val="00AF1318"/>
    <w:rsid w:val="00AF41BD"/>
    <w:rsid w:val="00AF55FF"/>
    <w:rsid w:val="00AF5C19"/>
    <w:rsid w:val="00AF7BFE"/>
    <w:rsid w:val="00AF7E52"/>
    <w:rsid w:val="00B014CF"/>
    <w:rsid w:val="00B02DE8"/>
    <w:rsid w:val="00B037D2"/>
    <w:rsid w:val="00B05D5A"/>
    <w:rsid w:val="00B06CD6"/>
    <w:rsid w:val="00B06D67"/>
    <w:rsid w:val="00B07186"/>
    <w:rsid w:val="00B10176"/>
    <w:rsid w:val="00B109DC"/>
    <w:rsid w:val="00B12FF1"/>
    <w:rsid w:val="00B1324A"/>
    <w:rsid w:val="00B14576"/>
    <w:rsid w:val="00B15104"/>
    <w:rsid w:val="00B152A5"/>
    <w:rsid w:val="00B16881"/>
    <w:rsid w:val="00B17431"/>
    <w:rsid w:val="00B2198A"/>
    <w:rsid w:val="00B21C68"/>
    <w:rsid w:val="00B24452"/>
    <w:rsid w:val="00B25F47"/>
    <w:rsid w:val="00B26529"/>
    <w:rsid w:val="00B26610"/>
    <w:rsid w:val="00B305B3"/>
    <w:rsid w:val="00B31FC5"/>
    <w:rsid w:val="00B33F31"/>
    <w:rsid w:val="00B34614"/>
    <w:rsid w:val="00B36751"/>
    <w:rsid w:val="00B40D6B"/>
    <w:rsid w:val="00B413CA"/>
    <w:rsid w:val="00B41603"/>
    <w:rsid w:val="00B42283"/>
    <w:rsid w:val="00B42721"/>
    <w:rsid w:val="00B42B32"/>
    <w:rsid w:val="00B43164"/>
    <w:rsid w:val="00B43439"/>
    <w:rsid w:val="00B44149"/>
    <w:rsid w:val="00B44E88"/>
    <w:rsid w:val="00B4526C"/>
    <w:rsid w:val="00B45482"/>
    <w:rsid w:val="00B46F78"/>
    <w:rsid w:val="00B473E5"/>
    <w:rsid w:val="00B53286"/>
    <w:rsid w:val="00B53BBB"/>
    <w:rsid w:val="00B55510"/>
    <w:rsid w:val="00B57564"/>
    <w:rsid w:val="00B57DDD"/>
    <w:rsid w:val="00B6120B"/>
    <w:rsid w:val="00B622AF"/>
    <w:rsid w:val="00B627BB"/>
    <w:rsid w:val="00B67763"/>
    <w:rsid w:val="00B71C2F"/>
    <w:rsid w:val="00B7342E"/>
    <w:rsid w:val="00B74236"/>
    <w:rsid w:val="00B74EBD"/>
    <w:rsid w:val="00B81562"/>
    <w:rsid w:val="00B84344"/>
    <w:rsid w:val="00B84760"/>
    <w:rsid w:val="00B847BE"/>
    <w:rsid w:val="00B90FBF"/>
    <w:rsid w:val="00B93863"/>
    <w:rsid w:val="00B95957"/>
    <w:rsid w:val="00B964D2"/>
    <w:rsid w:val="00BA4D54"/>
    <w:rsid w:val="00BB1BC9"/>
    <w:rsid w:val="00BB20F5"/>
    <w:rsid w:val="00BB2F93"/>
    <w:rsid w:val="00BB31D4"/>
    <w:rsid w:val="00BB3C01"/>
    <w:rsid w:val="00BC070B"/>
    <w:rsid w:val="00BC1321"/>
    <w:rsid w:val="00BC1E83"/>
    <w:rsid w:val="00BC2B65"/>
    <w:rsid w:val="00BC3D96"/>
    <w:rsid w:val="00BC44E5"/>
    <w:rsid w:val="00BD0142"/>
    <w:rsid w:val="00BD109E"/>
    <w:rsid w:val="00BD1A9A"/>
    <w:rsid w:val="00BD1F62"/>
    <w:rsid w:val="00BD3117"/>
    <w:rsid w:val="00BD3359"/>
    <w:rsid w:val="00BD7DA4"/>
    <w:rsid w:val="00BE0C85"/>
    <w:rsid w:val="00BE1233"/>
    <w:rsid w:val="00BE2063"/>
    <w:rsid w:val="00BE2ABE"/>
    <w:rsid w:val="00BE3693"/>
    <w:rsid w:val="00BE4350"/>
    <w:rsid w:val="00BE5F50"/>
    <w:rsid w:val="00BE690D"/>
    <w:rsid w:val="00BE6A1F"/>
    <w:rsid w:val="00BF022C"/>
    <w:rsid w:val="00BF0506"/>
    <w:rsid w:val="00BF1BA1"/>
    <w:rsid w:val="00BF1C44"/>
    <w:rsid w:val="00BF32D9"/>
    <w:rsid w:val="00BF4DAD"/>
    <w:rsid w:val="00BF5526"/>
    <w:rsid w:val="00BF5597"/>
    <w:rsid w:val="00BF6024"/>
    <w:rsid w:val="00BF6B71"/>
    <w:rsid w:val="00C00919"/>
    <w:rsid w:val="00C00E41"/>
    <w:rsid w:val="00C02530"/>
    <w:rsid w:val="00C03316"/>
    <w:rsid w:val="00C03734"/>
    <w:rsid w:val="00C039CF"/>
    <w:rsid w:val="00C06717"/>
    <w:rsid w:val="00C068E8"/>
    <w:rsid w:val="00C12BC4"/>
    <w:rsid w:val="00C13029"/>
    <w:rsid w:val="00C149C7"/>
    <w:rsid w:val="00C14B18"/>
    <w:rsid w:val="00C1775A"/>
    <w:rsid w:val="00C177E3"/>
    <w:rsid w:val="00C20408"/>
    <w:rsid w:val="00C206AC"/>
    <w:rsid w:val="00C23424"/>
    <w:rsid w:val="00C236B9"/>
    <w:rsid w:val="00C266C3"/>
    <w:rsid w:val="00C274E0"/>
    <w:rsid w:val="00C27DBE"/>
    <w:rsid w:val="00C31A59"/>
    <w:rsid w:val="00C336CC"/>
    <w:rsid w:val="00C33C38"/>
    <w:rsid w:val="00C370FD"/>
    <w:rsid w:val="00C400D6"/>
    <w:rsid w:val="00C4171E"/>
    <w:rsid w:val="00C423C8"/>
    <w:rsid w:val="00C44EA3"/>
    <w:rsid w:val="00C451FC"/>
    <w:rsid w:val="00C45767"/>
    <w:rsid w:val="00C53298"/>
    <w:rsid w:val="00C54107"/>
    <w:rsid w:val="00C54240"/>
    <w:rsid w:val="00C54806"/>
    <w:rsid w:val="00C54A42"/>
    <w:rsid w:val="00C568FB"/>
    <w:rsid w:val="00C56ADD"/>
    <w:rsid w:val="00C6018C"/>
    <w:rsid w:val="00C61F93"/>
    <w:rsid w:val="00C626B0"/>
    <w:rsid w:val="00C62895"/>
    <w:rsid w:val="00C63152"/>
    <w:rsid w:val="00C638D5"/>
    <w:rsid w:val="00C6474A"/>
    <w:rsid w:val="00C65E8C"/>
    <w:rsid w:val="00C67E8B"/>
    <w:rsid w:val="00C700BB"/>
    <w:rsid w:val="00C714BC"/>
    <w:rsid w:val="00C721F5"/>
    <w:rsid w:val="00C72B57"/>
    <w:rsid w:val="00C73F42"/>
    <w:rsid w:val="00C75726"/>
    <w:rsid w:val="00C7592F"/>
    <w:rsid w:val="00C7733C"/>
    <w:rsid w:val="00C8013D"/>
    <w:rsid w:val="00C81244"/>
    <w:rsid w:val="00C81783"/>
    <w:rsid w:val="00C82573"/>
    <w:rsid w:val="00C831FF"/>
    <w:rsid w:val="00C846C0"/>
    <w:rsid w:val="00C8647A"/>
    <w:rsid w:val="00C869CC"/>
    <w:rsid w:val="00C90569"/>
    <w:rsid w:val="00C90DDD"/>
    <w:rsid w:val="00C91715"/>
    <w:rsid w:val="00C91AF5"/>
    <w:rsid w:val="00C92726"/>
    <w:rsid w:val="00C93234"/>
    <w:rsid w:val="00C95AF8"/>
    <w:rsid w:val="00C9603A"/>
    <w:rsid w:val="00C962F7"/>
    <w:rsid w:val="00C9676C"/>
    <w:rsid w:val="00C967E2"/>
    <w:rsid w:val="00C97399"/>
    <w:rsid w:val="00CA09BE"/>
    <w:rsid w:val="00CA0A59"/>
    <w:rsid w:val="00CA2E13"/>
    <w:rsid w:val="00CA479C"/>
    <w:rsid w:val="00CA5BA3"/>
    <w:rsid w:val="00CA5E08"/>
    <w:rsid w:val="00CA641B"/>
    <w:rsid w:val="00CB10A2"/>
    <w:rsid w:val="00CB1813"/>
    <w:rsid w:val="00CB2031"/>
    <w:rsid w:val="00CB32D5"/>
    <w:rsid w:val="00CB3A6A"/>
    <w:rsid w:val="00CB3CB2"/>
    <w:rsid w:val="00CB66E9"/>
    <w:rsid w:val="00CB6F07"/>
    <w:rsid w:val="00CC1631"/>
    <w:rsid w:val="00CC4D71"/>
    <w:rsid w:val="00CC5A26"/>
    <w:rsid w:val="00CC5F73"/>
    <w:rsid w:val="00CC6464"/>
    <w:rsid w:val="00CD238E"/>
    <w:rsid w:val="00CD3D76"/>
    <w:rsid w:val="00CD4225"/>
    <w:rsid w:val="00CD7D3E"/>
    <w:rsid w:val="00CE2353"/>
    <w:rsid w:val="00CE24C8"/>
    <w:rsid w:val="00CE31A5"/>
    <w:rsid w:val="00CE4D85"/>
    <w:rsid w:val="00CE5D26"/>
    <w:rsid w:val="00CE6289"/>
    <w:rsid w:val="00CE6611"/>
    <w:rsid w:val="00CF0C46"/>
    <w:rsid w:val="00CF16CB"/>
    <w:rsid w:val="00CF2279"/>
    <w:rsid w:val="00CF2B68"/>
    <w:rsid w:val="00CF3C2C"/>
    <w:rsid w:val="00CF40CB"/>
    <w:rsid w:val="00CF43EA"/>
    <w:rsid w:val="00CF4685"/>
    <w:rsid w:val="00CF481F"/>
    <w:rsid w:val="00CF5296"/>
    <w:rsid w:val="00CF5BBA"/>
    <w:rsid w:val="00CF63C5"/>
    <w:rsid w:val="00CF66C6"/>
    <w:rsid w:val="00CF6E86"/>
    <w:rsid w:val="00D008D4"/>
    <w:rsid w:val="00D0325A"/>
    <w:rsid w:val="00D044BB"/>
    <w:rsid w:val="00D045A6"/>
    <w:rsid w:val="00D06FFE"/>
    <w:rsid w:val="00D110BE"/>
    <w:rsid w:val="00D122F2"/>
    <w:rsid w:val="00D12DD4"/>
    <w:rsid w:val="00D13600"/>
    <w:rsid w:val="00D15DF4"/>
    <w:rsid w:val="00D1763A"/>
    <w:rsid w:val="00D22BE6"/>
    <w:rsid w:val="00D2384D"/>
    <w:rsid w:val="00D24D44"/>
    <w:rsid w:val="00D25096"/>
    <w:rsid w:val="00D25E8A"/>
    <w:rsid w:val="00D27B5B"/>
    <w:rsid w:val="00D27D20"/>
    <w:rsid w:val="00D303A2"/>
    <w:rsid w:val="00D32546"/>
    <w:rsid w:val="00D32C8C"/>
    <w:rsid w:val="00D3310B"/>
    <w:rsid w:val="00D33BAD"/>
    <w:rsid w:val="00D348F3"/>
    <w:rsid w:val="00D41FF7"/>
    <w:rsid w:val="00D43920"/>
    <w:rsid w:val="00D44454"/>
    <w:rsid w:val="00D45F98"/>
    <w:rsid w:val="00D46CB4"/>
    <w:rsid w:val="00D47EC7"/>
    <w:rsid w:val="00D5012D"/>
    <w:rsid w:val="00D51274"/>
    <w:rsid w:val="00D51F1D"/>
    <w:rsid w:val="00D53F72"/>
    <w:rsid w:val="00D54A17"/>
    <w:rsid w:val="00D564F7"/>
    <w:rsid w:val="00D57531"/>
    <w:rsid w:val="00D617DC"/>
    <w:rsid w:val="00D62129"/>
    <w:rsid w:val="00D6278B"/>
    <w:rsid w:val="00D63462"/>
    <w:rsid w:val="00D644AD"/>
    <w:rsid w:val="00D67223"/>
    <w:rsid w:val="00D67422"/>
    <w:rsid w:val="00D67825"/>
    <w:rsid w:val="00D67C8F"/>
    <w:rsid w:val="00D70E90"/>
    <w:rsid w:val="00D7234D"/>
    <w:rsid w:val="00D72F6F"/>
    <w:rsid w:val="00D73A9D"/>
    <w:rsid w:val="00D80753"/>
    <w:rsid w:val="00D80D8D"/>
    <w:rsid w:val="00D80FC4"/>
    <w:rsid w:val="00D82C2B"/>
    <w:rsid w:val="00D83C2A"/>
    <w:rsid w:val="00D85C71"/>
    <w:rsid w:val="00D85E0F"/>
    <w:rsid w:val="00D872B9"/>
    <w:rsid w:val="00D90710"/>
    <w:rsid w:val="00D91AF5"/>
    <w:rsid w:val="00D93123"/>
    <w:rsid w:val="00D939ED"/>
    <w:rsid w:val="00D94599"/>
    <w:rsid w:val="00D95D79"/>
    <w:rsid w:val="00D964AD"/>
    <w:rsid w:val="00D9675D"/>
    <w:rsid w:val="00D969D5"/>
    <w:rsid w:val="00D97FF5"/>
    <w:rsid w:val="00DA0CF0"/>
    <w:rsid w:val="00DA103C"/>
    <w:rsid w:val="00DB03C7"/>
    <w:rsid w:val="00DB0EB7"/>
    <w:rsid w:val="00DB36D3"/>
    <w:rsid w:val="00DB3AA4"/>
    <w:rsid w:val="00DB45D9"/>
    <w:rsid w:val="00DB5272"/>
    <w:rsid w:val="00DB751D"/>
    <w:rsid w:val="00DC0C40"/>
    <w:rsid w:val="00DC2776"/>
    <w:rsid w:val="00DC2D21"/>
    <w:rsid w:val="00DC3DD5"/>
    <w:rsid w:val="00DC3EA5"/>
    <w:rsid w:val="00DC5AD0"/>
    <w:rsid w:val="00DC5DD0"/>
    <w:rsid w:val="00DC7A44"/>
    <w:rsid w:val="00DD008D"/>
    <w:rsid w:val="00DD10CD"/>
    <w:rsid w:val="00DD25D3"/>
    <w:rsid w:val="00DD3954"/>
    <w:rsid w:val="00DD7D8D"/>
    <w:rsid w:val="00DE0DFD"/>
    <w:rsid w:val="00DE1368"/>
    <w:rsid w:val="00DE3095"/>
    <w:rsid w:val="00DE4368"/>
    <w:rsid w:val="00DE4383"/>
    <w:rsid w:val="00DE48FE"/>
    <w:rsid w:val="00DE5573"/>
    <w:rsid w:val="00DE5B6D"/>
    <w:rsid w:val="00DF0367"/>
    <w:rsid w:val="00DF0874"/>
    <w:rsid w:val="00DF2F83"/>
    <w:rsid w:val="00DF4885"/>
    <w:rsid w:val="00E01D49"/>
    <w:rsid w:val="00E02C89"/>
    <w:rsid w:val="00E02ECF"/>
    <w:rsid w:val="00E03A49"/>
    <w:rsid w:val="00E04B05"/>
    <w:rsid w:val="00E05955"/>
    <w:rsid w:val="00E05D2C"/>
    <w:rsid w:val="00E065FF"/>
    <w:rsid w:val="00E067F2"/>
    <w:rsid w:val="00E06FE2"/>
    <w:rsid w:val="00E10925"/>
    <w:rsid w:val="00E11AE0"/>
    <w:rsid w:val="00E121BD"/>
    <w:rsid w:val="00E12BC2"/>
    <w:rsid w:val="00E15491"/>
    <w:rsid w:val="00E16EF6"/>
    <w:rsid w:val="00E2013E"/>
    <w:rsid w:val="00E202E6"/>
    <w:rsid w:val="00E20CBD"/>
    <w:rsid w:val="00E213E7"/>
    <w:rsid w:val="00E21C2F"/>
    <w:rsid w:val="00E21E0D"/>
    <w:rsid w:val="00E228E0"/>
    <w:rsid w:val="00E23904"/>
    <w:rsid w:val="00E24606"/>
    <w:rsid w:val="00E25C0C"/>
    <w:rsid w:val="00E26421"/>
    <w:rsid w:val="00E26D42"/>
    <w:rsid w:val="00E272BB"/>
    <w:rsid w:val="00E27C2E"/>
    <w:rsid w:val="00E31B6C"/>
    <w:rsid w:val="00E327AC"/>
    <w:rsid w:val="00E33070"/>
    <w:rsid w:val="00E34BBB"/>
    <w:rsid w:val="00E366FB"/>
    <w:rsid w:val="00E36A91"/>
    <w:rsid w:val="00E36F8F"/>
    <w:rsid w:val="00E375C9"/>
    <w:rsid w:val="00E40FAA"/>
    <w:rsid w:val="00E46270"/>
    <w:rsid w:val="00E501A8"/>
    <w:rsid w:val="00E5068F"/>
    <w:rsid w:val="00E54E61"/>
    <w:rsid w:val="00E55CF5"/>
    <w:rsid w:val="00E56414"/>
    <w:rsid w:val="00E567A1"/>
    <w:rsid w:val="00E61AA0"/>
    <w:rsid w:val="00E61C90"/>
    <w:rsid w:val="00E61CC9"/>
    <w:rsid w:val="00E62438"/>
    <w:rsid w:val="00E6272F"/>
    <w:rsid w:val="00E63EF4"/>
    <w:rsid w:val="00E65B20"/>
    <w:rsid w:val="00E66230"/>
    <w:rsid w:val="00E66D98"/>
    <w:rsid w:val="00E70D3B"/>
    <w:rsid w:val="00E72821"/>
    <w:rsid w:val="00E72F6F"/>
    <w:rsid w:val="00E73AA7"/>
    <w:rsid w:val="00E753C7"/>
    <w:rsid w:val="00E75B6B"/>
    <w:rsid w:val="00E7751B"/>
    <w:rsid w:val="00E77882"/>
    <w:rsid w:val="00E801A9"/>
    <w:rsid w:val="00E80D0D"/>
    <w:rsid w:val="00E82D64"/>
    <w:rsid w:val="00E83243"/>
    <w:rsid w:val="00E839CC"/>
    <w:rsid w:val="00E86C33"/>
    <w:rsid w:val="00E874B3"/>
    <w:rsid w:val="00E87A0F"/>
    <w:rsid w:val="00E90FAB"/>
    <w:rsid w:val="00E9195A"/>
    <w:rsid w:val="00E91C6F"/>
    <w:rsid w:val="00E93531"/>
    <w:rsid w:val="00E93542"/>
    <w:rsid w:val="00E9433B"/>
    <w:rsid w:val="00E95870"/>
    <w:rsid w:val="00E95F92"/>
    <w:rsid w:val="00E9655A"/>
    <w:rsid w:val="00EA36F0"/>
    <w:rsid w:val="00EA3CDE"/>
    <w:rsid w:val="00EA4DE1"/>
    <w:rsid w:val="00EA4FDC"/>
    <w:rsid w:val="00EA52DD"/>
    <w:rsid w:val="00EA5553"/>
    <w:rsid w:val="00EA5E34"/>
    <w:rsid w:val="00EA6023"/>
    <w:rsid w:val="00EA69EA"/>
    <w:rsid w:val="00EA7B61"/>
    <w:rsid w:val="00EB0619"/>
    <w:rsid w:val="00EB0E75"/>
    <w:rsid w:val="00EB188C"/>
    <w:rsid w:val="00EB26FD"/>
    <w:rsid w:val="00EB2C3A"/>
    <w:rsid w:val="00EB5E7C"/>
    <w:rsid w:val="00EB618F"/>
    <w:rsid w:val="00EB622C"/>
    <w:rsid w:val="00EB657E"/>
    <w:rsid w:val="00EB6937"/>
    <w:rsid w:val="00EB791B"/>
    <w:rsid w:val="00EC36E9"/>
    <w:rsid w:val="00EC3EB3"/>
    <w:rsid w:val="00EC4840"/>
    <w:rsid w:val="00EC4C31"/>
    <w:rsid w:val="00EC528E"/>
    <w:rsid w:val="00ED04D5"/>
    <w:rsid w:val="00ED0609"/>
    <w:rsid w:val="00ED0AC9"/>
    <w:rsid w:val="00ED1F2C"/>
    <w:rsid w:val="00ED27EC"/>
    <w:rsid w:val="00ED419A"/>
    <w:rsid w:val="00ED518C"/>
    <w:rsid w:val="00ED60A9"/>
    <w:rsid w:val="00ED6B77"/>
    <w:rsid w:val="00ED7E08"/>
    <w:rsid w:val="00EE06BF"/>
    <w:rsid w:val="00EE1589"/>
    <w:rsid w:val="00EE1CDF"/>
    <w:rsid w:val="00EE36FB"/>
    <w:rsid w:val="00EE444C"/>
    <w:rsid w:val="00EE6311"/>
    <w:rsid w:val="00EE7C16"/>
    <w:rsid w:val="00EF0B2E"/>
    <w:rsid w:val="00EF546B"/>
    <w:rsid w:val="00EF6A97"/>
    <w:rsid w:val="00EF718D"/>
    <w:rsid w:val="00F00C44"/>
    <w:rsid w:val="00F00DE1"/>
    <w:rsid w:val="00F01B43"/>
    <w:rsid w:val="00F022B2"/>
    <w:rsid w:val="00F0420B"/>
    <w:rsid w:val="00F054F3"/>
    <w:rsid w:val="00F05C25"/>
    <w:rsid w:val="00F10FBD"/>
    <w:rsid w:val="00F13C4A"/>
    <w:rsid w:val="00F13E70"/>
    <w:rsid w:val="00F143C0"/>
    <w:rsid w:val="00F1444D"/>
    <w:rsid w:val="00F1464A"/>
    <w:rsid w:val="00F15BC0"/>
    <w:rsid w:val="00F206D1"/>
    <w:rsid w:val="00F20816"/>
    <w:rsid w:val="00F20BAD"/>
    <w:rsid w:val="00F23B8D"/>
    <w:rsid w:val="00F24884"/>
    <w:rsid w:val="00F25593"/>
    <w:rsid w:val="00F25931"/>
    <w:rsid w:val="00F25A62"/>
    <w:rsid w:val="00F26C34"/>
    <w:rsid w:val="00F27047"/>
    <w:rsid w:val="00F309B5"/>
    <w:rsid w:val="00F30CB6"/>
    <w:rsid w:val="00F318D1"/>
    <w:rsid w:val="00F34AA7"/>
    <w:rsid w:val="00F354DD"/>
    <w:rsid w:val="00F37F8B"/>
    <w:rsid w:val="00F40EAA"/>
    <w:rsid w:val="00F416F5"/>
    <w:rsid w:val="00F41AD7"/>
    <w:rsid w:val="00F42B98"/>
    <w:rsid w:val="00F43AC9"/>
    <w:rsid w:val="00F443A6"/>
    <w:rsid w:val="00F46764"/>
    <w:rsid w:val="00F473D2"/>
    <w:rsid w:val="00F475B9"/>
    <w:rsid w:val="00F479F2"/>
    <w:rsid w:val="00F50518"/>
    <w:rsid w:val="00F51358"/>
    <w:rsid w:val="00F523CE"/>
    <w:rsid w:val="00F53D2E"/>
    <w:rsid w:val="00F544A8"/>
    <w:rsid w:val="00F548C9"/>
    <w:rsid w:val="00F56B2C"/>
    <w:rsid w:val="00F5701E"/>
    <w:rsid w:val="00F61563"/>
    <w:rsid w:val="00F62460"/>
    <w:rsid w:val="00F64C53"/>
    <w:rsid w:val="00F64EA2"/>
    <w:rsid w:val="00F65417"/>
    <w:rsid w:val="00F65AEC"/>
    <w:rsid w:val="00F66995"/>
    <w:rsid w:val="00F66BA5"/>
    <w:rsid w:val="00F72EAD"/>
    <w:rsid w:val="00F74CB4"/>
    <w:rsid w:val="00F7563B"/>
    <w:rsid w:val="00F77400"/>
    <w:rsid w:val="00F7792F"/>
    <w:rsid w:val="00F8006E"/>
    <w:rsid w:val="00F8017F"/>
    <w:rsid w:val="00F804B8"/>
    <w:rsid w:val="00F80D9C"/>
    <w:rsid w:val="00F81C59"/>
    <w:rsid w:val="00F825B9"/>
    <w:rsid w:val="00F83B60"/>
    <w:rsid w:val="00F86516"/>
    <w:rsid w:val="00F86C7E"/>
    <w:rsid w:val="00F93680"/>
    <w:rsid w:val="00F936F6"/>
    <w:rsid w:val="00FA0156"/>
    <w:rsid w:val="00FA0BD3"/>
    <w:rsid w:val="00FA152A"/>
    <w:rsid w:val="00FA1607"/>
    <w:rsid w:val="00FA17DB"/>
    <w:rsid w:val="00FA57E8"/>
    <w:rsid w:val="00FB2F28"/>
    <w:rsid w:val="00FB3867"/>
    <w:rsid w:val="00FB3DE9"/>
    <w:rsid w:val="00FB3DF1"/>
    <w:rsid w:val="00FB40BE"/>
    <w:rsid w:val="00FB4276"/>
    <w:rsid w:val="00FB5522"/>
    <w:rsid w:val="00FB71D2"/>
    <w:rsid w:val="00FC065D"/>
    <w:rsid w:val="00FD1A4C"/>
    <w:rsid w:val="00FD2B4D"/>
    <w:rsid w:val="00FD2D8E"/>
    <w:rsid w:val="00FD38A4"/>
    <w:rsid w:val="00FD3A36"/>
    <w:rsid w:val="00FD417F"/>
    <w:rsid w:val="00FD53A8"/>
    <w:rsid w:val="00FD5FBC"/>
    <w:rsid w:val="00FD6A1F"/>
    <w:rsid w:val="00FD7DD3"/>
    <w:rsid w:val="00FE1268"/>
    <w:rsid w:val="00FE2583"/>
    <w:rsid w:val="00FE2EC7"/>
    <w:rsid w:val="00FE4DC9"/>
    <w:rsid w:val="00FE5C1D"/>
    <w:rsid w:val="00FE6950"/>
    <w:rsid w:val="00FF04FA"/>
    <w:rsid w:val="00FF166E"/>
    <w:rsid w:val="00FF2127"/>
    <w:rsid w:val="00FF2C9D"/>
    <w:rsid w:val="00FF4890"/>
    <w:rsid w:val="00FF6164"/>
    <w:rsid w:val="00FF6A81"/>
    <w:rsid w:val="00FF76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30CB2"/>
  <w15:chartTrackingRefBased/>
  <w15:docId w15:val="{39A88842-942D-4396-8D0B-9D628743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iPriority w:val="99"/>
    <w:unhideWhenUsed/>
    <w:rsid w:val="00FB4276"/>
    <w:pPr>
      <w:tabs>
        <w:tab w:val="center" w:pos="4153"/>
        <w:tab w:val="right" w:pos="8306"/>
      </w:tabs>
    </w:pPr>
  </w:style>
  <w:style w:type="character" w:customStyle="1" w:styleId="HeaderChar">
    <w:name w:val="Header Char"/>
    <w:link w:val="Header"/>
    <w:uiPriority w:val="99"/>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
    <w:name w:val="Ruller4 תו"/>
    <w:link w:val="Ruller40"/>
    <w:locked/>
    <w:rsid w:val="0040137E"/>
    <w:rPr>
      <w:rFonts w:ascii="Arial TUR" w:hAnsi="Arial TUR" w:cs="FrankRuehl"/>
      <w:spacing w:val="10"/>
      <w:sz w:val="22"/>
      <w:szCs w:val="28"/>
    </w:rPr>
  </w:style>
  <w:style w:type="paragraph" w:customStyle="1" w:styleId="Ruller40">
    <w:name w:val="Ruller4"/>
    <w:basedOn w:val="Normal"/>
    <w:link w:val="Ruller4"/>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semiHidden/>
    <w:unhideWhenUsed/>
    <w:rsid w:val="002451B7"/>
    <w:rPr>
      <w:sz w:val="20"/>
      <w:szCs w:val="20"/>
    </w:rPr>
  </w:style>
  <w:style w:type="character" w:customStyle="1" w:styleId="CommentTextChar">
    <w:name w:val="Comment Text Char"/>
    <w:link w:val="CommentText"/>
    <w:uiPriority w:val="99"/>
    <w:semiHidden/>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paragraph" w:styleId="FootnoteText">
    <w:name w:val="footnote text"/>
    <w:basedOn w:val="Normal"/>
    <w:link w:val="FootnoteTextChar"/>
    <w:uiPriority w:val="99"/>
    <w:semiHidden/>
    <w:unhideWhenUsed/>
    <w:rsid w:val="00274C07"/>
    <w:pPr>
      <w:spacing w:after="160" w:line="259" w:lineRule="auto"/>
    </w:pPr>
    <w:rPr>
      <w:rFonts w:cs="Arial"/>
      <w:sz w:val="20"/>
      <w:szCs w:val="20"/>
    </w:rPr>
  </w:style>
  <w:style w:type="character" w:customStyle="1" w:styleId="FootnoteTextChar">
    <w:name w:val="Footnote Text Char"/>
    <w:basedOn w:val="DefaultParagraphFont"/>
    <w:link w:val="FootnoteText"/>
    <w:uiPriority w:val="99"/>
    <w:semiHidden/>
    <w:rsid w:val="00274C07"/>
  </w:style>
  <w:style w:type="paragraph" w:styleId="Revision">
    <w:name w:val="Revision"/>
    <w:hidden/>
    <w:uiPriority w:val="99"/>
    <w:semiHidden/>
    <w:rsid w:val="00C82573"/>
    <w:rPr>
      <w:rFonts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163541">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177957985">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 w:id="2087798342">
      <w:bodyDiv w:val="1"/>
      <w:marLeft w:val="0"/>
      <w:marRight w:val="0"/>
      <w:marTop w:val="0"/>
      <w:marBottom w:val="0"/>
      <w:divBdr>
        <w:top w:val="none" w:sz="0" w:space="0" w:color="auto"/>
        <w:left w:val="none" w:sz="0" w:space="0" w:color="auto"/>
        <w:bottom w:val="none" w:sz="0" w:space="0" w:color="auto"/>
        <w:right w:val="none" w:sz="0" w:space="0" w:color="auto"/>
      </w:divBdr>
    </w:div>
    <w:div w:id="21037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law/7490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evo.co.il/law/74903/7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7B62-B737-4849-AE2C-7ED3E17E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2780</Words>
  <Characters>15850</Characters>
  <Application>Microsoft Office Word</Application>
  <DocSecurity>0</DocSecurity>
  <Lines>132</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18593</CharactersWithSpaces>
  <SharedDoc>false</SharedDoc>
  <HLinks>
    <vt:vector size="12" baseType="variant">
      <vt:variant>
        <vt:i4>8257646</vt:i4>
      </vt:variant>
      <vt:variant>
        <vt:i4>3</vt:i4>
      </vt:variant>
      <vt:variant>
        <vt:i4>0</vt:i4>
      </vt:variant>
      <vt:variant>
        <vt:i4>5</vt:i4>
      </vt:variant>
      <vt:variant>
        <vt:lpwstr>http://www.nevo.co.il/law/74903</vt:lpwstr>
      </vt:variant>
      <vt:variant>
        <vt:lpwstr/>
      </vt:variant>
      <vt:variant>
        <vt:i4>6619242</vt:i4>
      </vt:variant>
      <vt:variant>
        <vt:i4>0</vt:i4>
      </vt:variant>
      <vt:variant>
        <vt:i4>0</vt:i4>
      </vt:variant>
      <vt:variant>
        <vt:i4>5</vt:i4>
      </vt:variant>
      <vt:variant>
        <vt:lpwstr>http://www.nevo.co.il/law/74903/74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דניאל אוזן</cp:lastModifiedBy>
  <cp:revision>2</cp:revision>
  <cp:lastPrinted>2024-04-11T07:49:00Z</cp:lastPrinted>
  <dcterms:created xsi:type="dcterms:W3CDTF">2024-04-17T06:30:00Z</dcterms:created>
  <dcterms:modified xsi:type="dcterms:W3CDTF">2024-04-17T06:30:00Z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2024-04-17T06:30:04Z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7dc64ea7-9f8d-4320-9a52-27cace2eecac</vt:lpwstr>
  </property>
  <property fmtid="{D5CDD505-2E9C-101B-9397-08002B2CF9AE}" pid="8" name="MSIP_Label_701b9bfc-c426-492e-a46c-1a922d5fe54b_ContentBits">
    <vt:lpwstr>1</vt:lpwstr>
  </property>
</Properties>
</file>