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BB18" w14:textId="50C02819" w:rsidR="00052D8B" w:rsidRPr="00052D8B" w:rsidRDefault="00052D8B" w:rsidP="00052D8B">
      <w:pPr>
        <w:tabs>
          <w:tab w:val="right" w:pos="6518"/>
        </w:tabs>
        <w:spacing w:line="480" w:lineRule="auto"/>
        <w:ind w:left="2266" w:right="1985"/>
        <w:rPr>
          <w:rtl/>
        </w:rPr>
      </w:pPr>
      <w:bookmarkStart w:id="0" w:name="_Hlk149821736"/>
      <w:bookmarkStart w:id="1" w:name="_Hlk149824479"/>
      <w:r w:rsidRPr="00164FD0">
        <w:rPr>
          <w:noProof/>
        </w:rPr>
        <w:drawing>
          <wp:inline distT="0" distB="0" distL="0" distR="0" wp14:anchorId="30AC3943" wp14:editId="5A1D7A4F">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7EA00AA" wp14:editId="27285D0A">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F0C45D1" w14:textId="2572BE3C" w:rsidR="003C685D" w:rsidRPr="00FD2DDA" w:rsidRDefault="003C685D" w:rsidP="00052D8B">
      <w:pPr>
        <w:bidi w:val="0"/>
        <w:spacing w:line="480" w:lineRule="auto"/>
        <w:jc w:val="center"/>
        <w:rPr>
          <w:rFonts w:ascii="David" w:hAnsi="David"/>
          <w:b/>
          <w:bCs/>
          <w:sz w:val="28"/>
          <w:u w:val="single"/>
        </w:rPr>
      </w:pPr>
      <w:r w:rsidRPr="00FD2DDA">
        <w:rPr>
          <w:rFonts w:ascii="David" w:hAnsi="David" w:hint="cs"/>
          <w:b/>
          <w:bCs/>
          <w:sz w:val="28"/>
          <w:u w:val="single"/>
          <w:rtl/>
        </w:rPr>
        <w:t>בבית הדין הצבאי לערעורים</w:t>
      </w:r>
    </w:p>
    <w:p w14:paraId="24DF3559" w14:textId="77777777" w:rsidR="003C685D" w:rsidRPr="00FD2DDA" w:rsidRDefault="003C685D" w:rsidP="003C685D">
      <w:pPr>
        <w:spacing w:before="120" w:line="480" w:lineRule="auto"/>
        <w:rPr>
          <w:rFonts w:ascii="David" w:hAnsi="David"/>
          <w:sz w:val="28"/>
          <w:rtl/>
        </w:rPr>
      </w:pPr>
      <w:r w:rsidRPr="00FD2DDA">
        <w:rPr>
          <w:rFonts w:ascii="David" w:hAnsi="David" w:hint="cs"/>
          <w:sz w:val="28"/>
          <w:rtl/>
        </w:rPr>
        <w:t>בפני:</w:t>
      </w:r>
    </w:p>
    <w:p w14:paraId="03BFB388" w14:textId="18B4F80E" w:rsidR="003C685D" w:rsidRPr="005E2B5F" w:rsidRDefault="003C685D" w:rsidP="003C685D">
      <w:pPr>
        <w:spacing w:before="120" w:line="480" w:lineRule="auto"/>
        <w:ind w:left="2174" w:right="2268"/>
        <w:rPr>
          <w:sz w:val="28"/>
          <w:rtl/>
        </w:rPr>
      </w:pPr>
      <w:r w:rsidRPr="005E2B5F">
        <w:rPr>
          <w:rFonts w:hint="cs"/>
          <w:b/>
          <w:bCs/>
          <w:sz w:val="28"/>
          <w:rtl/>
        </w:rPr>
        <w:t xml:space="preserve">אלופה </w:t>
      </w:r>
      <w:r w:rsidR="00C45EA5">
        <w:rPr>
          <w:rFonts w:hint="cs"/>
          <w:b/>
          <w:bCs/>
          <w:sz w:val="28"/>
          <w:rtl/>
        </w:rPr>
        <w:t xml:space="preserve"> </w:t>
      </w:r>
      <w:r w:rsidRPr="005E2B5F">
        <w:rPr>
          <w:rFonts w:hint="cs"/>
          <w:b/>
          <w:bCs/>
          <w:sz w:val="28"/>
          <w:rtl/>
        </w:rPr>
        <w:t>אורלי</w:t>
      </w:r>
      <w:r w:rsidR="00C45EA5">
        <w:rPr>
          <w:rFonts w:hint="cs"/>
          <w:b/>
          <w:bCs/>
          <w:sz w:val="28"/>
          <w:rtl/>
        </w:rPr>
        <w:t xml:space="preserve"> </w:t>
      </w:r>
      <w:r w:rsidRPr="005E2B5F">
        <w:rPr>
          <w:rFonts w:hint="cs"/>
          <w:b/>
          <w:bCs/>
          <w:sz w:val="28"/>
          <w:rtl/>
        </w:rPr>
        <w:t xml:space="preserve"> מרקמן</w:t>
      </w:r>
      <w:r w:rsidR="00C45EA5">
        <w:rPr>
          <w:rFonts w:hint="cs"/>
          <w:b/>
          <w:bCs/>
          <w:sz w:val="28"/>
          <w:rtl/>
        </w:rPr>
        <w:t xml:space="preserve">    </w:t>
      </w:r>
      <w:r w:rsidRPr="005E2B5F">
        <w:rPr>
          <w:rFonts w:hint="cs"/>
          <w:b/>
          <w:bCs/>
          <w:sz w:val="28"/>
          <w:rtl/>
        </w:rPr>
        <w:t xml:space="preserve"> -     </w:t>
      </w:r>
      <w:r w:rsidRPr="005E2B5F">
        <w:rPr>
          <w:rFonts w:hint="cs"/>
          <w:sz w:val="28"/>
          <w:rtl/>
        </w:rPr>
        <w:t>הנשיאה</w:t>
      </w:r>
      <w:r w:rsidRPr="005E2B5F">
        <w:rPr>
          <w:sz w:val="28"/>
          <w:rtl/>
        </w:rPr>
        <w:br/>
      </w:r>
      <w:r w:rsidR="00C45EA5" w:rsidRPr="005E2B5F">
        <w:rPr>
          <w:rFonts w:hint="cs"/>
          <w:b/>
          <w:bCs/>
          <w:sz w:val="28"/>
          <w:rtl/>
        </w:rPr>
        <w:t>אל"ם</w:t>
      </w:r>
      <w:r w:rsidR="00C45EA5">
        <w:rPr>
          <w:rFonts w:hint="cs"/>
          <w:b/>
          <w:bCs/>
          <w:sz w:val="28"/>
          <w:rtl/>
        </w:rPr>
        <w:t xml:space="preserve"> </w:t>
      </w:r>
      <w:r w:rsidR="00C45EA5" w:rsidRPr="005E2B5F">
        <w:rPr>
          <w:rFonts w:hint="cs"/>
          <w:b/>
          <w:bCs/>
          <w:sz w:val="28"/>
          <w:rtl/>
        </w:rPr>
        <w:t>מאיה</w:t>
      </w:r>
      <w:r w:rsidR="00C45EA5">
        <w:rPr>
          <w:rFonts w:hint="cs"/>
          <w:b/>
          <w:bCs/>
          <w:sz w:val="28"/>
          <w:rtl/>
        </w:rPr>
        <w:t xml:space="preserve"> </w:t>
      </w:r>
      <w:r w:rsidR="00C45EA5" w:rsidRPr="005E2B5F">
        <w:rPr>
          <w:rFonts w:hint="cs"/>
          <w:b/>
          <w:bCs/>
          <w:sz w:val="28"/>
          <w:rtl/>
        </w:rPr>
        <w:t>גולדשמי</w:t>
      </w:r>
      <w:r w:rsidR="00C45EA5">
        <w:rPr>
          <w:rFonts w:hint="cs"/>
          <w:b/>
          <w:bCs/>
          <w:sz w:val="28"/>
          <w:rtl/>
        </w:rPr>
        <w:t>דט</w:t>
      </w:r>
      <w:r w:rsidR="00C45EA5">
        <w:rPr>
          <w:rFonts w:ascii="David" w:hAnsi="David" w:hint="cs"/>
          <w:rtl/>
        </w:rPr>
        <w:t xml:space="preserve"> </w:t>
      </w:r>
      <w:r w:rsidRPr="005E2B5F">
        <w:rPr>
          <w:rFonts w:hint="cs"/>
          <w:b/>
          <w:bCs/>
          <w:sz w:val="28"/>
          <w:rtl/>
        </w:rPr>
        <w:t xml:space="preserve">-   </w:t>
      </w:r>
      <w:r w:rsidR="00C45EA5">
        <w:rPr>
          <w:rFonts w:hint="cs"/>
          <w:sz w:val="28"/>
          <w:rtl/>
        </w:rPr>
        <w:t xml:space="preserve">שופטת </w:t>
      </w:r>
      <w:r w:rsidRPr="005E2B5F">
        <w:rPr>
          <w:sz w:val="28"/>
          <w:rtl/>
        </w:rPr>
        <w:br/>
      </w:r>
      <w:r w:rsidR="00C45EA5">
        <w:rPr>
          <w:rFonts w:hint="cs"/>
          <w:b/>
          <w:bCs/>
          <w:sz w:val="28"/>
          <w:rtl/>
        </w:rPr>
        <w:t xml:space="preserve">סא"ל          אילן           </w:t>
      </w:r>
      <w:proofErr w:type="spellStart"/>
      <w:r w:rsidR="00C45EA5">
        <w:rPr>
          <w:rFonts w:hint="cs"/>
          <w:b/>
          <w:bCs/>
          <w:sz w:val="28"/>
          <w:rtl/>
        </w:rPr>
        <w:t>איטח</w:t>
      </w:r>
      <w:proofErr w:type="spellEnd"/>
      <w:r>
        <w:rPr>
          <w:rFonts w:ascii="David" w:hAnsi="David" w:hint="cs"/>
          <w:rtl/>
        </w:rPr>
        <w:t xml:space="preserve"> </w:t>
      </w:r>
      <w:r w:rsidR="00C45EA5">
        <w:rPr>
          <w:rFonts w:ascii="David" w:hAnsi="David" w:hint="cs"/>
          <w:rtl/>
        </w:rPr>
        <w:t xml:space="preserve">        </w:t>
      </w:r>
      <w:r w:rsidR="00C45EA5" w:rsidRPr="005E2B5F">
        <w:rPr>
          <w:rFonts w:hint="cs"/>
          <w:b/>
          <w:bCs/>
          <w:sz w:val="28"/>
          <w:rtl/>
        </w:rPr>
        <w:t>-</w:t>
      </w:r>
      <w:r>
        <w:rPr>
          <w:rFonts w:ascii="David" w:hAnsi="David" w:hint="cs"/>
          <w:rtl/>
        </w:rPr>
        <w:t xml:space="preserve">                    </w:t>
      </w:r>
      <w:r w:rsidRPr="005E2B5F">
        <w:rPr>
          <w:rFonts w:hint="cs"/>
          <w:sz w:val="28"/>
          <w:rtl/>
        </w:rPr>
        <w:t>שופט</w:t>
      </w:r>
    </w:p>
    <w:p w14:paraId="1AA878EC" w14:textId="77777777" w:rsidR="003C685D" w:rsidRPr="00BB5867" w:rsidRDefault="003C685D" w:rsidP="003C685D">
      <w:pPr>
        <w:spacing w:line="240" w:lineRule="auto"/>
        <w:jc w:val="center"/>
        <w:rPr>
          <w:sz w:val="28"/>
          <w:rtl/>
        </w:rPr>
      </w:pPr>
    </w:p>
    <w:p w14:paraId="1DF90397" w14:textId="77777777" w:rsidR="003C685D" w:rsidRPr="00FD2DDA" w:rsidRDefault="003C685D" w:rsidP="003C685D">
      <w:pPr>
        <w:rPr>
          <w:rFonts w:ascii="David" w:hAnsi="David"/>
          <w:sz w:val="28"/>
          <w:rtl/>
        </w:rPr>
      </w:pPr>
      <w:r w:rsidRPr="00FD2DDA">
        <w:rPr>
          <w:rFonts w:ascii="David" w:hAnsi="David" w:hint="cs"/>
          <w:sz w:val="28"/>
          <w:rtl/>
        </w:rPr>
        <w:t>בעניין:</w:t>
      </w:r>
    </w:p>
    <w:p w14:paraId="750B875A" w14:textId="664B0F82" w:rsidR="003C685D" w:rsidRPr="00FD2DDA" w:rsidRDefault="003C685D" w:rsidP="003C685D">
      <w:pPr>
        <w:bidi w:val="0"/>
        <w:jc w:val="center"/>
        <w:rPr>
          <w:rFonts w:ascii="David" w:hAnsi="David"/>
          <w:sz w:val="28"/>
          <w:rtl/>
        </w:rPr>
      </w:pPr>
      <w:r w:rsidRPr="00FD2DDA">
        <w:rPr>
          <w:rFonts w:ascii="David" w:hAnsi="David" w:hint="cs"/>
          <w:b/>
          <w:bCs/>
          <w:sz w:val="28"/>
          <w:rtl/>
        </w:rPr>
        <w:t>התובע הצבאי הראשי –</w:t>
      </w:r>
      <w:r w:rsidRPr="00FD2DDA">
        <w:rPr>
          <w:rFonts w:ascii="David" w:hAnsi="David" w:hint="cs"/>
          <w:sz w:val="28"/>
          <w:rtl/>
        </w:rPr>
        <w:t xml:space="preserve"> המערער (ע"י ב"כ,</w:t>
      </w:r>
      <w:r>
        <w:rPr>
          <w:rFonts w:ascii="David" w:hAnsi="David" w:hint="cs"/>
          <w:sz w:val="28"/>
          <w:rtl/>
        </w:rPr>
        <w:t xml:space="preserve"> רס"ן אוהד מנור; סרן תכלת מרדכי </w:t>
      </w:r>
      <w:proofErr w:type="spellStart"/>
      <w:r>
        <w:rPr>
          <w:rFonts w:ascii="David" w:hAnsi="David" w:hint="cs"/>
          <w:sz w:val="28"/>
          <w:rtl/>
        </w:rPr>
        <w:t>פייגנסון</w:t>
      </w:r>
      <w:proofErr w:type="spellEnd"/>
      <w:r w:rsidRPr="00FD2DDA">
        <w:rPr>
          <w:rFonts w:ascii="David" w:hAnsi="David" w:hint="cs"/>
          <w:sz w:val="28"/>
          <w:rtl/>
        </w:rPr>
        <w:t>)</w:t>
      </w:r>
    </w:p>
    <w:p w14:paraId="56547D2F" w14:textId="77777777" w:rsidR="003C685D" w:rsidRPr="00FD2DDA" w:rsidRDefault="003C685D" w:rsidP="003C685D">
      <w:pPr>
        <w:jc w:val="center"/>
        <w:rPr>
          <w:rFonts w:ascii="David" w:hAnsi="David"/>
          <w:sz w:val="28"/>
          <w:rtl/>
        </w:rPr>
      </w:pPr>
    </w:p>
    <w:p w14:paraId="025346B9" w14:textId="77777777" w:rsidR="003C685D" w:rsidRPr="00FD2DDA" w:rsidRDefault="003C685D" w:rsidP="003C685D">
      <w:pPr>
        <w:spacing w:after="360"/>
        <w:jc w:val="center"/>
        <w:rPr>
          <w:rFonts w:ascii="David" w:hAnsi="David"/>
          <w:b/>
          <w:bCs/>
          <w:sz w:val="28"/>
          <w:rtl/>
        </w:rPr>
      </w:pPr>
      <w:r w:rsidRPr="00FD2DDA">
        <w:rPr>
          <w:rFonts w:ascii="David" w:hAnsi="David" w:hint="cs"/>
          <w:b/>
          <w:bCs/>
          <w:sz w:val="28"/>
          <w:rtl/>
        </w:rPr>
        <w:t xml:space="preserve">נ ג ד </w:t>
      </w:r>
    </w:p>
    <w:p w14:paraId="4FCCE818" w14:textId="282E944F" w:rsidR="003C685D" w:rsidRDefault="003C685D" w:rsidP="003C685D">
      <w:pPr>
        <w:spacing w:after="120"/>
        <w:jc w:val="center"/>
        <w:rPr>
          <w:rFonts w:ascii="David" w:hAnsi="David"/>
          <w:sz w:val="28"/>
          <w:rtl/>
        </w:rPr>
      </w:pPr>
      <w:r>
        <w:rPr>
          <w:rFonts w:eastAsia="Times New Roman" w:hint="cs"/>
          <w:b/>
          <w:bCs/>
          <w:sz w:val="32"/>
          <w:rtl/>
        </w:rPr>
        <w:t>ב</w:t>
      </w:r>
      <w:r w:rsidRPr="00251330">
        <w:rPr>
          <w:rFonts w:eastAsia="Times New Roman" w:hint="cs"/>
          <w:b/>
          <w:bCs/>
          <w:sz w:val="32"/>
          <w:rtl/>
        </w:rPr>
        <w:t>/</w:t>
      </w:r>
      <w:r w:rsidR="005C1625">
        <w:rPr>
          <w:rFonts w:eastAsia="Times New Roman" w:hint="cs"/>
          <w:b/>
          <w:bCs/>
          <w:sz w:val="32"/>
        </w:rPr>
        <w:t>XXXXXXX</w:t>
      </w:r>
      <w:r w:rsidRPr="00251330">
        <w:rPr>
          <w:rFonts w:eastAsia="Times New Roman" w:hint="cs"/>
          <w:b/>
          <w:bCs/>
          <w:sz w:val="32"/>
          <w:rtl/>
        </w:rPr>
        <w:t xml:space="preserve"> </w:t>
      </w:r>
      <w:r>
        <w:rPr>
          <w:rFonts w:ascii="David" w:hAnsi="David" w:hint="cs"/>
          <w:b/>
          <w:bCs/>
          <w:sz w:val="28"/>
          <w:rtl/>
        </w:rPr>
        <w:t xml:space="preserve">סמל </w:t>
      </w:r>
      <w:r w:rsidR="00F15C91">
        <w:rPr>
          <w:rFonts w:ascii="David" w:hAnsi="David" w:hint="cs"/>
          <w:b/>
          <w:bCs/>
          <w:sz w:val="28"/>
          <w:rtl/>
        </w:rPr>
        <w:t xml:space="preserve">אור </w:t>
      </w:r>
      <w:proofErr w:type="spellStart"/>
      <w:r w:rsidR="00F15C91">
        <w:rPr>
          <w:rFonts w:ascii="David" w:hAnsi="David" w:hint="cs"/>
          <w:b/>
          <w:bCs/>
          <w:sz w:val="28"/>
          <w:rtl/>
        </w:rPr>
        <w:t>איצקביץ</w:t>
      </w:r>
      <w:proofErr w:type="spellEnd"/>
      <w:r w:rsidR="005C1625">
        <w:rPr>
          <w:rFonts w:ascii="David" w:hAnsi="David" w:hint="cs"/>
          <w:b/>
          <w:bCs/>
          <w:sz w:val="28"/>
          <w:rtl/>
        </w:rPr>
        <w:t>'</w:t>
      </w:r>
      <w:r w:rsidRPr="00FD2DDA">
        <w:rPr>
          <w:rFonts w:ascii="David" w:hAnsi="David" w:hint="cs"/>
          <w:b/>
          <w:bCs/>
          <w:sz w:val="28"/>
          <w:rtl/>
        </w:rPr>
        <w:t xml:space="preserve"> –</w:t>
      </w:r>
      <w:r w:rsidRPr="00FD2DDA">
        <w:rPr>
          <w:rFonts w:ascii="David" w:hAnsi="David" w:hint="cs"/>
          <w:sz w:val="28"/>
          <w:rtl/>
        </w:rPr>
        <w:t xml:space="preserve"> המשיב (ע"י ב"כ,</w:t>
      </w:r>
      <w:r>
        <w:rPr>
          <w:rFonts w:ascii="David" w:hAnsi="David" w:hint="cs"/>
          <w:sz w:val="28"/>
          <w:rtl/>
        </w:rPr>
        <w:t xml:space="preserve"> סרן (מיל') ליאור </w:t>
      </w:r>
      <w:proofErr w:type="spellStart"/>
      <w:r>
        <w:rPr>
          <w:rFonts w:ascii="David" w:hAnsi="David" w:hint="cs"/>
          <w:sz w:val="28"/>
          <w:rtl/>
        </w:rPr>
        <w:t>אטקין</w:t>
      </w:r>
      <w:proofErr w:type="spellEnd"/>
      <w:r>
        <w:rPr>
          <w:rFonts w:ascii="David" w:hAnsi="David" w:hint="cs"/>
          <w:sz w:val="28"/>
          <w:rtl/>
        </w:rPr>
        <w:t>; סרן (מיל') אריאל חברון</w:t>
      </w:r>
      <w:r w:rsidRPr="00FD2DDA">
        <w:rPr>
          <w:rFonts w:ascii="David" w:hAnsi="David" w:hint="cs"/>
          <w:sz w:val="28"/>
          <w:rtl/>
        </w:rPr>
        <w:t>)</w:t>
      </w:r>
    </w:p>
    <w:p w14:paraId="4C0F0CCD" w14:textId="77777777" w:rsidR="003C685D" w:rsidRDefault="003C685D" w:rsidP="003C685D">
      <w:pPr>
        <w:spacing w:after="120"/>
        <w:jc w:val="center"/>
        <w:rPr>
          <w:rFonts w:ascii="David" w:hAnsi="David"/>
          <w:sz w:val="28"/>
          <w:rtl/>
        </w:rPr>
      </w:pPr>
    </w:p>
    <w:p w14:paraId="23DDD6E5" w14:textId="1089D567" w:rsidR="003C685D" w:rsidRDefault="003C685D" w:rsidP="003C685D">
      <w:pPr>
        <w:spacing w:after="120"/>
        <w:jc w:val="left"/>
        <w:rPr>
          <w:rFonts w:ascii="David" w:hAnsi="David"/>
          <w:sz w:val="28"/>
          <w:rtl/>
        </w:rPr>
      </w:pPr>
      <w:r>
        <w:rPr>
          <w:rFonts w:ascii="David" w:hAnsi="David" w:hint="cs"/>
          <w:sz w:val="28"/>
          <w:rtl/>
        </w:rPr>
        <w:t>ובעניין:</w:t>
      </w:r>
    </w:p>
    <w:p w14:paraId="10D44C49" w14:textId="513B60CD" w:rsidR="003C685D" w:rsidRDefault="003C685D" w:rsidP="003C685D">
      <w:pPr>
        <w:spacing w:after="120"/>
        <w:jc w:val="center"/>
        <w:rPr>
          <w:rFonts w:ascii="David" w:hAnsi="David"/>
          <w:sz w:val="28"/>
          <w:rtl/>
        </w:rPr>
      </w:pPr>
      <w:r>
        <w:rPr>
          <w:rFonts w:eastAsia="Times New Roman" w:hint="cs"/>
          <w:b/>
          <w:bCs/>
          <w:sz w:val="32"/>
          <w:rtl/>
        </w:rPr>
        <w:t>ב</w:t>
      </w:r>
      <w:r w:rsidRPr="00251330">
        <w:rPr>
          <w:rFonts w:eastAsia="Times New Roman" w:hint="cs"/>
          <w:b/>
          <w:bCs/>
          <w:sz w:val="32"/>
          <w:rtl/>
        </w:rPr>
        <w:t>/</w:t>
      </w:r>
      <w:r w:rsidR="005C1625">
        <w:rPr>
          <w:rFonts w:eastAsia="Times New Roman" w:hint="cs"/>
          <w:b/>
          <w:bCs/>
          <w:sz w:val="32"/>
        </w:rPr>
        <w:t>XXXXXXX</w:t>
      </w:r>
      <w:r w:rsidRPr="00251330">
        <w:rPr>
          <w:rFonts w:eastAsia="Times New Roman" w:hint="cs"/>
          <w:b/>
          <w:bCs/>
          <w:sz w:val="32"/>
          <w:rtl/>
        </w:rPr>
        <w:t xml:space="preserve"> </w:t>
      </w:r>
      <w:r>
        <w:rPr>
          <w:rFonts w:ascii="David" w:hAnsi="David" w:hint="cs"/>
          <w:b/>
          <w:bCs/>
          <w:sz w:val="28"/>
          <w:rtl/>
        </w:rPr>
        <w:t xml:space="preserve">סמל </w:t>
      </w:r>
      <w:r w:rsidR="00F15C91">
        <w:rPr>
          <w:rFonts w:ascii="David" w:hAnsi="David" w:hint="cs"/>
          <w:b/>
          <w:bCs/>
          <w:sz w:val="28"/>
          <w:rtl/>
        </w:rPr>
        <w:t xml:space="preserve">אור </w:t>
      </w:r>
      <w:proofErr w:type="spellStart"/>
      <w:r w:rsidR="00F15C91">
        <w:rPr>
          <w:rFonts w:ascii="David" w:hAnsi="David" w:hint="cs"/>
          <w:b/>
          <w:bCs/>
          <w:sz w:val="28"/>
          <w:rtl/>
        </w:rPr>
        <w:t>איצקוביץ</w:t>
      </w:r>
      <w:proofErr w:type="spellEnd"/>
      <w:r w:rsidR="005C1625">
        <w:rPr>
          <w:rFonts w:ascii="David" w:hAnsi="David" w:hint="cs"/>
          <w:b/>
          <w:bCs/>
          <w:sz w:val="28"/>
          <w:rtl/>
        </w:rPr>
        <w:t>'</w:t>
      </w:r>
      <w:r w:rsidRPr="00FD2DDA">
        <w:rPr>
          <w:rFonts w:ascii="David" w:hAnsi="David" w:hint="cs"/>
          <w:b/>
          <w:bCs/>
          <w:sz w:val="28"/>
          <w:rtl/>
        </w:rPr>
        <w:t xml:space="preserve"> –</w:t>
      </w:r>
      <w:r w:rsidRPr="00FD2DDA">
        <w:rPr>
          <w:rFonts w:ascii="David" w:hAnsi="David" w:hint="cs"/>
          <w:sz w:val="28"/>
          <w:rtl/>
        </w:rPr>
        <w:t xml:space="preserve"> המ</w:t>
      </w:r>
      <w:r>
        <w:rPr>
          <w:rFonts w:ascii="David" w:hAnsi="David" w:hint="cs"/>
          <w:sz w:val="28"/>
          <w:rtl/>
        </w:rPr>
        <w:t>ערער</w:t>
      </w:r>
      <w:r w:rsidRPr="00FD2DDA">
        <w:rPr>
          <w:rFonts w:ascii="David" w:hAnsi="David" w:hint="cs"/>
          <w:sz w:val="28"/>
          <w:rtl/>
        </w:rPr>
        <w:t xml:space="preserve"> (ע"י ב"כ,</w:t>
      </w:r>
      <w:r>
        <w:rPr>
          <w:rFonts w:ascii="David" w:hAnsi="David" w:hint="cs"/>
          <w:sz w:val="28"/>
          <w:rtl/>
        </w:rPr>
        <w:t xml:space="preserve"> סרן (מיל') ליאור </w:t>
      </w:r>
      <w:proofErr w:type="spellStart"/>
      <w:r>
        <w:rPr>
          <w:rFonts w:ascii="David" w:hAnsi="David" w:hint="cs"/>
          <w:sz w:val="28"/>
          <w:rtl/>
        </w:rPr>
        <w:t>אטקין</w:t>
      </w:r>
      <w:proofErr w:type="spellEnd"/>
      <w:r>
        <w:rPr>
          <w:rFonts w:ascii="David" w:hAnsi="David" w:hint="cs"/>
          <w:sz w:val="28"/>
          <w:rtl/>
        </w:rPr>
        <w:t>; סרן (מיל') אריאל חברון</w:t>
      </w:r>
      <w:r w:rsidRPr="00FD2DDA">
        <w:rPr>
          <w:rFonts w:ascii="David" w:hAnsi="David" w:hint="cs"/>
          <w:sz w:val="28"/>
          <w:rtl/>
        </w:rPr>
        <w:t>)</w:t>
      </w:r>
    </w:p>
    <w:p w14:paraId="1F2E3A16" w14:textId="3286F306" w:rsidR="003C685D" w:rsidRDefault="003C685D" w:rsidP="003C685D">
      <w:pPr>
        <w:spacing w:after="120"/>
        <w:jc w:val="center"/>
        <w:rPr>
          <w:rFonts w:ascii="David" w:hAnsi="David"/>
          <w:sz w:val="28"/>
          <w:rtl/>
        </w:rPr>
      </w:pPr>
      <w:r w:rsidRPr="00FD2DDA">
        <w:rPr>
          <w:rFonts w:ascii="David" w:hAnsi="David" w:hint="cs"/>
          <w:b/>
          <w:bCs/>
          <w:sz w:val="28"/>
          <w:rtl/>
        </w:rPr>
        <w:t>נ ג ד</w:t>
      </w:r>
    </w:p>
    <w:p w14:paraId="288677F2" w14:textId="5CF67690" w:rsidR="003C685D" w:rsidRPr="00FD2DDA" w:rsidRDefault="003C685D" w:rsidP="003C685D">
      <w:pPr>
        <w:bidi w:val="0"/>
        <w:jc w:val="center"/>
        <w:rPr>
          <w:rFonts w:ascii="David" w:hAnsi="David"/>
          <w:sz w:val="28"/>
          <w:rtl/>
        </w:rPr>
      </w:pPr>
      <w:r w:rsidRPr="00FD2DDA">
        <w:rPr>
          <w:rFonts w:ascii="David" w:hAnsi="David" w:hint="cs"/>
          <w:b/>
          <w:bCs/>
          <w:sz w:val="28"/>
          <w:rtl/>
        </w:rPr>
        <w:t>התובע הצבאי הראשי –</w:t>
      </w:r>
      <w:r w:rsidRPr="00FD2DDA">
        <w:rPr>
          <w:rFonts w:ascii="David" w:hAnsi="David" w:hint="cs"/>
          <w:sz w:val="28"/>
          <w:rtl/>
        </w:rPr>
        <w:t xml:space="preserve"> המ</w:t>
      </w:r>
      <w:r>
        <w:rPr>
          <w:rFonts w:ascii="David" w:hAnsi="David" w:hint="cs"/>
          <w:sz w:val="28"/>
          <w:rtl/>
        </w:rPr>
        <w:t>שיב</w:t>
      </w:r>
      <w:r w:rsidRPr="00FD2DDA">
        <w:rPr>
          <w:rFonts w:ascii="David" w:hAnsi="David" w:hint="cs"/>
          <w:sz w:val="28"/>
          <w:rtl/>
        </w:rPr>
        <w:t xml:space="preserve"> (ע"י ב"כ,</w:t>
      </w:r>
      <w:r>
        <w:rPr>
          <w:rFonts w:ascii="David" w:hAnsi="David" w:hint="cs"/>
          <w:sz w:val="28"/>
          <w:rtl/>
        </w:rPr>
        <w:t xml:space="preserve"> רס"ן אוהד מנור; סרן תכלת מרדכי </w:t>
      </w:r>
      <w:proofErr w:type="spellStart"/>
      <w:r>
        <w:rPr>
          <w:rFonts w:ascii="David" w:hAnsi="David" w:hint="cs"/>
          <w:sz w:val="28"/>
          <w:rtl/>
        </w:rPr>
        <w:t>פייגנסון</w:t>
      </w:r>
      <w:proofErr w:type="spellEnd"/>
      <w:r w:rsidRPr="00FD2DDA">
        <w:rPr>
          <w:rFonts w:ascii="David" w:hAnsi="David" w:hint="cs"/>
          <w:sz w:val="28"/>
          <w:rtl/>
        </w:rPr>
        <w:t>)</w:t>
      </w:r>
    </w:p>
    <w:p w14:paraId="7E2605F7" w14:textId="13BFDE4D" w:rsidR="003C685D" w:rsidRDefault="003C685D" w:rsidP="003C685D">
      <w:pPr>
        <w:spacing w:after="120"/>
        <w:jc w:val="center"/>
        <w:rPr>
          <w:rFonts w:ascii="David" w:hAnsi="David"/>
          <w:sz w:val="28"/>
          <w:rtl/>
        </w:rPr>
      </w:pPr>
    </w:p>
    <w:p w14:paraId="02F0C61A" w14:textId="77777777" w:rsidR="003C685D" w:rsidRPr="00FD2DDA" w:rsidRDefault="003C685D" w:rsidP="003C685D">
      <w:pPr>
        <w:spacing w:after="360"/>
        <w:rPr>
          <w:rFonts w:ascii="David" w:hAnsi="David"/>
          <w:b/>
          <w:bCs/>
          <w:sz w:val="28"/>
          <w:u w:val="single"/>
          <w:rtl/>
        </w:rPr>
      </w:pPr>
    </w:p>
    <w:p w14:paraId="69EC94B5" w14:textId="5C62CD37" w:rsidR="003C685D" w:rsidRDefault="003C685D" w:rsidP="003C685D">
      <w:pPr>
        <w:spacing w:after="360"/>
        <w:rPr>
          <w:rFonts w:ascii="David" w:hAnsi="David"/>
          <w:sz w:val="28"/>
          <w:rtl/>
        </w:rPr>
      </w:pPr>
      <w:r w:rsidRPr="00FD2DDA">
        <w:rPr>
          <w:rFonts w:ascii="David" w:hAnsi="David" w:hint="cs"/>
          <w:sz w:val="28"/>
          <w:rtl/>
        </w:rPr>
        <w:t xml:space="preserve">ערעור על </w:t>
      </w:r>
      <w:r>
        <w:rPr>
          <w:rFonts w:ascii="David" w:hAnsi="David" w:hint="cs"/>
          <w:sz w:val="28"/>
          <w:rtl/>
        </w:rPr>
        <w:t>פסק דין</w:t>
      </w:r>
      <w:r w:rsidRPr="00FD2DDA">
        <w:rPr>
          <w:rFonts w:ascii="David" w:hAnsi="David" w:hint="cs"/>
          <w:sz w:val="28"/>
          <w:rtl/>
        </w:rPr>
        <w:t xml:space="preserve"> של בית הדין הצבאי המחוזי במחוז שיפוטי </w:t>
      </w:r>
      <w:r>
        <w:rPr>
          <w:rFonts w:ascii="David" w:hAnsi="David" w:hint="cs"/>
          <w:sz w:val="28"/>
          <w:rtl/>
        </w:rPr>
        <w:t>חיל האויר</w:t>
      </w:r>
      <w:r w:rsidRPr="00FD2DDA">
        <w:rPr>
          <w:rFonts w:ascii="David" w:hAnsi="David" w:hint="cs"/>
          <w:sz w:val="28"/>
          <w:rtl/>
        </w:rPr>
        <w:t xml:space="preserve"> שניתן בתיק </w:t>
      </w:r>
      <w:r>
        <w:rPr>
          <w:rFonts w:ascii="David" w:hAnsi="David" w:hint="cs"/>
          <w:sz w:val="28"/>
          <w:rtl/>
        </w:rPr>
        <w:t>ח"א</w:t>
      </w:r>
      <w:r w:rsidRPr="00FD2DDA">
        <w:rPr>
          <w:rFonts w:ascii="David" w:hAnsi="David" w:hint="cs"/>
          <w:sz w:val="28"/>
          <w:rtl/>
        </w:rPr>
        <w:t xml:space="preserve"> </w:t>
      </w:r>
      <w:r w:rsidRPr="00FE7B6F">
        <w:rPr>
          <w:rFonts w:ascii="David" w:hAnsi="David" w:hint="cs"/>
          <w:sz w:val="28"/>
          <w:rtl/>
        </w:rPr>
        <w:t xml:space="preserve">(מחוזי) </w:t>
      </w:r>
      <w:r>
        <w:rPr>
          <w:rFonts w:ascii="David" w:hAnsi="David" w:hint="cs"/>
          <w:sz w:val="28"/>
          <w:rtl/>
        </w:rPr>
        <w:t>162/22</w:t>
      </w:r>
      <w:r w:rsidRPr="00FE7B6F">
        <w:rPr>
          <w:rFonts w:ascii="David" w:hAnsi="David" w:hint="cs"/>
          <w:sz w:val="28"/>
          <w:rtl/>
        </w:rPr>
        <w:t xml:space="preserve"> (</w:t>
      </w:r>
      <w:r>
        <w:rPr>
          <w:rFonts w:ascii="David" w:hAnsi="David" w:hint="cs"/>
          <w:sz w:val="28"/>
          <w:rtl/>
        </w:rPr>
        <w:t xml:space="preserve">אל"ם רונן שור </w:t>
      </w:r>
      <w:r>
        <w:rPr>
          <w:rFonts w:ascii="David" w:hAnsi="David"/>
          <w:sz w:val="28"/>
          <w:rtl/>
        </w:rPr>
        <w:t>–</w:t>
      </w:r>
      <w:r>
        <w:rPr>
          <w:rFonts w:ascii="David" w:hAnsi="David" w:hint="cs"/>
          <w:sz w:val="28"/>
          <w:rtl/>
        </w:rPr>
        <w:t xml:space="preserve"> אב"ד; רס"ן לינוי כהן </w:t>
      </w:r>
      <w:r>
        <w:rPr>
          <w:rFonts w:ascii="David" w:hAnsi="David"/>
          <w:sz w:val="28"/>
          <w:rtl/>
        </w:rPr>
        <w:t>–</w:t>
      </w:r>
      <w:r>
        <w:rPr>
          <w:rFonts w:ascii="David" w:hAnsi="David" w:hint="cs"/>
          <w:sz w:val="28"/>
          <w:rtl/>
        </w:rPr>
        <w:t xml:space="preserve"> שופטת; רס"ן עדי שנקמן </w:t>
      </w:r>
      <w:r>
        <w:rPr>
          <w:rFonts w:ascii="David" w:hAnsi="David"/>
          <w:sz w:val="28"/>
          <w:rtl/>
        </w:rPr>
        <w:t>–</w:t>
      </w:r>
      <w:r>
        <w:rPr>
          <w:rFonts w:ascii="David" w:hAnsi="David" w:hint="cs"/>
          <w:sz w:val="28"/>
          <w:rtl/>
        </w:rPr>
        <w:t xml:space="preserve"> שופט</w:t>
      </w:r>
      <w:r w:rsidRPr="00FE7B6F">
        <w:rPr>
          <w:rFonts w:ascii="David" w:hAnsi="David" w:hint="cs"/>
          <w:sz w:val="28"/>
          <w:rtl/>
        </w:rPr>
        <w:t xml:space="preserve">) ביום </w:t>
      </w:r>
      <w:r>
        <w:rPr>
          <w:rFonts w:ascii="David" w:hAnsi="David" w:hint="cs"/>
          <w:sz w:val="28"/>
          <w:rtl/>
        </w:rPr>
        <w:t>7.11.2024</w:t>
      </w:r>
      <w:r w:rsidRPr="00FE7B6F">
        <w:rPr>
          <w:rFonts w:ascii="David" w:hAnsi="David" w:hint="cs"/>
          <w:sz w:val="28"/>
          <w:rtl/>
        </w:rPr>
        <w:t xml:space="preserve">. </w:t>
      </w:r>
      <w:bookmarkEnd w:id="0"/>
      <w:r>
        <w:rPr>
          <w:rFonts w:ascii="David" w:hAnsi="David" w:hint="cs"/>
          <w:sz w:val="28"/>
          <w:rtl/>
        </w:rPr>
        <w:t>ערעור ההגנה נדחה. ערעור התביעה נדחה.</w:t>
      </w:r>
    </w:p>
    <w:bookmarkEnd w:id="1"/>
    <w:p w14:paraId="3B0ED728" w14:textId="1F1587C7" w:rsidR="008C68F0" w:rsidRDefault="008C68F0" w:rsidP="005F50A9">
      <w:pPr>
        <w:pStyle w:val="Heading1"/>
        <w:spacing w:line="343" w:lineRule="auto"/>
        <w:jc w:val="center"/>
        <w:rPr>
          <w:rtl/>
        </w:rPr>
      </w:pPr>
      <w:r>
        <w:rPr>
          <w:rFonts w:hint="cs"/>
          <w:rtl/>
        </w:rPr>
        <w:lastRenderedPageBreak/>
        <w:t>פ ס ק - ד י ן</w:t>
      </w:r>
    </w:p>
    <w:p w14:paraId="08D39B51" w14:textId="1AA15A38" w:rsidR="00400E89" w:rsidRDefault="00DA07FC" w:rsidP="005F50A9">
      <w:pPr>
        <w:pStyle w:val="Heading1"/>
        <w:spacing w:line="343" w:lineRule="auto"/>
      </w:pPr>
      <w:r>
        <w:rPr>
          <w:rFonts w:hint="cs"/>
          <w:rtl/>
        </w:rPr>
        <w:t>רקע</w:t>
      </w:r>
    </w:p>
    <w:p w14:paraId="7DA95D0D" w14:textId="0ABDBD29" w:rsidR="00DA07FC" w:rsidRDefault="00166ACD" w:rsidP="005F50A9">
      <w:pPr>
        <w:pStyle w:val="ListParagraph"/>
        <w:numPr>
          <w:ilvl w:val="0"/>
          <w:numId w:val="1"/>
        </w:numPr>
        <w:spacing w:after="120" w:line="343" w:lineRule="auto"/>
      </w:pPr>
      <w:r>
        <w:rPr>
          <w:rFonts w:hint="cs"/>
          <w:rtl/>
        </w:rPr>
        <w:t>המערער, ס</w:t>
      </w:r>
      <w:r w:rsidR="00B057FC">
        <w:rPr>
          <w:rFonts w:hint="cs"/>
          <w:rtl/>
        </w:rPr>
        <w:t>מ</w:t>
      </w:r>
      <w:r>
        <w:rPr>
          <w:rFonts w:hint="cs"/>
          <w:rtl/>
        </w:rPr>
        <w:t xml:space="preserve">ל </w:t>
      </w:r>
      <w:r w:rsidR="00F15C91">
        <w:rPr>
          <w:rFonts w:hint="cs"/>
          <w:rtl/>
        </w:rPr>
        <w:t>אור איצקוביץ</w:t>
      </w:r>
      <w:r w:rsidR="005C1625">
        <w:rPr>
          <w:rFonts w:hint="cs"/>
          <w:rtl/>
        </w:rPr>
        <w:t>'</w:t>
      </w:r>
      <w:r>
        <w:rPr>
          <w:rFonts w:hint="cs"/>
          <w:rtl/>
        </w:rPr>
        <w:t>, הורשע</w:t>
      </w:r>
      <w:r w:rsidR="005E3A5C">
        <w:rPr>
          <w:rFonts w:hint="cs"/>
          <w:rtl/>
        </w:rPr>
        <w:t xml:space="preserve">, לאחר שמיעת ראיות, </w:t>
      </w:r>
      <w:r>
        <w:rPr>
          <w:rFonts w:hint="cs"/>
          <w:rtl/>
        </w:rPr>
        <w:t>בעביר</w:t>
      </w:r>
      <w:r w:rsidR="00B057FC">
        <w:rPr>
          <w:rFonts w:hint="cs"/>
          <w:rtl/>
        </w:rPr>
        <w:t>ה</w:t>
      </w:r>
      <w:r>
        <w:rPr>
          <w:rFonts w:hint="cs"/>
          <w:rtl/>
        </w:rPr>
        <w:t xml:space="preserve"> של מעשה מגונה, לפי סעיף 348(ג) לחוק העונשין, התשל"ז-1977</w:t>
      </w:r>
      <w:r w:rsidR="005E3A5C">
        <w:rPr>
          <w:rFonts w:hint="cs"/>
          <w:rtl/>
        </w:rPr>
        <w:t>.</w:t>
      </w:r>
      <w:r>
        <w:rPr>
          <w:rFonts w:hint="cs"/>
          <w:rtl/>
        </w:rPr>
        <w:t xml:space="preserve"> בית הדין הצבאי המחוזי השית על המערער</w:t>
      </w:r>
      <w:r w:rsidR="005E3A5C">
        <w:rPr>
          <w:rFonts w:hint="cs"/>
          <w:rtl/>
        </w:rPr>
        <w:t xml:space="preserve"> עונש של שישה</w:t>
      </w:r>
      <w:r w:rsidR="00B057FC">
        <w:rPr>
          <w:rFonts w:hint="cs"/>
          <w:rtl/>
        </w:rPr>
        <w:t xml:space="preserve"> חודשי</w:t>
      </w:r>
      <w:r>
        <w:rPr>
          <w:rFonts w:hint="cs"/>
          <w:rtl/>
        </w:rPr>
        <w:t xml:space="preserve"> מאסר בפועל</w:t>
      </w:r>
      <w:r w:rsidR="00587545">
        <w:rPr>
          <w:rFonts w:hint="cs"/>
          <w:rtl/>
        </w:rPr>
        <w:t xml:space="preserve"> בכליאה</w:t>
      </w:r>
      <w:r>
        <w:rPr>
          <w:rFonts w:hint="cs"/>
          <w:rtl/>
        </w:rPr>
        <w:t>, עונש מאסר מותנ</w:t>
      </w:r>
      <w:r w:rsidR="00B057FC">
        <w:rPr>
          <w:rFonts w:hint="cs"/>
          <w:rtl/>
        </w:rPr>
        <w:t>ה</w:t>
      </w:r>
      <w:r w:rsidR="00587545">
        <w:rPr>
          <w:rFonts w:hint="cs"/>
          <w:rtl/>
        </w:rPr>
        <w:t xml:space="preserve"> ו</w:t>
      </w:r>
      <w:r w:rsidR="005E3A5C">
        <w:rPr>
          <w:rFonts w:hint="cs"/>
          <w:rtl/>
        </w:rPr>
        <w:t>הורדה לדרגת טוראי</w:t>
      </w:r>
      <w:r w:rsidR="00587545">
        <w:rPr>
          <w:rFonts w:hint="cs"/>
          <w:rtl/>
        </w:rPr>
        <w:t xml:space="preserve">. כמו </w:t>
      </w:r>
      <w:r w:rsidR="005E3A5C">
        <w:rPr>
          <w:rFonts w:hint="cs"/>
          <w:rtl/>
        </w:rPr>
        <w:t>כן</w:t>
      </w:r>
      <w:r w:rsidR="00587545">
        <w:rPr>
          <w:rFonts w:hint="cs"/>
          <w:rtl/>
        </w:rPr>
        <w:t>,</w:t>
      </w:r>
      <w:r w:rsidR="005E3A5C">
        <w:rPr>
          <w:rFonts w:hint="cs"/>
          <w:rtl/>
        </w:rPr>
        <w:t xml:space="preserve"> הורה </w:t>
      </w:r>
      <w:r w:rsidR="00587545">
        <w:rPr>
          <w:rFonts w:hint="cs"/>
          <w:rtl/>
        </w:rPr>
        <w:t xml:space="preserve">בית הדין </w:t>
      </w:r>
      <w:r w:rsidR="005E3A5C">
        <w:rPr>
          <w:rFonts w:hint="cs"/>
          <w:rtl/>
        </w:rPr>
        <w:t xml:space="preserve">כי המערער ישלם פיצויים בסך </w:t>
      </w:r>
      <w:r w:rsidR="00B057FC">
        <w:rPr>
          <w:rFonts w:hint="cs"/>
          <w:rtl/>
        </w:rPr>
        <w:t>7</w:t>
      </w:r>
      <w:r>
        <w:rPr>
          <w:rFonts w:hint="cs"/>
          <w:rtl/>
        </w:rPr>
        <w:t xml:space="preserve">,000 </w:t>
      </w:r>
      <w:r w:rsidR="005E3A5C">
        <w:rPr>
          <w:rFonts w:hint="cs"/>
          <w:rtl/>
        </w:rPr>
        <w:t>ש</w:t>
      </w:r>
      <w:r w:rsidR="00587545">
        <w:rPr>
          <w:rFonts w:hint="cs"/>
          <w:rtl/>
        </w:rPr>
        <w:t>"ח</w:t>
      </w:r>
      <w:r w:rsidR="005E3A5C">
        <w:rPr>
          <w:rFonts w:hint="cs"/>
          <w:rtl/>
        </w:rPr>
        <w:t xml:space="preserve"> </w:t>
      </w:r>
      <w:r>
        <w:rPr>
          <w:rFonts w:hint="cs"/>
          <w:rtl/>
        </w:rPr>
        <w:t>ל</w:t>
      </w:r>
      <w:r w:rsidR="00DA07FC">
        <w:rPr>
          <w:rFonts w:hint="cs"/>
          <w:rtl/>
        </w:rPr>
        <w:t>נפגעת העבירה</w:t>
      </w:r>
      <w:r w:rsidR="005E3A5C">
        <w:rPr>
          <w:rFonts w:hint="cs"/>
          <w:rtl/>
        </w:rPr>
        <w:t xml:space="preserve">. שני הצדדים לא השלימו עם פסק דינו של בית הדין הנכבד. תחילה ערערה ההגנה על הרשעתו של המערער ולחלופין על חומרת עונשו, אך לאחר שמיעת הערותינו </w:t>
      </w:r>
      <w:r w:rsidR="00587545">
        <w:rPr>
          <w:rFonts w:hint="cs"/>
          <w:rtl/>
        </w:rPr>
        <w:t xml:space="preserve">בדיון </w:t>
      </w:r>
      <w:r w:rsidR="005E3A5C">
        <w:rPr>
          <w:rFonts w:hint="cs"/>
          <w:rtl/>
        </w:rPr>
        <w:t>חזרה בה מ</w:t>
      </w:r>
      <w:r w:rsidR="00587545">
        <w:rPr>
          <w:rFonts w:hint="cs"/>
          <w:rtl/>
        </w:rPr>
        <w:t xml:space="preserve">ן </w:t>
      </w:r>
      <w:r w:rsidR="005E3A5C">
        <w:rPr>
          <w:rFonts w:hint="cs"/>
          <w:rtl/>
        </w:rPr>
        <w:t>הערעור על הכרעת הדין ו</w:t>
      </w:r>
      <w:r w:rsidR="00587545">
        <w:rPr>
          <w:rFonts w:hint="cs"/>
          <w:rtl/>
        </w:rPr>
        <w:t xml:space="preserve">מיקדה את טענותיה  בערעור על חומרתו של </w:t>
      </w:r>
      <w:r w:rsidR="00E527D8">
        <w:rPr>
          <w:rFonts w:hint="cs"/>
          <w:rtl/>
        </w:rPr>
        <w:t xml:space="preserve">רכיב </w:t>
      </w:r>
      <w:r w:rsidR="00587545">
        <w:rPr>
          <w:rFonts w:hint="cs"/>
          <w:rtl/>
        </w:rPr>
        <w:t xml:space="preserve">המאסר בפועל ועל אופן </w:t>
      </w:r>
      <w:r w:rsidR="00E527D8">
        <w:rPr>
          <w:rFonts w:hint="cs"/>
          <w:rtl/>
        </w:rPr>
        <w:t>נשיאתו</w:t>
      </w:r>
      <w:r w:rsidR="005E3A5C">
        <w:rPr>
          <w:rFonts w:hint="cs"/>
          <w:rtl/>
        </w:rPr>
        <w:t xml:space="preserve">. התביעה </w:t>
      </w:r>
      <w:r w:rsidR="00587545">
        <w:rPr>
          <w:rFonts w:hint="cs"/>
          <w:rtl/>
        </w:rPr>
        <w:t xml:space="preserve">מצדה, </w:t>
      </w:r>
      <w:r w:rsidR="005E3A5C">
        <w:rPr>
          <w:rFonts w:hint="cs"/>
          <w:rtl/>
        </w:rPr>
        <w:t>מערערת על קולת העונש</w:t>
      </w:r>
      <w:r w:rsidR="005B3208">
        <w:rPr>
          <w:rFonts w:hint="cs"/>
          <w:rtl/>
        </w:rPr>
        <w:t xml:space="preserve"> ומבקשת להחמיר בעונש המאסר </w:t>
      </w:r>
      <w:r w:rsidR="00587545">
        <w:rPr>
          <w:rFonts w:hint="cs"/>
          <w:rtl/>
        </w:rPr>
        <w:t xml:space="preserve">בפועל </w:t>
      </w:r>
      <w:r w:rsidR="005B3208">
        <w:rPr>
          <w:rFonts w:hint="cs"/>
          <w:rtl/>
        </w:rPr>
        <w:t>ש</w:t>
      </w:r>
      <w:r w:rsidR="00587545">
        <w:rPr>
          <w:rFonts w:hint="cs"/>
          <w:rtl/>
        </w:rPr>
        <w:t xml:space="preserve">הוטל </w:t>
      </w:r>
      <w:r w:rsidR="005B3208">
        <w:rPr>
          <w:rFonts w:hint="cs"/>
          <w:rtl/>
        </w:rPr>
        <w:t>על המערער</w:t>
      </w:r>
      <w:r w:rsidR="005E3A5C">
        <w:rPr>
          <w:rFonts w:hint="cs"/>
          <w:rtl/>
        </w:rPr>
        <w:t xml:space="preserve">. </w:t>
      </w:r>
      <w:r>
        <w:rPr>
          <w:rFonts w:hint="cs"/>
          <w:rtl/>
        </w:rPr>
        <w:t xml:space="preserve"> </w:t>
      </w:r>
    </w:p>
    <w:p w14:paraId="045D05B8" w14:textId="07037FA3" w:rsidR="00400E89" w:rsidRDefault="00DA07FC" w:rsidP="005F50A9">
      <w:pPr>
        <w:pStyle w:val="Heading1"/>
        <w:spacing w:line="343" w:lineRule="auto"/>
        <w:rPr>
          <w:rtl/>
        </w:rPr>
      </w:pPr>
      <w:r>
        <w:rPr>
          <w:rFonts w:hint="cs"/>
          <w:rtl/>
        </w:rPr>
        <w:t>עיקרי גזר הדין</w:t>
      </w:r>
    </w:p>
    <w:p w14:paraId="3EA6B7CF" w14:textId="55BE41CD" w:rsidR="005D6C71" w:rsidRDefault="00E527D8" w:rsidP="005F50A9">
      <w:pPr>
        <w:pStyle w:val="ListParagraph"/>
        <w:numPr>
          <w:ilvl w:val="0"/>
          <w:numId w:val="1"/>
        </w:numPr>
        <w:spacing w:after="120" w:line="343" w:lineRule="auto"/>
      </w:pPr>
      <w:r>
        <w:rPr>
          <w:rFonts w:hint="cs"/>
          <w:rtl/>
        </w:rPr>
        <w:t xml:space="preserve">כעולה מפסק דינו של </w:t>
      </w:r>
      <w:r w:rsidR="005B3208">
        <w:rPr>
          <w:rFonts w:hint="cs"/>
          <w:rtl/>
        </w:rPr>
        <w:t>ב</w:t>
      </w:r>
      <w:r>
        <w:rPr>
          <w:rFonts w:hint="cs"/>
          <w:rtl/>
        </w:rPr>
        <w:t xml:space="preserve">ית הדין קמא, נסיבות </w:t>
      </w:r>
      <w:r w:rsidR="005E3A5C">
        <w:rPr>
          <w:rFonts w:hint="cs"/>
          <w:rtl/>
        </w:rPr>
        <w:t>הרשע</w:t>
      </w:r>
      <w:r>
        <w:rPr>
          <w:rFonts w:hint="cs"/>
          <w:rtl/>
        </w:rPr>
        <w:t>תו</w:t>
      </w:r>
      <w:r w:rsidR="005E3A5C">
        <w:rPr>
          <w:rFonts w:hint="cs"/>
          <w:rtl/>
        </w:rPr>
        <w:t xml:space="preserve"> </w:t>
      </w:r>
      <w:r>
        <w:rPr>
          <w:rFonts w:hint="cs"/>
          <w:rtl/>
        </w:rPr>
        <w:t xml:space="preserve">של </w:t>
      </w:r>
      <w:r w:rsidR="005E3A5C">
        <w:rPr>
          <w:rFonts w:hint="cs"/>
          <w:rtl/>
        </w:rPr>
        <w:t xml:space="preserve">המערער, </w:t>
      </w:r>
      <w:r>
        <w:rPr>
          <w:rFonts w:hint="cs"/>
          <w:rtl/>
        </w:rPr>
        <w:t xml:space="preserve">הן </w:t>
      </w:r>
      <w:r w:rsidR="005E3A5C">
        <w:rPr>
          <w:rFonts w:hint="cs"/>
          <w:rtl/>
        </w:rPr>
        <w:t xml:space="preserve">כדלקמן: </w:t>
      </w:r>
      <w:r w:rsidR="005D6C71">
        <w:rPr>
          <w:rFonts w:hint="cs"/>
          <w:rtl/>
        </w:rPr>
        <w:t>המערער ו</w:t>
      </w:r>
      <w:r w:rsidR="00DA07FC">
        <w:rPr>
          <w:rFonts w:hint="cs"/>
          <w:rtl/>
        </w:rPr>
        <w:t>נפגעת העבירה</w:t>
      </w:r>
      <w:r w:rsidR="00103CE2">
        <w:rPr>
          <w:rFonts w:hint="cs"/>
          <w:rtl/>
        </w:rPr>
        <w:t>, שניהם חיילים בחיל האוויר,</w:t>
      </w:r>
      <w:r w:rsidR="005D6C71">
        <w:rPr>
          <w:rFonts w:hint="cs"/>
          <w:rtl/>
        </w:rPr>
        <w:t xml:space="preserve"> </w:t>
      </w:r>
      <w:r w:rsidR="005E3A5C">
        <w:rPr>
          <w:rFonts w:hint="cs"/>
          <w:rtl/>
        </w:rPr>
        <w:t>הכירו זה את ז</w:t>
      </w:r>
      <w:r w:rsidR="00FD15DA">
        <w:rPr>
          <w:rFonts w:hint="cs"/>
          <w:rtl/>
        </w:rPr>
        <w:t>ו</w:t>
      </w:r>
      <w:r w:rsidR="005E3A5C">
        <w:rPr>
          <w:rFonts w:hint="cs"/>
          <w:rtl/>
        </w:rPr>
        <w:t xml:space="preserve"> במהלך שירותם המשותף</w:t>
      </w:r>
      <w:r w:rsidR="00103CE2">
        <w:rPr>
          <w:rFonts w:hint="cs"/>
          <w:rtl/>
        </w:rPr>
        <w:t>.</w:t>
      </w:r>
      <w:r w:rsidR="005E3A5C">
        <w:rPr>
          <w:rFonts w:hint="cs"/>
          <w:rtl/>
        </w:rPr>
        <w:t xml:space="preserve"> </w:t>
      </w:r>
      <w:r>
        <w:rPr>
          <w:rFonts w:hint="cs"/>
          <w:rtl/>
        </w:rPr>
        <w:t>החל מ</w:t>
      </w:r>
      <w:r w:rsidR="005D6C71">
        <w:rPr>
          <w:rFonts w:hint="cs"/>
          <w:rtl/>
        </w:rPr>
        <w:t xml:space="preserve">סוף יולי 2021 </w:t>
      </w:r>
      <w:r>
        <w:rPr>
          <w:rFonts w:hint="cs"/>
          <w:rtl/>
        </w:rPr>
        <w:t xml:space="preserve">קיימו </w:t>
      </w:r>
      <w:r w:rsidR="00FD15DA">
        <w:rPr>
          <w:rFonts w:hint="cs"/>
          <w:rtl/>
        </w:rPr>
        <w:t xml:space="preserve">השניים </w:t>
      </w:r>
      <w:r w:rsidR="005D6C71">
        <w:rPr>
          <w:rFonts w:hint="cs"/>
          <w:rtl/>
        </w:rPr>
        <w:t xml:space="preserve">מערכת יחסים מינית </w:t>
      </w:r>
      <w:r w:rsidR="005B3208">
        <w:rPr>
          <w:rFonts w:hint="cs"/>
          <w:rtl/>
        </w:rPr>
        <w:t>מוסכמת</w:t>
      </w:r>
      <w:r w:rsidR="005E3A5C">
        <w:rPr>
          <w:rFonts w:hint="cs"/>
          <w:rtl/>
        </w:rPr>
        <w:t>, שכללה שלושה מפגשים מיניים</w:t>
      </w:r>
      <w:r>
        <w:rPr>
          <w:rFonts w:hint="cs"/>
          <w:rtl/>
        </w:rPr>
        <w:t xml:space="preserve">. </w:t>
      </w:r>
      <w:r w:rsidR="005E3A5C">
        <w:rPr>
          <w:rFonts w:hint="cs"/>
          <w:rtl/>
        </w:rPr>
        <w:t xml:space="preserve">האחרון </w:t>
      </w:r>
      <w:r w:rsidR="003A4AA5">
        <w:rPr>
          <w:rFonts w:hint="cs"/>
          <w:rtl/>
        </w:rPr>
        <w:t>ש</w:t>
      </w:r>
      <w:r w:rsidR="005E3A5C">
        <w:rPr>
          <w:rFonts w:hint="cs"/>
          <w:rtl/>
        </w:rPr>
        <w:t xml:space="preserve">בהם התקיים כשבועיים </w:t>
      </w:r>
      <w:r w:rsidR="005D6C71">
        <w:rPr>
          <w:rFonts w:hint="cs"/>
          <w:rtl/>
        </w:rPr>
        <w:t>לפני ה</w:t>
      </w:r>
      <w:r w:rsidR="005B3208">
        <w:rPr>
          <w:rFonts w:hint="cs"/>
          <w:rtl/>
        </w:rPr>
        <w:t>אירוע</w:t>
      </w:r>
      <w:r w:rsidR="005D6C71">
        <w:rPr>
          <w:rFonts w:hint="cs"/>
          <w:rtl/>
        </w:rPr>
        <w:t xml:space="preserve"> </w:t>
      </w:r>
      <w:r w:rsidR="005B3208">
        <w:rPr>
          <w:rFonts w:hint="cs"/>
          <w:rtl/>
        </w:rPr>
        <w:t>מושא</w:t>
      </w:r>
      <w:r w:rsidR="005D6C71">
        <w:rPr>
          <w:rFonts w:hint="cs"/>
          <w:rtl/>
        </w:rPr>
        <w:t xml:space="preserve"> כתב האישום. ב</w:t>
      </w:r>
      <w:r w:rsidR="005E3A5C">
        <w:rPr>
          <w:rFonts w:hint="cs"/>
          <w:rtl/>
        </w:rPr>
        <w:t xml:space="preserve">יום </w:t>
      </w:r>
      <w:r w:rsidR="005D6C71">
        <w:rPr>
          <w:rFonts w:hint="cs"/>
          <w:rtl/>
        </w:rPr>
        <w:t>24 באוגוסט 2021</w:t>
      </w:r>
      <w:r>
        <w:rPr>
          <w:rFonts w:hint="cs"/>
          <w:rtl/>
        </w:rPr>
        <w:t>,</w:t>
      </w:r>
      <w:r w:rsidR="005D6C71">
        <w:rPr>
          <w:rFonts w:hint="cs"/>
          <w:rtl/>
        </w:rPr>
        <w:t xml:space="preserve"> שאל המערער את </w:t>
      </w:r>
      <w:r w:rsidR="00DA07FC">
        <w:rPr>
          <w:rFonts w:hint="cs"/>
          <w:rtl/>
        </w:rPr>
        <w:t>נפגעת העבירה</w:t>
      </w:r>
      <w:r w:rsidR="005D6C71">
        <w:rPr>
          <w:rFonts w:hint="cs"/>
          <w:rtl/>
        </w:rPr>
        <w:t xml:space="preserve"> אם ברצונה ל</w:t>
      </w:r>
      <w:r w:rsidR="005E3A5C">
        <w:rPr>
          <w:rFonts w:hint="cs"/>
          <w:rtl/>
        </w:rPr>
        <w:t xml:space="preserve">קיים עמו </w:t>
      </w:r>
      <w:r w:rsidR="005B3208">
        <w:rPr>
          <w:rFonts w:hint="cs"/>
          <w:rtl/>
        </w:rPr>
        <w:t>מגע</w:t>
      </w:r>
      <w:r w:rsidR="005E3A5C">
        <w:rPr>
          <w:rFonts w:hint="cs"/>
          <w:rtl/>
        </w:rPr>
        <w:t xml:space="preserve"> מיני נוסף, והיא </w:t>
      </w:r>
      <w:r>
        <w:rPr>
          <w:rFonts w:hint="cs"/>
          <w:rtl/>
        </w:rPr>
        <w:t xml:space="preserve">השיבה </w:t>
      </w:r>
      <w:r w:rsidR="005E3A5C">
        <w:rPr>
          <w:rFonts w:hint="cs"/>
          <w:rtl/>
        </w:rPr>
        <w:t>מספר</w:t>
      </w:r>
      <w:r w:rsidR="005D6C71">
        <w:rPr>
          <w:rFonts w:hint="cs"/>
          <w:rtl/>
        </w:rPr>
        <w:t xml:space="preserve"> פעמים שאינה מעוניינת בכך</w:t>
      </w:r>
      <w:r w:rsidR="005E3A5C">
        <w:rPr>
          <w:rFonts w:hint="cs"/>
          <w:rtl/>
        </w:rPr>
        <w:t xml:space="preserve">. המערער הציע </w:t>
      </w:r>
      <w:r w:rsidR="005D6C71">
        <w:rPr>
          <w:rFonts w:hint="cs"/>
          <w:rtl/>
        </w:rPr>
        <w:t>שתשלח לו הודעה אם תשנה את דעתה במהלך היום.</w:t>
      </w:r>
    </w:p>
    <w:p w14:paraId="24D2658F" w14:textId="7EEF44D0" w:rsidR="004C17AF" w:rsidRDefault="005D6C71" w:rsidP="005F50A9">
      <w:pPr>
        <w:pStyle w:val="ListParagraph"/>
        <w:spacing w:after="120" w:line="343" w:lineRule="auto"/>
      </w:pPr>
      <w:r>
        <w:rPr>
          <w:rFonts w:hint="cs"/>
          <w:rtl/>
        </w:rPr>
        <w:t>ב</w:t>
      </w:r>
      <w:r w:rsidR="004C17AF">
        <w:rPr>
          <w:rFonts w:hint="cs"/>
          <w:rtl/>
        </w:rPr>
        <w:t xml:space="preserve">בוקר </w:t>
      </w:r>
      <w:r>
        <w:rPr>
          <w:rFonts w:hint="cs"/>
          <w:rtl/>
        </w:rPr>
        <w:t>25 באוגוסט 2021</w:t>
      </w:r>
      <w:r w:rsidR="00E527D8">
        <w:rPr>
          <w:rFonts w:hint="cs"/>
          <w:rtl/>
        </w:rPr>
        <w:t>,</w:t>
      </w:r>
      <w:r>
        <w:rPr>
          <w:rFonts w:hint="cs"/>
          <w:rtl/>
        </w:rPr>
        <w:t xml:space="preserve"> </w:t>
      </w:r>
      <w:r w:rsidR="005E3A5C">
        <w:rPr>
          <w:rFonts w:hint="cs"/>
          <w:rtl/>
        </w:rPr>
        <w:t xml:space="preserve">ביקשה </w:t>
      </w:r>
      <w:r w:rsidR="00DA07FC">
        <w:rPr>
          <w:rFonts w:hint="cs"/>
          <w:rtl/>
        </w:rPr>
        <w:t>נפגעת העבירה</w:t>
      </w:r>
      <w:r>
        <w:rPr>
          <w:rFonts w:hint="cs"/>
          <w:rtl/>
        </w:rPr>
        <w:t xml:space="preserve"> </w:t>
      </w:r>
      <w:r w:rsidR="005E3A5C">
        <w:rPr>
          <w:rFonts w:hint="cs"/>
          <w:rtl/>
        </w:rPr>
        <w:t>מה</w:t>
      </w:r>
      <w:r>
        <w:rPr>
          <w:rFonts w:hint="cs"/>
          <w:rtl/>
        </w:rPr>
        <w:t xml:space="preserve">מערער </w:t>
      </w:r>
      <w:r w:rsidR="005E3A5C">
        <w:rPr>
          <w:rFonts w:hint="cs"/>
          <w:rtl/>
        </w:rPr>
        <w:t>את המפתח שה</w:t>
      </w:r>
      <w:r w:rsidR="00E527D8">
        <w:rPr>
          <w:rFonts w:hint="cs"/>
          <w:rtl/>
        </w:rPr>
        <w:t xml:space="preserve">יה </w:t>
      </w:r>
      <w:r w:rsidR="005E3A5C">
        <w:rPr>
          <w:rFonts w:hint="cs"/>
          <w:rtl/>
        </w:rPr>
        <w:t xml:space="preserve">ברשותו למחסן </w:t>
      </w:r>
      <w:r w:rsidR="00E02701">
        <w:rPr>
          <w:rFonts w:hint="cs"/>
          <w:rtl/>
        </w:rPr>
        <w:t>ה</w:t>
      </w:r>
      <w:r w:rsidR="005E3A5C">
        <w:rPr>
          <w:rFonts w:hint="cs"/>
          <w:rtl/>
        </w:rPr>
        <w:t>אספקה בבסיס</w:t>
      </w:r>
      <w:r w:rsidR="005B3208">
        <w:rPr>
          <w:rFonts w:hint="cs"/>
          <w:rtl/>
        </w:rPr>
        <w:t>,</w:t>
      </w:r>
      <w:r w:rsidR="005E3A5C">
        <w:rPr>
          <w:rFonts w:hint="cs"/>
          <w:rtl/>
        </w:rPr>
        <w:t xml:space="preserve"> כדי ל</w:t>
      </w:r>
      <w:r w:rsidR="00E527D8">
        <w:rPr>
          <w:rFonts w:hint="cs"/>
          <w:rtl/>
        </w:rPr>
        <w:t>יט</w:t>
      </w:r>
      <w:r w:rsidR="003A4AA5">
        <w:rPr>
          <w:rFonts w:hint="cs"/>
          <w:rtl/>
        </w:rPr>
        <w:t>ו</w:t>
      </w:r>
      <w:r w:rsidR="00E527D8">
        <w:rPr>
          <w:rFonts w:hint="cs"/>
          <w:rtl/>
        </w:rPr>
        <w:t xml:space="preserve">ל משם </w:t>
      </w:r>
      <w:r w:rsidR="005E3A5C">
        <w:rPr>
          <w:rFonts w:hint="cs"/>
          <w:rtl/>
        </w:rPr>
        <w:t xml:space="preserve">מצרכים להכנת ארוחת בוקר. המערער הודיע </w:t>
      </w:r>
      <w:r w:rsidR="00E527D8">
        <w:rPr>
          <w:rFonts w:hint="cs"/>
          <w:rtl/>
        </w:rPr>
        <w:t xml:space="preserve">לה </w:t>
      </w:r>
      <w:r w:rsidR="005E3A5C">
        <w:rPr>
          <w:rFonts w:hint="cs"/>
          <w:rtl/>
        </w:rPr>
        <w:t xml:space="preserve">כי יצטרף אליה, </w:t>
      </w:r>
      <w:r>
        <w:rPr>
          <w:rFonts w:hint="cs"/>
          <w:rtl/>
        </w:rPr>
        <w:t>והשניים הלכו יחד למחסן.</w:t>
      </w:r>
      <w:r w:rsidR="003D71D8">
        <w:rPr>
          <w:rFonts w:hint="cs"/>
          <w:rtl/>
        </w:rPr>
        <w:t xml:space="preserve"> </w:t>
      </w:r>
      <w:r w:rsidR="00DA07FC">
        <w:rPr>
          <w:rFonts w:hint="cs"/>
          <w:rtl/>
        </w:rPr>
        <w:t>נפגעת העבירה</w:t>
      </w:r>
      <w:r w:rsidR="003D71D8">
        <w:rPr>
          <w:rFonts w:hint="cs"/>
          <w:rtl/>
        </w:rPr>
        <w:t xml:space="preserve"> אספה את </w:t>
      </w:r>
      <w:r w:rsidR="0039675C">
        <w:rPr>
          <w:rFonts w:hint="cs"/>
          <w:rtl/>
        </w:rPr>
        <w:t xml:space="preserve">המצרכים </w:t>
      </w:r>
      <w:r w:rsidR="003D71D8">
        <w:rPr>
          <w:rFonts w:hint="cs"/>
          <w:rtl/>
        </w:rPr>
        <w:t>הדרוש</w:t>
      </w:r>
      <w:r w:rsidR="0039675C">
        <w:rPr>
          <w:rFonts w:hint="cs"/>
          <w:rtl/>
        </w:rPr>
        <w:t>ים</w:t>
      </w:r>
      <w:r w:rsidR="003D71D8">
        <w:rPr>
          <w:rFonts w:hint="cs"/>
          <w:rtl/>
        </w:rPr>
        <w:t xml:space="preserve"> לה וה</w:t>
      </w:r>
      <w:r w:rsidR="0039675C">
        <w:rPr>
          <w:rFonts w:hint="cs"/>
          <w:rtl/>
        </w:rPr>
        <w:t xml:space="preserve">תקדמה לעבר </w:t>
      </w:r>
      <w:r w:rsidR="003D71D8">
        <w:rPr>
          <w:rFonts w:hint="cs"/>
          <w:rtl/>
        </w:rPr>
        <w:t>דלת המחסן כדי ל</w:t>
      </w:r>
      <w:r w:rsidR="0039675C">
        <w:rPr>
          <w:rFonts w:hint="cs"/>
          <w:rtl/>
        </w:rPr>
        <w:t>עזוב את המקום</w:t>
      </w:r>
      <w:r w:rsidR="005B3208">
        <w:rPr>
          <w:rFonts w:hint="cs"/>
          <w:rtl/>
        </w:rPr>
        <w:t xml:space="preserve">. או אז צבט </w:t>
      </w:r>
      <w:r w:rsidR="0039675C">
        <w:rPr>
          <w:rFonts w:hint="cs"/>
          <w:rtl/>
        </w:rPr>
        <w:t xml:space="preserve">המערער שעמד מאחוריה את ישבנה </w:t>
      </w:r>
      <w:r w:rsidR="004C17AF">
        <w:rPr>
          <w:rFonts w:hint="cs"/>
          <w:rtl/>
        </w:rPr>
        <w:t xml:space="preserve">ללא הסכמתה. </w:t>
      </w:r>
      <w:r w:rsidR="0039675C">
        <w:rPr>
          <w:rFonts w:hint="cs"/>
          <w:rtl/>
        </w:rPr>
        <w:t>מיד לאחר מכן רכן ו</w:t>
      </w:r>
      <w:r w:rsidR="004C17AF">
        <w:rPr>
          <w:rFonts w:hint="cs"/>
          <w:rtl/>
        </w:rPr>
        <w:t>נישק א</w:t>
      </w:r>
      <w:r w:rsidR="005B3208">
        <w:rPr>
          <w:rFonts w:hint="cs"/>
          <w:rtl/>
        </w:rPr>
        <w:t>ותה</w:t>
      </w:r>
      <w:r w:rsidR="004C17AF">
        <w:rPr>
          <w:rFonts w:hint="cs"/>
          <w:rtl/>
        </w:rPr>
        <w:t xml:space="preserve"> בפיה. היא הרחיקה אותו ממנה ואמרה שאינה "רוצה כלום", אולם הוא נישק אותה בפיה שנית. </w:t>
      </w:r>
      <w:r w:rsidR="00DA07FC">
        <w:rPr>
          <w:rFonts w:hint="cs"/>
          <w:rtl/>
        </w:rPr>
        <w:t>נפגעת העבירה</w:t>
      </w:r>
      <w:r w:rsidR="004C17AF">
        <w:rPr>
          <w:rFonts w:hint="cs"/>
          <w:rtl/>
        </w:rPr>
        <w:t xml:space="preserve"> ניסתה לסגת אחור ולהתרחק מהמערער, א</w:t>
      </w:r>
      <w:r w:rsidR="0039675C">
        <w:rPr>
          <w:rFonts w:hint="cs"/>
          <w:rtl/>
        </w:rPr>
        <w:t>ך</w:t>
      </w:r>
      <w:r w:rsidR="004C17AF">
        <w:rPr>
          <w:rFonts w:hint="cs"/>
          <w:rtl/>
        </w:rPr>
        <w:t xml:space="preserve"> נתקלה בקיר. המערער </w:t>
      </w:r>
      <w:r w:rsidR="0039675C">
        <w:rPr>
          <w:rFonts w:hint="cs"/>
          <w:rtl/>
        </w:rPr>
        <w:t xml:space="preserve">נטל </w:t>
      </w:r>
      <w:r w:rsidR="004C17AF">
        <w:rPr>
          <w:rFonts w:hint="cs"/>
          <w:rtl/>
        </w:rPr>
        <w:t xml:space="preserve">את ידה והניח אותה על איבר מינו מעל למכנסיו. </w:t>
      </w:r>
      <w:r w:rsidR="00DA07FC">
        <w:rPr>
          <w:rFonts w:hint="cs"/>
          <w:rtl/>
        </w:rPr>
        <w:t>נפגעת העבירה</w:t>
      </w:r>
      <w:r w:rsidR="004C17AF">
        <w:rPr>
          <w:rFonts w:hint="cs"/>
          <w:rtl/>
        </w:rPr>
        <w:t xml:space="preserve"> אמרה למערער </w:t>
      </w:r>
      <w:r w:rsidR="0039675C">
        <w:rPr>
          <w:rFonts w:hint="cs"/>
          <w:rtl/>
        </w:rPr>
        <w:t>מספר</w:t>
      </w:r>
      <w:r w:rsidR="004C17AF">
        <w:rPr>
          <w:rFonts w:hint="cs"/>
          <w:rtl/>
        </w:rPr>
        <w:t xml:space="preserve"> פעמים שאינה </w:t>
      </w:r>
      <w:r w:rsidR="0039675C">
        <w:rPr>
          <w:rFonts w:hint="cs"/>
          <w:rtl/>
        </w:rPr>
        <w:t>מעוניינת</w:t>
      </w:r>
      <w:r w:rsidR="004C17AF">
        <w:rPr>
          <w:rFonts w:hint="cs"/>
          <w:rtl/>
        </w:rPr>
        <w:t xml:space="preserve"> לעשות בו מעשה אונן</w:t>
      </w:r>
      <w:r w:rsidR="0039675C">
        <w:rPr>
          <w:rFonts w:hint="cs"/>
          <w:rtl/>
        </w:rPr>
        <w:t xml:space="preserve">, אך </w:t>
      </w:r>
      <w:r w:rsidR="004C17AF">
        <w:rPr>
          <w:rFonts w:hint="cs"/>
          <w:rtl/>
        </w:rPr>
        <w:t xml:space="preserve">המערער אמר </w:t>
      </w:r>
      <w:r w:rsidR="005B3208">
        <w:rPr>
          <w:rFonts w:hint="cs"/>
          <w:rtl/>
        </w:rPr>
        <w:t xml:space="preserve">לה </w:t>
      </w:r>
      <w:r w:rsidR="004C17AF">
        <w:rPr>
          <w:rFonts w:hint="cs"/>
          <w:rtl/>
        </w:rPr>
        <w:t>שהוא "חייב את העזרה שלך" ו"ממש חרמן", וביקש</w:t>
      </w:r>
      <w:r w:rsidR="0039675C">
        <w:rPr>
          <w:rFonts w:hint="cs"/>
          <w:rtl/>
        </w:rPr>
        <w:t xml:space="preserve"> ש"תעזור לו". לאחר מכן </w:t>
      </w:r>
      <w:r w:rsidR="00F75A3A">
        <w:rPr>
          <w:rFonts w:hint="cs"/>
          <w:rtl/>
        </w:rPr>
        <w:t>פתח את כפתורי מכנסיו וביקש מ</w:t>
      </w:r>
      <w:r w:rsidR="00DA07FC">
        <w:rPr>
          <w:rFonts w:hint="cs"/>
          <w:rtl/>
        </w:rPr>
        <w:t>נפגעת העבירה</w:t>
      </w:r>
      <w:r w:rsidR="00F75A3A">
        <w:rPr>
          <w:rFonts w:hint="cs"/>
          <w:rtl/>
        </w:rPr>
        <w:t xml:space="preserve"> שתכניס את ידה למכנסיו ותבצע בו מעשה אונן. </w:t>
      </w:r>
      <w:r w:rsidR="00DA07FC">
        <w:rPr>
          <w:rFonts w:hint="cs"/>
          <w:rtl/>
        </w:rPr>
        <w:t>נפגעת העבירה</w:t>
      </w:r>
      <w:r w:rsidR="00F75A3A">
        <w:rPr>
          <w:rFonts w:hint="cs"/>
          <w:rtl/>
        </w:rPr>
        <w:t xml:space="preserve"> סירבה בתוקף. היא ניסתה לצאת מהמחסן, אולם המערער תפס את ידה ומשך אותה לעברו</w:t>
      </w:r>
      <w:r w:rsidR="003965DF">
        <w:rPr>
          <w:rFonts w:hint="cs"/>
          <w:rtl/>
        </w:rPr>
        <w:t xml:space="preserve">, </w:t>
      </w:r>
      <w:r w:rsidR="00F75A3A">
        <w:rPr>
          <w:rFonts w:hint="cs"/>
          <w:rtl/>
        </w:rPr>
        <w:t xml:space="preserve">אחז שנית בידה </w:t>
      </w:r>
      <w:r w:rsidR="003965DF">
        <w:rPr>
          <w:rFonts w:hint="cs"/>
          <w:rtl/>
        </w:rPr>
        <w:t>ו</w:t>
      </w:r>
      <w:r w:rsidR="00F75A3A">
        <w:rPr>
          <w:rFonts w:hint="cs"/>
          <w:rtl/>
        </w:rPr>
        <w:t xml:space="preserve">הניח אותה על איבר מינו מעל </w:t>
      </w:r>
      <w:r w:rsidR="00F75A3A">
        <w:rPr>
          <w:rFonts w:hint="cs"/>
          <w:rtl/>
        </w:rPr>
        <w:lastRenderedPageBreak/>
        <w:t>לבגדיו</w:t>
      </w:r>
      <w:r w:rsidR="003965DF">
        <w:rPr>
          <w:rFonts w:hint="cs"/>
          <w:rtl/>
        </w:rPr>
        <w:t>, תוך ש</w:t>
      </w:r>
      <w:r w:rsidR="00F75A3A">
        <w:rPr>
          <w:rFonts w:hint="cs"/>
          <w:rtl/>
        </w:rPr>
        <w:t>הפציר ב</w:t>
      </w:r>
      <w:r w:rsidR="00174A54">
        <w:rPr>
          <w:rFonts w:hint="cs"/>
          <w:rtl/>
        </w:rPr>
        <w:t>ה</w:t>
      </w:r>
      <w:r w:rsidR="00F75A3A">
        <w:rPr>
          <w:rFonts w:hint="cs"/>
          <w:rtl/>
        </w:rPr>
        <w:t xml:space="preserve"> לבצע בו מעשה אונן. </w:t>
      </w:r>
      <w:r w:rsidR="00DA07FC">
        <w:rPr>
          <w:rFonts w:hint="cs"/>
          <w:rtl/>
        </w:rPr>
        <w:t>נפגעת העבירה</w:t>
      </w:r>
      <w:r w:rsidR="00F75A3A">
        <w:rPr>
          <w:rFonts w:hint="cs"/>
          <w:rtl/>
        </w:rPr>
        <w:t xml:space="preserve"> </w:t>
      </w:r>
      <w:r w:rsidR="003965DF">
        <w:rPr>
          <w:rFonts w:hint="cs"/>
          <w:rtl/>
        </w:rPr>
        <w:t>עמדה על סירובה, ולבסוף עזב ה</w:t>
      </w:r>
      <w:r w:rsidR="00F75A3A">
        <w:rPr>
          <w:rFonts w:hint="cs"/>
          <w:rtl/>
        </w:rPr>
        <w:t>מערער את ידה וביקש מ</w:t>
      </w:r>
      <w:r w:rsidR="003965DF">
        <w:rPr>
          <w:rFonts w:hint="cs"/>
          <w:rtl/>
        </w:rPr>
        <w:t>מנה</w:t>
      </w:r>
      <w:r w:rsidR="00DA07FC">
        <w:rPr>
          <w:rFonts w:hint="cs"/>
          <w:rtl/>
        </w:rPr>
        <w:t xml:space="preserve"> </w:t>
      </w:r>
      <w:r w:rsidR="00F75A3A">
        <w:rPr>
          <w:rFonts w:hint="cs"/>
          <w:rtl/>
        </w:rPr>
        <w:t xml:space="preserve">שלא תספר לאיש על המקרה. </w:t>
      </w:r>
    </w:p>
    <w:p w14:paraId="6C6898C3" w14:textId="3C2FDC9E" w:rsidR="003A27F5" w:rsidRDefault="003965DF" w:rsidP="005F50A9">
      <w:pPr>
        <w:pStyle w:val="ListParagraph"/>
        <w:numPr>
          <w:ilvl w:val="0"/>
          <w:numId w:val="1"/>
        </w:numPr>
        <w:spacing w:after="120" w:line="343" w:lineRule="auto"/>
        <w:rPr>
          <w:rtl/>
        </w:rPr>
      </w:pPr>
      <w:r>
        <w:rPr>
          <w:rFonts w:hint="cs"/>
          <w:rtl/>
        </w:rPr>
        <w:t xml:space="preserve">בעת קביעת מתחם העונש ההולם </w:t>
      </w:r>
      <w:r w:rsidR="00400E89">
        <w:rPr>
          <w:rFonts w:hint="cs"/>
          <w:rtl/>
        </w:rPr>
        <w:t xml:space="preserve">עמד בית הדין המחוזי על </w:t>
      </w:r>
      <w:r>
        <w:rPr>
          <w:rFonts w:hint="cs"/>
          <w:rtl/>
        </w:rPr>
        <w:t xml:space="preserve">מידת הפגיעה בערכים המוגנים </w:t>
      </w:r>
      <w:r w:rsidR="004532A4">
        <w:rPr>
          <w:rFonts w:hint="cs"/>
          <w:rtl/>
        </w:rPr>
        <w:t>ועל היבטי החומרה הניבטים ממעשי המערער, אשר ניצל את נגישותו למחסן, על מנת לכפות מעשים המיניים על נפגעת העבירה ותוך התעלמות מ</w:t>
      </w:r>
      <w:r w:rsidR="003A27F5">
        <w:rPr>
          <w:rFonts w:hint="cs"/>
          <w:rtl/>
        </w:rPr>
        <w:t>ה</w:t>
      </w:r>
      <w:r w:rsidR="004F62D2">
        <w:rPr>
          <w:rFonts w:hint="cs"/>
          <w:rtl/>
        </w:rPr>
        <w:t>תנגדותה ה</w:t>
      </w:r>
      <w:r w:rsidR="003A27F5">
        <w:rPr>
          <w:rFonts w:hint="cs"/>
          <w:rtl/>
        </w:rPr>
        <w:t>מפורשת</w:t>
      </w:r>
      <w:r w:rsidR="004532A4">
        <w:rPr>
          <w:rFonts w:hint="cs"/>
          <w:rtl/>
        </w:rPr>
        <w:t>.</w:t>
      </w:r>
      <w:r w:rsidR="0071728F" w:rsidRPr="0071728F">
        <w:rPr>
          <w:rFonts w:hint="cs"/>
          <w:rtl/>
        </w:rPr>
        <w:t xml:space="preserve"> </w:t>
      </w:r>
      <w:r w:rsidR="0071728F">
        <w:rPr>
          <w:rFonts w:hint="cs"/>
          <w:rtl/>
        </w:rPr>
        <w:t xml:space="preserve">נקבע </w:t>
      </w:r>
      <w:r w:rsidR="00D010C7">
        <w:rPr>
          <w:rFonts w:hint="cs"/>
          <w:rtl/>
        </w:rPr>
        <w:t xml:space="preserve">עוד </w:t>
      </w:r>
      <w:r w:rsidR="0071728F">
        <w:rPr>
          <w:rFonts w:hint="cs"/>
          <w:rtl/>
        </w:rPr>
        <w:t xml:space="preserve">כי מכלול המעשים </w:t>
      </w:r>
      <w:r w:rsidR="00D010C7">
        <w:rPr>
          <w:rFonts w:hint="cs"/>
          <w:rtl/>
        </w:rPr>
        <w:t xml:space="preserve">מבטאים </w:t>
      </w:r>
      <w:r w:rsidR="0071728F">
        <w:rPr>
          <w:rFonts w:hint="cs"/>
          <w:rtl/>
        </w:rPr>
        <w:t>"כפיה כוחנית" על גופה של נפגעת העבירה.</w:t>
      </w:r>
      <w:r w:rsidR="003A27F5">
        <w:rPr>
          <w:rFonts w:hint="cs"/>
          <w:rtl/>
        </w:rPr>
        <w:t xml:space="preserve"> לצד זאת שקל </w:t>
      </w:r>
      <w:r w:rsidR="00D010C7">
        <w:rPr>
          <w:rFonts w:hint="cs"/>
          <w:rtl/>
        </w:rPr>
        <w:t xml:space="preserve">בית הדין לקולה </w:t>
      </w:r>
      <w:r w:rsidR="004532A4">
        <w:rPr>
          <w:rFonts w:hint="cs"/>
          <w:rtl/>
        </w:rPr>
        <w:t xml:space="preserve">את העדרם של יחסי מרות בין השניים, </w:t>
      </w:r>
      <w:r w:rsidR="00D010C7">
        <w:rPr>
          <w:rFonts w:hint="cs"/>
          <w:rtl/>
        </w:rPr>
        <w:t xml:space="preserve">ואת העובדה </w:t>
      </w:r>
      <w:r w:rsidR="004532A4">
        <w:rPr>
          <w:rFonts w:hint="cs"/>
          <w:rtl/>
        </w:rPr>
        <w:t>כי האירוע היה קצר וכלל מגע מעל לבגדים ולא ב</w:t>
      </w:r>
      <w:r w:rsidR="003A27F5">
        <w:rPr>
          <w:rFonts w:hint="cs"/>
          <w:rtl/>
        </w:rPr>
        <w:t xml:space="preserve">איברים אינטימיים של נפגעת העבירה </w:t>
      </w:r>
      <w:r w:rsidR="004532A4">
        <w:rPr>
          <w:rFonts w:hint="cs"/>
          <w:rtl/>
        </w:rPr>
        <w:t xml:space="preserve">(מלבד הצביטה בישבנה). </w:t>
      </w:r>
      <w:r w:rsidR="003A27F5">
        <w:rPr>
          <w:rFonts w:hint="cs"/>
          <w:rtl/>
        </w:rPr>
        <w:t xml:space="preserve">עוד התחשב בית הדין בנזק </w:t>
      </w:r>
      <w:r w:rsidR="005F50A9">
        <w:rPr>
          <w:rFonts w:hint="cs"/>
          <w:rtl/>
        </w:rPr>
        <w:t xml:space="preserve">ארוך הטווח </w:t>
      </w:r>
      <w:r w:rsidR="003A27F5">
        <w:rPr>
          <w:rFonts w:hint="cs"/>
          <w:rtl/>
        </w:rPr>
        <w:t xml:space="preserve">שנגרם לנפגעת העבירה, </w:t>
      </w:r>
      <w:r w:rsidR="009070B7">
        <w:rPr>
          <w:rFonts w:hint="cs"/>
          <w:rtl/>
        </w:rPr>
        <w:t>שלא יפורט עקב צנעת הפרט.</w:t>
      </w:r>
    </w:p>
    <w:p w14:paraId="07792033" w14:textId="78BD7E99" w:rsidR="00400E89" w:rsidRDefault="00C27392" w:rsidP="005F50A9">
      <w:pPr>
        <w:pStyle w:val="ListParagraph"/>
        <w:spacing w:after="120" w:line="343" w:lineRule="auto"/>
      </w:pPr>
      <w:r>
        <w:rPr>
          <w:rFonts w:hint="cs"/>
          <w:rtl/>
        </w:rPr>
        <w:t xml:space="preserve">לאחר האמור, ומשנשקלה גם </w:t>
      </w:r>
      <w:r w:rsidR="00400E89">
        <w:rPr>
          <w:rFonts w:hint="cs"/>
          <w:rtl/>
        </w:rPr>
        <w:t xml:space="preserve">מגמת ההחמרה בענישה בעבירות </w:t>
      </w:r>
      <w:r w:rsidR="00E61F6D">
        <w:rPr>
          <w:rFonts w:hint="cs"/>
          <w:rtl/>
        </w:rPr>
        <w:t xml:space="preserve">מין בכלל ובעבירות </w:t>
      </w:r>
      <w:r w:rsidR="00054162">
        <w:rPr>
          <w:rFonts w:hint="cs"/>
          <w:rtl/>
        </w:rPr>
        <w:t>שעניינן מעשים מגונים</w:t>
      </w:r>
      <w:r>
        <w:rPr>
          <w:rFonts w:hint="cs"/>
          <w:rtl/>
        </w:rPr>
        <w:t xml:space="preserve"> </w:t>
      </w:r>
      <w:r w:rsidR="00E61F6D">
        <w:rPr>
          <w:rFonts w:hint="cs"/>
          <w:rtl/>
        </w:rPr>
        <w:t xml:space="preserve">בפרט </w:t>
      </w:r>
      <w:r>
        <w:rPr>
          <w:rFonts w:hint="cs"/>
          <w:rtl/>
        </w:rPr>
        <w:t xml:space="preserve">(ע/53/24 </w:t>
      </w:r>
      <w:r>
        <w:rPr>
          <w:rFonts w:hint="cs"/>
          <w:b/>
          <w:bCs/>
          <w:rtl/>
        </w:rPr>
        <w:t xml:space="preserve">רס"ר (מיל') פרץ נ' התובע הצבאי הראשי </w:t>
      </w:r>
      <w:r>
        <w:rPr>
          <w:rFonts w:hint="cs"/>
          <w:rtl/>
        </w:rPr>
        <w:t xml:space="preserve">(2024); ע/51/24 </w:t>
      </w:r>
      <w:r>
        <w:rPr>
          <w:rFonts w:hint="cs"/>
          <w:b/>
          <w:bCs/>
          <w:rtl/>
        </w:rPr>
        <w:t xml:space="preserve">התובע הצבאי הראשי נ' טור' אבו סריה </w:t>
      </w:r>
      <w:r>
        <w:rPr>
          <w:rFonts w:hint="cs"/>
          <w:rtl/>
        </w:rPr>
        <w:t xml:space="preserve">(2024); ע/25/24 </w:t>
      </w:r>
      <w:r>
        <w:rPr>
          <w:rFonts w:hint="cs"/>
          <w:b/>
          <w:bCs/>
          <w:rtl/>
        </w:rPr>
        <w:t xml:space="preserve">התובע הצבאי הראשי נ' טור' ש' </w:t>
      </w:r>
      <w:r>
        <w:rPr>
          <w:rFonts w:hint="cs"/>
          <w:rtl/>
        </w:rPr>
        <w:t>(2024);</w:t>
      </w:r>
      <w:r w:rsidR="000D4528">
        <w:rPr>
          <w:rFonts w:hint="cs"/>
          <w:rtl/>
        </w:rPr>
        <w:t xml:space="preserve"> ע/55,53 </w:t>
      </w:r>
      <w:r w:rsidR="000D4528">
        <w:rPr>
          <w:rFonts w:hint="cs"/>
          <w:b/>
          <w:bCs/>
          <w:rtl/>
        </w:rPr>
        <w:t xml:space="preserve">רס"ל </w:t>
      </w:r>
      <w:proofErr w:type="spellStart"/>
      <w:r w:rsidR="000D4528">
        <w:rPr>
          <w:rFonts w:hint="cs"/>
          <w:b/>
          <w:bCs/>
          <w:rtl/>
        </w:rPr>
        <w:t>ענטנברג</w:t>
      </w:r>
      <w:proofErr w:type="spellEnd"/>
      <w:r w:rsidR="000D4528">
        <w:rPr>
          <w:rFonts w:hint="cs"/>
          <w:b/>
          <w:bCs/>
          <w:rtl/>
        </w:rPr>
        <w:t xml:space="preserve"> נ' התובע הצבאי הראשי </w:t>
      </w:r>
      <w:r w:rsidR="000D4528">
        <w:rPr>
          <w:rFonts w:hint="cs"/>
          <w:rtl/>
        </w:rPr>
        <w:t xml:space="preserve">(2023); ע/32/23 </w:t>
      </w:r>
      <w:r w:rsidR="000D4528">
        <w:rPr>
          <w:rFonts w:hint="cs"/>
          <w:b/>
          <w:bCs/>
          <w:rtl/>
        </w:rPr>
        <w:t xml:space="preserve">סמל כהן נ' התובע הצבאי הראשי </w:t>
      </w:r>
      <w:r w:rsidR="000D4528">
        <w:rPr>
          <w:rFonts w:hint="cs"/>
          <w:rtl/>
        </w:rPr>
        <w:t xml:space="preserve">(2023); ע/15/23 </w:t>
      </w:r>
      <w:r w:rsidR="000D4528">
        <w:rPr>
          <w:rFonts w:hint="cs"/>
          <w:b/>
          <w:bCs/>
          <w:rtl/>
        </w:rPr>
        <w:t xml:space="preserve">סמל </w:t>
      </w:r>
      <w:proofErr w:type="spellStart"/>
      <w:r w:rsidR="000D4528">
        <w:rPr>
          <w:rFonts w:hint="cs"/>
          <w:b/>
          <w:bCs/>
          <w:rtl/>
        </w:rPr>
        <w:t>קבסה</w:t>
      </w:r>
      <w:proofErr w:type="spellEnd"/>
      <w:r w:rsidR="000D4528">
        <w:rPr>
          <w:rFonts w:hint="cs"/>
          <w:b/>
          <w:bCs/>
          <w:rtl/>
        </w:rPr>
        <w:t xml:space="preserve"> נ' התובע הצבאי הראשי </w:t>
      </w:r>
      <w:r w:rsidR="000D4528">
        <w:rPr>
          <w:rFonts w:hint="cs"/>
          <w:rtl/>
        </w:rPr>
        <w:t xml:space="preserve">(2023); ע/12,14/22 </w:t>
      </w:r>
      <w:r w:rsidR="000D4528">
        <w:rPr>
          <w:rFonts w:hint="cs"/>
          <w:b/>
          <w:bCs/>
          <w:rtl/>
        </w:rPr>
        <w:t xml:space="preserve">סמ"ר </w:t>
      </w:r>
      <w:proofErr w:type="spellStart"/>
      <w:r w:rsidR="000D4528">
        <w:rPr>
          <w:rFonts w:hint="cs"/>
          <w:b/>
          <w:bCs/>
          <w:rtl/>
        </w:rPr>
        <w:t>אמסלם</w:t>
      </w:r>
      <w:proofErr w:type="spellEnd"/>
      <w:r w:rsidR="000D4528">
        <w:rPr>
          <w:rFonts w:hint="cs"/>
          <w:b/>
          <w:bCs/>
          <w:rtl/>
        </w:rPr>
        <w:t xml:space="preserve"> נ' התובע הצבאי הראשי </w:t>
      </w:r>
      <w:r w:rsidR="000D4528">
        <w:rPr>
          <w:rFonts w:hint="cs"/>
          <w:rtl/>
        </w:rPr>
        <w:t xml:space="preserve">(2022); ע/8/21 </w:t>
      </w:r>
      <w:r w:rsidR="000D4528">
        <w:rPr>
          <w:rFonts w:hint="cs"/>
          <w:b/>
          <w:bCs/>
          <w:rtl/>
        </w:rPr>
        <w:t xml:space="preserve">סמ"ר זנו נ' התובע הצבאי הראשי </w:t>
      </w:r>
      <w:r w:rsidR="000D4528">
        <w:rPr>
          <w:rFonts w:hint="cs"/>
          <w:rtl/>
        </w:rPr>
        <w:t>(2021)</w:t>
      </w:r>
      <w:r w:rsidR="00E61F6D">
        <w:rPr>
          <w:rFonts w:hint="cs"/>
          <w:rtl/>
        </w:rPr>
        <w:t>)</w:t>
      </w:r>
      <w:r w:rsidR="004F62D2">
        <w:rPr>
          <w:rFonts w:hint="cs"/>
          <w:rtl/>
        </w:rPr>
        <w:t>,</w:t>
      </w:r>
      <w:r w:rsidR="000D4528">
        <w:rPr>
          <w:rFonts w:hint="cs"/>
          <w:rtl/>
        </w:rPr>
        <w:t xml:space="preserve"> </w:t>
      </w:r>
      <w:r w:rsidR="00400E89">
        <w:rPr>
          <w:rFonts w:hint="cs"/>
          <w:rtl/>
        </w:rPr>
        <w:t xml:space="preserve">קבע </w:t>
      </w:r>
      <w:r w:rsidR="000D4528">
        <w:rPr>
          <w:rFonts w:hint="cs"/>
          <w:rtl/>
        </w:rPr>
        <w:t xml:space="preserve">בית הדין קמא </w:t>
      </w:r>
      <w:r w:rsidR="00400E89">
        <w:rPr>
          <w:rFonts w:hint="cs"/>
          <w:rtl/>
        </w:rPr>
        <w:t xml:space="preserve">מתחם עונש הולם </w:t>
      </w:r>
      <w:r w:rsidR="000D4528">
        <w:rPr>
          <w:rFonts w:hint="cs"/>
          <w:rtl/>
        </w:rPr>
        <w:t>הנע בין</w:t>
      </w:r>
      <w:r w:rsidR="00400E89">
        <w:rPr>
          <w:rFonts w:hint="cs"/>
          <w:rtl/>
        </w:rPr>
        <w:t xml:space="preserve"> </w:t>
      </w:r>
      <w:r w:rsidR="00400E89" w:rsidRPr="00103CE2">
        <w:rPr>
          <w:rFonts w:hint="eastAsia"/>
          <w:b/>
          <w:bCs/>
          <w:rtl/>
        </w:rPr>
        <w:t>ארבעה</w:t>
      </w:r>
      <w:r w:rsidR="00400E89" w:rsidRPr="00103CE2">
        <w:rPr>
          <w:b/>
          <w:bCs/>
          <w:rtl/>
        </w:rPr>
        <w:t xml:space="preserve"> </w:t>
      </w:r>
      <w:r w:rsidR="009070B7">
        <w:rPr>
          <w:rFonts w:hint="cs"/>
          <w:b/>
          <w:bCs/>
          <w:rtl/>
        </w:rPr>
        <w:t>ל</w:t>
      </w:r>
      <w:r w:rsidR="00400E89" w:rsidRPr="00103CE2">
        <w:rPr>
          <w:rFonts w:hint="eastAsia"/>
          <w:b/>
          <w:bCs/>
          <w:rtl/>
        </w:rPr>
        <w:t>עשרה</w:t>
      </w:r>
      <w:r w:rsidR="00400E89" w:rsidRPr="00103CE2">
        <w:rPr>
          <w:b/>
          <w:bCs/>
          <w:rtl/>
        </w:rPr>
        <w:t xml:space="preserve"> </w:t>
      </w:r>
      <w:r w:rsidR="00400E89" w:rsidRPr="00103CE2">
        <w:rPr>
          <w:rFonts w:hint="eastAsia"/>
          <w:b/>
          <w:bCs/>
          <w:rtl/>
        </w:rPr>
        <w:t>חודשי</w:t>
      </w:r>
      <w:r w:rsidR="00400E89" w:rsidRPr="00103CE2">
        <w:rPr>
          <w:b/>
          <w:bCs/>
          <w:rtl/>
        </w:rPr>
        <w:t xml:space="preserve"> </w:t>
      </w:r>
      <w:r w:rsidR="00400E89" w:rsidRPr="00103CE2">
        <w:rPr>
          <w:rFonts w:hint="eastAsia"/>
          <w:b/>
          <w:bCs/>
          <w:rtl/>
        </w:rPr>
        <w:t>מאסר</w:t>
      </w:r>
      <w:r w:rsidR="00400E89" w:rsidRPr="00103CE2">
        <w:rPr>
          <w:b/>
          <w:bCs/>
          <w:rtl/>
        </w:rPr>
        <w:t xml:space="preserve"> </w:t>
      </w:r>
      <w:r w:rsidR="00400E89" w:rsidRPr="00103CE2">
        <w:rPr>
          <w:rFonts w:hint="eastAsia"/>
          <w:b/>
          <w:bCs/>
          <w:rtl/>
        </w:rPr>
        <w:t>בפועל</w:t>
      </w:r>
      <w:r w:rsidR="00400E89">
        <w:rPr>
          <w:rFonts w:hint="cs"/>
          <w:rtl/>
        </w:rPr>
        <w:t>, לצד מאסר מותנה, פגיעה בדרגה ו</w:t>
      </w:r>
      <w:r w:rsidR="00E61F6D">
        <w:rPr>
          <w:rFonts w:hint="cs"/>
          <w:rtl/>
        </w:rPr>
        <w:t xml:space="preserve">רכיב של </w:t>
      </w:r>
      <w:r w:rsidR="000D4528">
        <w:rPr>
          <w:rFonts w:hint="cs"/>
          <w:rtl/>
        </w:rPr>
        <w:t>פיצויים לנפגעת העבירה</w:t>
      </w:r>
      <w:r w:rsidR="00E61F6D">
        <w:rPr>
          <w:rFonts w:hint="cs"/>
          <w:rtl/>
        </w:rPr>
        <w:t>,</w:t>
      </w:r>
      <w:r w:rsidR="000D4528">
        <w:rPr>
          <w:rFonts w:hint="cs"/>
          <w:rtl/>
        </w:rPr>
        <w:t xml:space="preserve"> בשיעור הנע בין </w:t>
      </w:r>
      <w:r w:rsidR="00400E89">
        <w:rPr>
          <w:rFonts w:hint="cs"/>
          <w:rtl/>
        </w:rPr>
        <w:t>5,000</w:t>
      </w:r>
      <w:r w:rsidR="000D4528">
        <w:rPr>
          <w:rFonts w:hint="cs"/>
          <w:rtl/>
        </w:rPr>
        <w:t xml:space="preserve"> ל-</w:t>
      </w:r>
      <w:r w:rsidR="00400E89">
        <w:rPr>
          <w:rFonts w:hint="cs"/>
          <w:rtl/>
        </w:rPr>
        <w:t>10,000 ש</w:t>
      </w:r>
      <w:r w:rsidR="00E61F6D">
        <w:rPr>
          <w:rFonts w:hint="cs"/>
          <w:rtl/>
        </w:rPr>
        <w:t>"ח</w:t>
      </w:r>
      <w:r w:rsidR="00400E89">
        <w:rPr>
          <w:rFonts w:hint="cs"/>
          <w:rtl/>
        </w:rPr>
        <w:t>.</w:t>
      </w:r>
    </w:p>
    <w:p w14:paraId="05FE98B3" w14:textId="7421EB8F" w:rsidR="005875D5" w:rsidRDefault="004D7834" w:rsidP="005F50A9">
      <w:pPr>
        <w:pStyle w:val="ListParagraph"/>
        <w:numPr>
          <w:ilvl w:val="0"/>
          <w:numId w:val="1"/>
        </w:numPr>
        <w:spacing w:after="120" w:line="343" w:lineRule="auto"/>
      </w:pPr>
      <w:r>
        <w:rPr>
          <w:rFonts w:hint="cs"/>
          <w:rtl/>
        </w:rPr>
        <w:t xml:space="preserve">בית הדין קמא </w:t>
      </w:r>
      <w:r w:rsidR="009070B7">
        <w:rPr>
          <w:rFonts w:hint="cs"/>
          <w:rtl/>
        </w:rPr>
        <w:t xml:space="preserve">דחה </w:t>
      </w:r>
      <w:r>
        <w:rPr>
          <w:rFonts w:hint="cs"/>
          <w:rtl/>
        </w:rPr>
        <w:t>את עתירת ההגנה ל</w:t>
      </w:r>
      <w:r w:rsidR="004532A4">
        <w:rPr>
          <w:rFonts w:hint="cs"/>
          <w:rtl/>
        </w:rPr>
        <w:t xml:space="preserve">חרוג לקולה מהמתחם שנקבע </w:t>
      </w:r>
      <w:r>
        <w:rPr>
          <w:rFonts w:hint="cs"/>
          <w:rtl/>
        </w:rPr>
        <w:t>מטעמי שיקום</w:t>
      </w:r>
      <w:r w:rsidR="004532A4">
        <w:rPr>
          <w:rFonts w:hint="cs"/>
          <w:rtl/>
        </w:rPr>
        <w:t xml:space="preserve">. </w:t>
      </w:r>
      <w:r w:rsidR="009070B7">
        <w:rPr>
          <w:rFonts w:hint="cs"/>
          <w:rtl/>
        </w:rPr>
        <w:t xml:space="preserve">צוין, </w:t>
      </w:r>
      <w:r w:rsidR="004532A4">
        <w:rPr>
          <w:rFonts w:hint="cs"/>
          <w:rtl/>
        </w:rPr>
        <w:t xml:space="preserve">כי </w:t>
      </w:r>
      <w:r w:rsidR="007107AA">
        <w:rPr>
          <w:rFonts w:hint="cs"/>
          <w:rtl/>
        </w:rPr>
        <w:t xml:space="preserve">המערער </w:t>
      </w:r>
      <w:r w:rsidR="00400E89">
        <w:rPr>
          <w:rFonts w:hint="cs"/>
          <w:rtl/>
        </w:rPr>
        <w:t xml:space="preserve">לא השתלב בהליך שיקום, </w:t>
      </w:r>
      <w:r w:rsidR="00E61F6D">
        <w:rPr>
          <w:rFonts w:hint="cs"/>
          <w:rtl/>
        </w:rPr>
        <w:t xml:space="preserve">לא נטל אחריות על מעשיו </w:t>
      </w:r>
      <w:r w:rsidR="007107AA">
        <w:rPr>
          <w:rFonts w:hint="cs"/>
          <w:rtl/>
        </w:rPr>
        <w:t>ואינו מעוניין בטיפול י</w:t>
      </w:r>
      <w:r w:rsidR="00E61F6D">
        <w:rPr>
          <w:rFonts w:hint="cs"/>
          <w:rtl/>
        </w:rPr>
        <w:t>י</w:t>
      </w:r>
      <w:r w:rsidR="007107AA">
        <w:rPr>
          <w:rFonts w:hint="cs"/>
          <w:rtl/>
        </w:rPr>
        <w:t>עודי</w:t>
      </w:r>
      <w:r w:rsidR="00E61F6D">
        <w:rPr>
          <w:rFonts w:hint="cs"/>
          <w:rtl/>
        </w:rPr>
        <w:t>. הו</w:t>
      </w:r>
      <w:r w:rsidR="004F62D2">
        <w:rPr>
          <w:rFonts w:hint="cs"/>
          <w:rtl/>
        </w:rPr>
        <w:t>ט</w:t>
      </w:r>
      <w:r w:rsidR="00E61F6D">
        <w:rPr>
          <w:rFonts w:hint="cs"/>
          <w:rtl/>
        </w:rPr>
        <w:t xml:space="preserve">עם עוד, </w:t>
      </w:r>
      <w:r w:rsidR="007107AA">
        <w:rPr>
          <w:rFonts w:hint="cs"/>
          <w:rtl/>
        </w:rPr>
        <w:t xml:space="preserve">כי </w:t>
      </w:r>
      <w:r w:rsidR="004532A4">
        <w:rPr>
          <w:rFonts w:hint="cs"/>
          <w:rtl/>
        </w:rPr>
        <w:t>על אף ש</w:t>
      </w:r>
      <w:r w:rsidR="004F62D2">
        <w:rPr>
          <w:rFonts w:hint="cs"/>
          <w:rtl/>
        </w:rPr>
        <w:t xml:space="preserve">נקבע </w:t>
      </w:r>
      <w:r w:rsidR="004532A4">
        <w:rPr>
          <w:rFonts w:hint="cs"/>
          <w:rtl/>
        </w:rPr>
        <w:t xml:space="preserve">בהערכת המסוכנות </w:t>
      </w:r>
      <w:r w:rsidR="004F62D2">
        <w:rPr>
          <w:rFonts w:hint="cs"/>
          <w:rtl/>
        </w:rPr>
        <w:t xml:space="preserve">שמסוכנותו המינית </w:t>
      </w:r>
      <w:r w:rsidR="004532A4">
        <w:rPr>
          <w:rFonts w:hint="cs"/>
          <w:rtl/>
        </w:rPr>
        <w:t>נמוכה, הרי ש</w:t>
      </w:r>
      <w:r w:rsidR="007107AA">
        <w:rPr>
          <w:rFonts w:hint="cs"/>
          <w:rtl/>
        </w:rPr>
        <w:t xml:space="preserve">מעריכת המסוכנות </w:t>
      </w:r>
      <w:r w:rsidR="004532A4">
        <w:rPr>
          <w:rFonts w:hint="cs"/>
          <w:rtl/>
        </w:rPr>
        <w:t xml:space="preserve">התרשמה </w:t>
      </w:r>
      <w:r w:rsidR="007107AA">
        <w:rPr>
          <w:rFonts w:hint="cs"/>
          <w:rtl/>
        </w:rPr>
        <w:t xml:space="preserve">כי המערער נעדר תובנה ביחס למניע לביצוע העבירה ונטול מודעות לעיוותי החשיבה </w:t>
      </w:r>
      <w:r w:rsidR="004F62D2">
        <w:rPr>
          <w:rFonts w:hint="cs"/>
          <w:rtl/>
        </w:rPr>
        <w:t>ש</w:t>
      </w:r>
      <w:r w:rsidR="007107AA">
        <w:rPr>
          <w:rFonts w:hint="cs"/>
          <w:rtl/>
        </w:rPr>
        <w:t>בהם החזיק בעת ביצוע העבירה</w:t>
      </w:r>
      <w:r w:rsidR="007E7EC3">
        <w:rPr>
          <w:rFonts w:hint="cs"/>
          <w:rtl/>
        </w:rPr>
        <w:t xml:space="preserve">. </w:t>
      </w:r>
      <w:r w:rsidR="00A60CFF">
        <w:rPr>
          <w:rFonts w:hint="cs"/>
          <w:rtl/>
        </w:rPr>
        <w:t>באופן דומה התרשמה גם עורכת תסקיר העונש שהוגש</w:t>
      </w:r>
      <w:r w:rsidR="007E7EC3">
        <w:rPr>
          <w:rFonts w:hint="cs"/>
          <w:rtl/>
        </w:rPr>
        <w:t xml:space="preserve"> ואף המערער, </w:t>
      </w:r>
      <w:r w:rsidR="007107AA">
        <w:rPr>
          <w:rFonts w:hint="cs"/>
          <w:rtl/>
        </w:rPr>
        <w:t>בדבר</w:t>
      </w:r>
      <w:r w:rsidR="00E02701">
        <w:rPr>
          <w:rFonts w:hint="cs"/>
          <w:rtl/>
        </w:rPr>
        <w:t>י</w:t>
      </w:r>
      <w:r w:rsidR="007107AA">
        <w:rPr>
          <w:rFonts w:hint="cs"/>
          <w:rtl/>
        </w:rPr>
        <w:t xml:space="preserve">ו </w:t>
      </w:r>
      <w:r w:rsidR="00E61F6D">
        <w:rPr>
          <w:rFonts w:hint="cs"/>
          <w:rtl/>
        </w:rPr>
        <w:t xml:space="preserve">לאחר טיעוני הצדדים לעונש, </w:t>
      </w:r>
      <w:r w:rsidR="007107AA">
        <w:rPr>
          <w:rFonts w:hint="cs"/>
          <w:rtl/>
        </w:rPr>
        <w:t xml:space="preserve">לא התייחס כלל להשפעה של מעשיו על נפגעת העבירה. </w:t>
      </w:r>
    </w:p>
    <w:p w14:paraId="2C2551C2" w14:textId="0108A88B" w:rsidR="005875D5" w:rsidRDefault="00400E89" w:rsidP="005F50A9">
      <w:pPr>
        <w:pStyle w:val="ListParagraph"/>
        <w:spacing w:after="120" w:line="343" w:lineRule="auto"/>
      </w:pPr>
      <w:r>
        <w:rPr>
          <w:rFonts w:hint="cs"/>
          <w:rtl/>
        </w:rPr>
        <w:t>ב</w:t>
      </w:r>
      <w:r w:rsidR="007107AA">
        <w:rPr>
          <w:rFonts w:hint="cs"/>
          <w:rtl/>
        </w:rPr>
        <w:t xml:space="preserve">תוך </w:t>
      </w:r>
      <w:r>
        <w:rPr>
          <w:rFonts w:hint="cs"/>
          <w:rtl/>
        </w:rPr>
        <w:t xml:space="preserve">גדרי המתחם </w:t>
      </w:r>
      <w:r w:rsidR="005875D5">
        <w:rPr>
          <w:rFonts w:hint="cs"/>
          <w:rtl/>
        </w:rPr>
        <w:t xml:space="preserve">שקל בית הדין קמא כי המערער נעדר </w:t>
      </w:r>
      <w:r>
        <w:rPr>
          <w:rFonts w:hint="cs"/>
          <w:rtl/>
        </w:rPr>
        <w:t>הרשעות קודמות</w:t>
      </w:r>
      <w:r w:rsidR="004532A4">
        <w:rPr>
          <w:rFonts w:hint="cs"/>
          <w:rtl/>
        </w:rPr>
        <w:t>.</w:t>
      </w:r>
      <w:r>
        <w:rPr>
          <w:rFonts w:hint="cs"/>
          <w:rtl/>
        </w:rPr>
        <w:t xml:space="preserve"> </w:t>
      </w:r>
      <w:r w:rsidR="005875D5">
        <w:rPr>
          <w:rFonts w:hint="cs"/>
          <w:rtl/>
        </w:rPr>
        <w:t xml:space="preserve">כן שקל את </w:t>
      </w:r>
      <w:r>
        <w:rPr>
          <w:rFonts w:hint="cs"/>
          <w:rtl/>
        </w:rPr>
        <w:t xml:space="preserve">גילו הצעיר, שירותו התורם בצה"ל וחוות הדעת הטובות </w:t>
      </w:r>
      <w:r w:rsidR="009070B7">
        <w:rPr>
          <w:rFonts w:hint="cs"/>
          <w:rtl/>
        </w:rPr>
        <w:t xml:space="preserve">של </w:t>
      </w:r>
      <w:r>
        <w:rPr>
          <w:rFonts w:hint="cs"/>
          <w:rtl/>
        </w:rPr>
        <w:t>מפקדיו (</w:t>
      </w:r>
      <w:r w:rsidR="005875D5">
        <w:rPr>
          <w:rFonts w:hint="cs"/>
          <w:rtl/>
        </w:rPr>
        <w:t xml:space="preserve">המלמדות על כך שהיה לו פוטנציאל לשירות קבע). </w:t>
      </w:r>
      <w:r w:rsidR="004532A4">
        <w:rPr>
          <w:rFonts w:hint="cs"/>
          <w:rtl/>
        </w:rPr>
        <w:t>עוד</w:t>
      </w:r>
      <w:r w:rsidR="005875D5">
        <w:rPr>
          <w:rFonts w:hint="cs"/>
          <w:rtl/>
        </w:rPr>
        <w:t xml:space="preserve"> נשקלה פגיעתה האפשרית של הענישה במשפחת המערער, </w:t>
      </w:r>
      <w:r w:rsidR="00103CE2">
        <w:rPr>
          <w:rFonts w:hint="cs"/>
          <w:rtl/>
        </w:rPr>
        <w:t xml:space="preserve">כפי שנלמדה מעדות </w:t>
      </w:r>
      <w:proofErr w:type="spellStart"/>
      <w:r w:rsidR="00103CE2">
        <w:rPr>
          <w:rFonts w:hint="cs"/>
          <w:rtl/>
        </w:rPr>
        <w:t>אמו</w:t>
      </w:r>
      <w:proofErr w:type="spellEnd"/>
      <w:r w:rsidR="00103CE2">
        <w:rPr>
          <w:rFonts w:hint="cs"/>
          <w:rtl/>
        </w:rPr>
        <w:t xml:space="preserve">, מתסקיר העונש </w:t>
      </w:r>
      <w:r w:rsidR="00A60CFF">
        <w:rPr>
          <w:rFonts w:hint="cs"/>
          <w:rtl/>
        </w:rPr>
        <w:t>(</w:t>
      </w:r>
      <w:r w:rsidR="009070B7">
        <w:rPr>
          <w:rFonts w:hint="cs"/>
          <w:rtl/>
        </w:rPr>
        <w:t>ש</w:t>
      </w:r>
      <w:r w:rsidR="00A60CFF">
        <w:rPr>
          <w:rFonts w:hint="cs"/>
          <w:rtl/>
        </w:rPr>
        <w:t>בו הומלץ על חלופת מאסר)</w:t>
      </w:r>
      <w:r w:rsidR="00A60CFF">
        <w:rPr>
          <w:rFonts w:hint="cs"/>
        </w:rPr>
        <w:t xml:space="preserve"> </w:t>
      </w:r>
      <w:r w:rsidR="00103CE2">
        <w:rPr>
          <w:rFonts w:hint="cs"/>
          <w:rtl/>
        </w:rPr>
        <w:t>ו</w:t>
      </w:r>
      <w:r w:rsidR="00A60CFF">
        <w:rPr>
          <w:rFonts w:hint="cs"/>
          <w:rtl/>
        </w:rPr>
        <w:t xml:space="preserve">מדבריו בפני בית הדין קמא בטרם גזירת עונשו. מהראיות דלעיל עלה, כי </w:t>
      </w:r>
      <w:r w:rsidR="005875D5">
        <w:rPr>
          <w:rFonts w:hint="cs"/>
          <w:rtl/>
        </w:rPr>
        <w:t xml:space="preserve">אביו </w:t>
      </w:r>
      <w:r w:rsidR="00A60CFF">
        <w:rPr>
          <w:rFonts w:hint="cs"/>
          <w:rtl/>
        </w:rPr>
        <w:t xml:space="preserve">של המערער </w:t>
      </w:r>
      <w:r w:rsidR="005875D5">
        <w:rPr>
          <w:rFonts w:hint="cs"/>
          <w:rtl/>
        </w:rPr>
        <w:t>סובל מ</w:t>
      </w:r>
      <w:r w:rsidR="00E61F6D">
        <w:rPr>
          <w:rFonts w:hint="cs"/>
          <w:rtl/>
        </w:rPr>
        <w:t xml:space="preserve">בעיות בריאות </w:t>
      </w:r>
      <w:r w:rsidR="005875D5">
        <w:rPr>
          <w:rFonts w:hint="cs"/>
          <w:rtl/>
        </w:rPr>
        <w:t xml:space="preserve">ואינו </w:t>
      </w:r>
      <w:r w:rsidR="00E61F6D">
        <w:rPr>
          <w:rFonts w:hint="cs"/>
          <w:rtl/>
        </w:rPr>
        <w:t>עובד</w:t>
      </w:r>
      <w:r w:rsidR="00A60CFF">
        <w:rPr>
          <w:rFonts w:hint="cs"/>
          <w:rtl/>
        </w:rPr>
        <w:t>, וכי המערער הפך ל</w:t>
      </w:r>
      <w:r w:rsidR="005875D5">
        <w:rPr>
          <w:rFonts w:hint="cs"/>
          <w:rtl/>
        </w:rPr>
        <w:t>דמות משמעותית המסייעת בפרנסת המשפחה</w:t>
      </w:r>
      <w:r w:rsidR="00A60CFF">
        <w:rPr>
          <w:rFonts w:hint="cs"/>
          <w:rtl/>
        </w:rPr>
        <w:t xml:space="preserve">. לצד זאת </w:t>
      </w:r>
      <w:r w:rsidR="004532A4">
        <w:rPr>
          <w:rFonts w:hint="cs"/>
          <w:rtl/>
        </w:rPr>
        <w:t xml:space="preserve">הובא בפני בית הדין כי </w:t>
      </w:r>
      <w:r w:rsidR="005875D5">
        <w:rPr>
          <w:rFonts w:hint="cs"/>
          <w:rtl/>
        </w:rPr>
        <w:t xml:space="preserve">גם </w:t>
      </w:r>
      <w:r w:rsidR="00E61F6D">
        <w:rPr>
          <w:rFonts w:hint="cs"/>
          <w:rtl/>
        </w:rPr>
        <w:t xml:space="preserve">בני </w:t>
      </w:r>
      <w:r w:rsidR="005875D5">
        <w:rPr>
          <w:rFonts w:hint="cs"/>
          <w:rtl/>
        </w:rPr>
        <w:t xml:space="preserve">משפחה נוספים עובדים </w:t>
      </w:r>
      <w:r w:rsidR="004532A4">
        <w:rPr>
          <w:rFonts w:hint="cs"/>
          <w:rtl/>
        </w:rPr>
        <w:t xml:space="preserve">ותורמים לפרנסה. נקבע אפוא, כי </w:t>
      </w:r>
      <w:r w:rsidR="005875D5">
        <w:rPr>
          <w:rFonts w:hint="cs"/>
          <w:rtl/>
        </w:rPr>
        <w:t>על אף שיש להתחשב בשיקול זה, אין בו כדי להטות את הכף ולהימנע מהטלת עונש מאסר בפועל</w:t>
      </w:r>
      <w:r w:rsidR="00E61F6D">
        <w:rPr>
          <w:rFonts w:hint="cs"/>
          <w:rtl/>
        </w:rPr>
        <w:t xml:space="preserve"> בכליאה</w:t>
      </w:r>
      <w:r w:rsidR="005875D5">
        <w:rPr>
          <w:rFonts w:hint="cs"/>
          <w:rtl/>
        </w:rPr>
        <w:t xml:space="preserve">, שכן </w:t>
      </w:r>
      <w:r w:rsidR="00E61F6D">
        <w:rPr>
          <w:rFonts w:hint="cs"/>
          <w:rtl/>
        </w:rPr>
        <w:t>מאסר בפועל ב</w:t>
      </w:r>
      <w:r w:rsidR="005875D5">
        <w:rPr>
          <w:rFonts w:hint="cs"/>
          <w:rtl/>
        </w:rPr>
        <w:t xml:space="preserve">עבודה צבאית </w:t>
      </w:r>
      <w:r w:rsidR="00E61F6D">
        <w:rPr>
          <w:rFonts w:hint="cs"/>
          <w:rtl/>
        </w:rPr>
        <w:t xml:space="preserve">יחטיא את </w:t>
      </w:r>
      <w:r w:rsidR="005875D5">
        <w:rPr>
          <w:rFonts w:hint="cs"/>
          <w:rtl/>
        </w:rPr>
        <w:t xml:space="preserve">היבטי החומרה </w:t>
      </w:r>
      <w:r w:rsidR="00E61F6D">
        <w:rPr>
          <w:rFonts w:hint="cs"/>
          <w:rtl/>
        </w:rPr>
        <w:t xml:space="preserve">הגלומים </w:t>
      </w:r>
      <w:r w:rsidR="005875D5">
        <w:rPr>
          <w:rFonts w:hint="cs"/>
          <w:rtl/>
        </w:rPr>
        <w:t xml:space="preserve">במעשים. </w:t>
      </w:r>
      <w:r w:rsidR="005875D5">
        <w:rPr>
          <w:rFonts w:hint="cs"/>
          <w:rtl/>
        </w:rPr>
        <w:lastRenderedPageBreak/>
        <w:t>שיקול נוסף שנבחן עניינו חלוף הזמן (</w:t>
      </w:r>
      <w:r w:rsidR="009070B7">
        <w:rPr>
          <w:rFonts w:hint="cs"/>
          <w:rtl/>
        </w:rPr>
        <w:t xml:space="preserve">כשלוש </w:t>
      </w:r>
      <w:r w:rsidR="005875D5">
        <w:rPr>
          <w:rFonts w:hint="cs"/>
          <w:rtl/>
        </w:rPr>
        <w:t>שנים</w:t>
      </w:r>
      <w:r w:rsidR="009070B7">
        <w:rPr>
          <w:rFonts w:hint="cs"/>
          <w:rtl/>
        </w:rPr>
        <w:t xml:space="preserve"> ומחצה</w:t>
      </w:r>
      <w:r w:rsidR="005875D5">
        <w:rPr>
          <w:rFonts w:hint="cs"/>
          <w:rtl/>
        </w:rPr>
        <w:t>)</w:t>
      </w:r>
      <w:r w:rsidR="005875D5">
        <w:rPr>
          <w:rFonts w:hint="cs"/>
        </w:rPr>
        <w:t xml:space="preserve"> </w:t>
      </w:r>
      <w:r w:rsidR="005875D5">
        <w:rPr>
          <w:rFonts w:hint="cs"/>
          <w:rtl/>
        </w:rPr>
        <w:t>מאז ביצוע העבירה ועד למ</w:t>
      </w:r>
      <w:r w:rsidR="00E61F6D">
        <w:rPr>
          <w:rFonts w:hint="cs"/>
          <w:rtl/>
        </w:rPr>
        <w:t xml:space="preserve">ועד </w:t>
      </w:r>
      <w:r w:rsidR="005875D5">
        <w:rPr>
          <w:rFonts w:hint="cs"/>
          <w:rtl/>
        </w:rPr>
        <w:t>גזר הדין</w:t>
      </w:r>
      <w:r w:rsidR="00E61F6D">
        <w:rPr>
          <w:rFonts w:hint="cs"/>
          <w:rtl/>
        </w:rPr>
        <w:t xml:space="preserve">. הוטעם כי חלוף הזמן, </w:t>
      </w:r>
      <w:r w:rsidR="004532A4">
        <w:rPr>
          <w:rFonts w:hint="cs"/>
          <w:rtl/>
        </w:rPr>
        <w:t>ברובו</w:t>
      </w:r>
      <w:r w:rsidR="00E61F6D">
        <w:rPr>
          <w:rFonts w:hint="cs"/>
          <w:rtl/>
        </w:rPr>
        <w:t>,</w:t>
      </w:r>
      <w:r w:rsidR="004532A4">
        <w:rPr>
          <w:rFonts w:hint="cs"/>
          <w:rtl/>
        </w:rPr>
        <w:t xml:space="preserve"> </w:t>
      </w:r>
      <w:r w:rsidR="0003024E">
        <w:rPr>
          <w:rFonts w:hint="cs"/>
          <w:rtl/>
        </w:rPr>
        <w:t>אינו רובץ לפתחו של המערער</w:t>
      </w:r>
      <w:r w:rsidR="00E61F6D">
        <w:rPr>
          <w:rFonts w:hint="cs"/>
          <w:rtl/>
        </w:rPr>
        <w:t xml:space="preserve"> וכן, כי </w:t>
      </w:r>
      <w:r w:rsidR="004532A4">
        <w:rPr>
          <w:rFonts w:hint="cs"/>
          <w:rtl/>
        </w:rPr>
        <w:t>בפרק הזמן האמור הספיק המערער להשלים את שירותו הצבאי</w:t>
      </w:r>
      <w:r w:rsidR="00E61F6D">
        <w:rPr>
          <w:rFonts w:hint="cs"/>
          <w:rtl/>
        </w:rPr>
        <w:t xml:space="preserve"> ו</w:t>
      </w:r>
      <w:r w:rsidR="004532A4">
        <w:rPr>
          <w:rFonts w:hint="cs"/>
          <w:rtl/>
        </w:rPr>
        <w:t xml:space="preserve">להשתלב </w:t>
      </w:r>
      <w:r w:rsidR="0003024E">
        <w:rPr>
          <w:rFonts w:hint="cs"/>
          <w:rtl/>
        </w:rPr>
        <w:t>בעבודה</w:t>
      </w:r>
      <w:r w:rsidR="00E61F6D">
        <w:rPr>
          <w:rFonts w:hint="cs"/>
          <w:rtl/>
        </w:rPr>
        <w:t>,</w:t>
      </w:r>
      <w:r w:rsidR="0003024E">
        <w:rPr>
          <w:rFonts w:hint="cs"/>
          <w:rtl/>
        </w:rPr>
        <w:t xml:space="preserve"> ולא הסתבך בעבירות נוספות. לצד זאת </w:t>
      </w:r>
      <w:r w:rsidR="004532A4">
        <w:rPr>
          <w:rFonts w:hint="cs"/>
          <w:rtl/>
        </w:rPr>
        <w:t xml:space="preserve">סבר בית הדין </w:t>
      </w:r>
      <w:r w:rsidR="0003024E">
        <w:rPr>
          <w:rFonts w:hint="cs"/>
          <w:rtl/>
        </w:rPr>
        <w:t xml:space="preserve">כי אין בחלוף הזמן כדי "לעמעם את הצורך הממשי בהרתעת ה[מערער]" בהתחשב בכך שגם היום אינו נוטל אחריות על העבירה </w:t>
      </w:r>
      <w:r w:rsidR="00E61F6D">
        <w:rPr>
          <w:rFonts w:hint="cs"/>
          <w:rtl/>
        </w:rPr>
        <w:t xml:space="preserve">שביצע </w:t>
      </w:r>
      <w:r w:rsidR="0003024E">
        <w:rPr>
          <w:rFonts w:hint="cs"/>
          <w:rtl/>
        </w:rPr>
        <w:t xml:space="preserve">והוא "נטול מנגנוני הגנה מפני ביצועה של עבירה דומה נוספת". </w:t>
      </w:r>
    </w:p>
    <w:p w14:paraId="22D05DCD" w14:textId="44369A50" w:rsidR="00400E89" w:rsidRDefault="00400E89" w:rsidP="005F50A9">
      <w:pPr>
        <w:pStyle w:val="ListParagraph"/>
        <w:numPr>
          <w:ilvl w:val="0"/>
          <w:numId w:val="1"/>
        </w:numPr>
        <w:spacing w:after="120" w:line="343" w:lineRule="auto"/>
      </w:pPr>
      <w:r>
        <w:rPr>
          <w:rFonts w:hint="cs"/>
          <w:rtl/>
        </w:rPr>
        <w:t xml:space="preserve">בסופו של דבר נחלקו דעות השופטים. </w:t>
      </w:r>
      <w:r w:rsidR="0003024E">
        <w:rPr>
          <w:rFonts w:hint="cs"/>
          <w:rtl/>
        </w:rPr>
        <w:t xml:space="preserve">שופט </w:t>
      </w:r>
      <w:r>
        <w:rPr>
          <w:rFonts w:hint="cs"/>
          <w:rtl/>
        </w:rPr>
        <w:t>המיעוט</w:t>
      </w:r>
      <w:r w:rsidR="0003024E">
        <w:rPr>
          <w:rFonts w:hint="cs"/>
          <w:rtl/>
        </w:rPr>
        <w:t xml:space="preserve"> סבר כי </w:t>
      </w:r>
      <w:r>
        <w:rPr>
          <w:rFonts w:hint="cs"/>
          <w:rtl/>
        </w:rPr>
        <w:t>מעשי המערער מצויים ברף הנמוך</w:t>
      </w:r>
      <w:r w:rsidR="004532A4">
        <w:rPr>
          <w:rFonts w:hint="cs"/>
          <w:rtl/>
        </w:rPr>
        <w:t xml:space="preserve"> וכי משגם מסוכנותו הוערכה כנמוכה, הרי ש</w:t>
      </w:r>
      <w:r w:rsidR="0003024E">
        <w:rPr>
          <w:rFonts w:hint="cs"/>
          <w:rtl/>
        </w:rPr>
        <w:t xml:space="preserve">די בעונש </w:t>
      </w:r>
      <w:r w:rsidR="001D1ABB">
        <w:rPr>
          <w:rFonts w:hint="cs"/>
          <w:rtl/>
        </w:rPr>
        <w:t>מאסר בפועל</w:t>
      </w:r>
      <w:r>
        <w:rPr>
          <w:rFonts w:hint="cs"/>
          <w:rtl/>
        </w:rPr>
        <w:t xml:space="preserve"> </w:t>
      </w:r>
      <w:r w:rsidR="001D1ABB">
        <w:rPr>
          <w:rFonts w:hint="cs"/>
          <w:rtl/>
        </w:rPr>
        <w:t xml:space="preserve">של </w:t>
      </w:r>
      <w:r>
        <w:rPr>
          <w:rFonts w:hint="cs"/>
          <w:rtl/>
        </w:rPr>
        <w:t>ארבעה חודשי</w:t>
      </w:r>
      <w:r w:rsidR="001D1ABB">
        <w:rPr>
          <w:rFonts w:hint="cs"/>
          <w:rtl/>
        </w:rPr>
        <w:t xml:space="preserve">ם, </w:t>
      </w:r>
      <w:r w:rsidR="004532A4">
        <w:rPr>
          <w:rFonts w:hint="cs"/>
          <w:rtl/>
        </w:rPr>
        <w:t xml:space="preserve">המצוי </w:t>
      </w:r>
      <w:r w:rsidR="0003024E">
        <w:rPr>
          <w:rFonts w:hint="cs"/>
          <w:rtl/>
        </w:rPr>
        <w:t>בתחתית המתחם, כדי להשיג את מטרות הענישה. ל</w:t>
      </w:r>
      <w:r>
        <w:rPr>
          <w:rFonts w:hint="cs"/>
          <w:rtl/>
        </w:rPr>
        <w:t xml:space="preserve">עומת זאת, </w:t>
      </w:r>
      <w:r w:rsidR="004F62D2">
        <w:rPr>
          <w:rFonts w:hint="cs"/>
          <w:rtl/>
        </w:rPr>
        <w:t xml:space="preserve">שופטי </w:t>
      </w:r>
      <w:r>
        <w:rPr>
          <w:rFonts w:hint="cs"/>
          <w:rtl/>
        </w:rPr>
        <w:t>הרוב מצא</w:t>
      </w:r>
      <w:r w:rsidR="004F62D2">
        <w:rPr>
          <w:rFonts w:hint="cs"/>
          <w:rtl/>
        </w:rPr>
        <w:t>ו</w:t>
      </w:r>
      <w:r>
        <w:rPr>
          <w:rFonts w:hint="cs"/>
          <w:rtl/>
        </w:rPr>
        <w:t xml:space="preserve"> כי חומרת המעשים, אי קבלת אחריות והצורך בהרתעה מחייבים ענישה מחמירה יותר</w:t>
      </w:r>
      <w:r w:rsidR="001D1ABB">
        <w:rPr>
          <w:rFonts w:hint="cs"/>
          <w:rtl/>
        </w:rPr>
        <w:t xml:space="preserve">, </w:t>
      </w:r>
      <w:r w:rsidR="004532A4">
        <w:rPr>
          <w:rFonts w:hint="cs"/>
          <w:rtl/>
        </w:rPr>
        <w:t>ו</w:t>
      </w:r>
      <w:r w:rsidR="009070B7">
        <w:rPr>
          <w:rFonts w:hint="cs"/>
          <w:rtl/>
        </w:rPr>
        <w:t xml:space="preserve">את </w:t>
      </w:r>
      <w:r w:rsidR="00F36242">
        <w:rPr>
          <w:rFonts w:hint="cs"/>
          <w:rtl/>
        </w:rPr>
        <w:t xml:space="preserve">מיקום </w:t>
      </w:r>
      <w:r w:rsidR="004532A4">
        <w:rPr>
          <w:rFonts w:hint="cs"/>
          <w:rtl/>
        </w:rPr>
        <w:t xml:space="preserve">עונשו </w:t>
      </w:r>
      <w:r w:rsidR="00F36242">
        <w:rPr>
          <w:rFonts w:hint="cs"/>
          <w:rtl/>
        </w:rPr>
        <w:t xml:space="preserve">של המערער </w:t>
      </w:r>
      <w:r w:rsidR="004532A4">
        <w:rPr>
          <w:rFonts w:hint="cs"/>
          <w:rtl/>
        </w:rPr>
        <w:t>בסמוך ל</w:t>
      </w:r>
      <w:r w:rsidR="001D1ABB">
        <w:rPr>
          <w:rFonts w:hint="cs"/>
          <w:rtl/>
        </w:rPr>
        <w:t>מרכז המתחם</w:t>
      </w:r>
      <w:r w:rsidR="0003024E">
        <w:rPr>
          <w:rFonts w:hint="cs"/>
          <w:rtl/>
        </w:rPr>
        <w:t xml:space="preserve">, </w:t>
      </w:r>
      <w:r w:rsidR="00054162">
        <w:rPr>
          <w:rFonts w:hint="cs"/>
          <w:rtl/>
        </w:rPr>
        <w:t>כך ש</w:t>
      </w:r>
      <w:r w:rsidR="0003024E">
        <w:rPr>
          <w:rFonts w:hint="cs"/>
          <w:rtl/>
        </w:rPr>
        <w:t xml:space="preserve">יעמוד על </w:t>
      </w:r>
      <w:r>
        <w:rPr>
          <w:rFonts w:hint="cs"/>
          <w:rtl/>
        </w:rPr>
        <w:t>שישה חודשי מאסר בפועל</w:t>
      </w:r>
      <w:r w:rsidR="00F36242">
        <w:rPr>
          <w:rFonts w:hint="cs"/>
          <w:rtl/>
        </w:rPr>
        <w:t>,</w:t>
      </w:r>
      <w:r w:rsidR="0003024E">
        <w:rPr>
          <w:rFonts w:hint="cs"/>
          <w:rtl/>
        </w:rPr>
        <w:t xml:space="preserve"> וזאת לצד העונשים הנוספים שנפסקו, כאמור, על דעת כל השופטים. </w:t>
      </w:r>
    </w:p>
    <w:p w14:paraId="7ADA2F38" w14:textId="73728C46" w:rsidR="00400E89" w:rsidRDefault="00400E89" w:rsidP="005F50A9">
      <w:pPr>
        <w:pStyle w:val="Heading1"/>
        <w:spacing w:line="343" w:lineRule="auto"/>
        <w:rPr>
          <w:rtl/>
        </w:rPr>
      </w:pPr>
      <w:r>
        <w:rPr>
          <w:rFonts w:hint="cs"/>
          <w:rtl/>
        </w:rPr>
        <w:t>טענות הצדדים</w:t>
      </w:r>
      <w:r w:rsidR="0003024E">
        <w:rPr>
          <w:rFonts w:hint="cs"/>
          <w:rtl/>
        </w:rPr>
        <w:t xml:space="preserve"> בערעור </w:t>
      </w:r>
    </w:p>
    <w:p w14:paraId="70B31B5E" w14:textId="3BCDBAD6" w:rsidR="00817690" w:rsidRDefault="0025210E" w:rsidP="005F50A9">
      <w:pPr>
        <w:pStyle w:val="ListParagraph"/>
        <w:numPr>
          <w:ilvl w:val="0"/>
          <w:numId w:val="1"/>
        </w:numPr>
        <w:spacing w:after="120" w:line="343" w:lineRule="auto"/>
      </w:pPr>
      <w:r>
        <w:rPr>
          <w:rFonts w:hint="cs"/>
          <w:rtl/>
        </w:rPr>
        <w:t xml:space="preserve">בערעורה עתרה ההגנה לקבוע מתחם עונש הולם הנע בין שלושה לשבעה חודשי מאסר בפועל, </w:t>
      </w:r>
      <w:r w:rsidR="009070B7">
        <w:rPr>
          <w:rFonts w:hint="cs"/>
          <w:rtl/>
        </w:rPr>
        <w:t xml:space="preserve">שיכול שירוצו </w:t>
      </w:r>
      <w:r w:rsidR="00054162">
        <w:rPr>
          <w:rFonts w:hint="cs"/>
          <w:rtl/>
        </w:rPr>
        <w:t xml:space="preserve">לפחות </w:t>
      </w:r>
      <w:r w:rsidR="009070B7">
        <w:rPr>
          <w:rFonts w:hint="cs"/>
          <w:rtl/>
        </w:rPr>
        <w:t>בחלקם</w:t>
      </w:r>
      <w:r w:rsidR="00287FFB">
        <w:rPr>
          <w:rFonts w:hint="cs"/>
          <w:rtl/>
        </w:rPr>
        <w:t xml:space="preserve">, </w:t>
      </w:r>
      <w:r w:rsidR="00054162">
        <w:rPr>
          <w:rFonts w:hint="cs"/>
          <w:rtl/>
        </w:rPr>
        <w:t xml:space="preserve">בדרך של </w:t>
      </w:r>
      <w:r>
        <w:rPr>
          <w:rFonts w:hint="cs"/>
          <w:rtl/>
        </w:rPr>
        <w:t xml:space="preserve">עבודה צבאית. כן נטען, כי ראוי </w:t>
      </w:r>
      <w:r w:rsidR="00054162">
        <w:rPr>
          <w:rFonts w:hint="cs"/>
          <w:rtl/>
        </w:rPr>
        <w:t xml:space="preserve">לחרוג </w:t>
      </w:r>
      <w:r>
        <w:rPr>
          <w:rFonts w:hint="cs"/>
          <w:rtl/>
        </w:rPr>
        <w:t>לקול</w:t>
      </w:r>
      <w:r w:rsidR="00054162">
        <w:rPr>
          <w:rFonts w:hint="cs"/>
          <w:rtl/>
        </w:rPr>
        <w:t>ה</w:t>
      </w:r>
      <w:r>
        <w:rPr>
          <w:rFonts w:hint="cs"/>
          <w:rtl/>
        </w:rPr>
        <w:t xml:space="preserve"> ממתחם העונש ההולם ולחלופין להעמיד את עונשו של המערער בס</w:t>
      </w:r>
      <w:r w:rsidR="00E02701">
        <w:rPr>
          <w:rFonts w:hint="cs"/>
          <w:rtl/>
        </w:rPr>
        <w:t>י</w:t>
      </w:r>
      <w:r>
        <w:rPr>
          <w:rFonts w:hint="cs"/>
          <w:rtl/>
        </w:rPr>
        <w:t xml:space="preserve">פו התחתון של המתחם. </w:t>
      </w:r>
      <w:r w:rsidR="00054162">
        <w:rPr>
          <w:rFonts w:hint="cs"/>
          <w:rtl/>
        </w:rPr>
        <w:t xml:space="preserve">ההגנה סבורה, כי נוכח משכו הקצר </w:t>
      </w:r>
      <w:r w:rsidR="00287FFB">
        <w:rPr>
          <w:rFonts w:hint="cs"/>
          <w:rtl/>
        </w:rPr>
        <w:t xml:space="preserve">של </w:t>
      </w:r>
      <w:r w:rsidR="00054162">
        <w:rPr>
          <w:rFonts w:hint="cs"/>
          <w:rtl/>
        </w:rPr>
        <w:t xml:space="preserve">האירוע ומהות המעשים; בשים לב לכך </w:t>
      </w:r>
      <w:r w:rsidR="009070B7">
        <w:rPr>
          <w:rFonts w:hint="cs"/>
          <w:rtl/>
        </w:rPr>
        <w:t>ל</w:t>
      </w:r>
      <w:r w:rsidR="00054162">
        <w:rPr>
          <w:rFonts w:hint="cs"/>
          <w:rtl/>
        </w:rPr>
        <w:t>מ</w:t>
      </w:r>
      <w:r>
        <w:rPr>
          <w:rFonts w:hint="cs"/>
          <w:rtl/>
        </w:rPr>
        <w:t xml:space="preserve">ערכת </w:t>
      </w:r>
      <w:r w:rsidR="00054162">
        <w:rPr>
          <w:rFonts w:hint="cs"/>
          <w:rtl/>
        </w:rPr>
        <w:t>ה</w:t>
      </w:r>
      <w:r>
        <w:rPr>
          <w:rFonts w:hint="cs"/>
          <w:rtl/>
        </w:rPr>
        <w:t xml:space="preserve">יחסים </w:t>
      </w:r>
      <w:r w:rsidR="00054162">
        <w:rPr>
          <w:rFonts w:hint="cs"/>
          <w:rtl/>
        </w:rPr>
        <w:t>ה</w:t>
      </w:r>
      <w:r>
        <w:rPr>
          <w:rFonts w:hint="cs"/>
          <w:rtl/>
        </w:rPr>
        <w:t xml:space="preserve">מינית </w:t>
      </w:r>
      <w:r w:rsidR="00287FFB">
        <w:rPr>
          <w:rFonts w:hint="cs"/>
          <w:rtl/>
        </w:rPr>
        <w:t xml:space="preserve">המוסכמת שקיימו </w:t>
      </w:r>
      <w:r>
        <w:rPr>
          <w:rFonts w:hint="cs"/>
          <w:rtl/>
        </w:rPr>
        <w:t xml:space="preserve">המערער </w:t>
      </w:r>
      <w:r w:rsidR="00287FFB">
        <w:rPr>
          <w:rFonts w:hint="cs"/>
          <w:rtl/>
        </w:rPr>
        <w:t>ו</w:t>
      </w:r>
      <w:r>
        <w:rPr>
          <w:rFonts w:hint="cs"/>
          <w:rtl/>
        </w:rPr>
        <w:t>נפגעת העבירה</w:t>
      </w:r>
      <w:r w:rsidR="00287FFB">
        <w:rPr>
          <w:rFonts w:hint="cs"/>
          <w:rtl/>
        </w:rPr>
        <w:t xml:space="preserve"> בעבר</w:t>
      </w:r>
      <w:r w:rsidR="00054162">
        <w:rPr>
          <w:rFonts w:hint="cs"/>
          <w:rtl/>
        </w:rPr>
        <w:t xml:space="preserve"> ו</w:t>
      </w:r>
      <w:r w:rsidR="00287FFB">
        <w:rPr>
          <w:rFonts w:hint="cs"/>
          <w:rtl/>
        </w:rPr>
        <w:t>ל</w:t>
      </w:r>
      <w:r w:rsidR="00054162">
        <w:rPr>
          <w:rFonts w:hint="cs"/>
          <w:rtl/>
        </w:rPr>
        <w:t>כך שלדעת ההגנה</w:t>
      </w:r>
      <w:r w:rsidR="00287FFB">
        <w:rPr>
          <w:rFonts w:hint="cs"/>
          <w:rtl/>
        </w:rPr>
        <w:t>,</w:t>
      </w:r>
      <w:r w:rsidR="00054162">
        <w:rPr>
          <w:rFonts w:hint="cs"/>
          <w:rtl/>
        </w:rPr>
        <w:t xml:space="preserve"> הנזק </w:t>
      </w:r>
      <w:r>
        <w:rPr>
          <w:rFonts w:hint="cs"/>
          <w:rtl/>
        </w:rPr>
        <w:t>שנ</w:t>
      </w:r>
      <w:r w:rsidR="00054162">
        <w:rPr>
          <w:rFonts w:hint="cs"/>
          <w:rtl/>
        </w:rPr>
        <w:t>גרם</w:t>
      </w:r>
      <w:r>
        <w:rPr>
          <w:rFonts w:hint="cs"/>
          <w:rtl/>
        </w:rPr>
        <w:t xml:space="preserve"> </w:t>
      </w:r>
      <w:r w:rsidR="00054162">
        <w:rPr>
          <w:rFonts w:hint="cs"/>
          <w:rtl/>
        </w:rPr>
        <w:t>ל</w:t>
      </w:r>
      <w:r>
        <w:rPr>
          <w:rFonts w:hint="cs"/>
          <w:rtl/>
        </w:rPr>
        <w:t xml:space="preserve">נפגעת העבירה </w:t>
      </w:r>
      <w:r w:rsidR="00287FFB">
        <w:rPr>
          <w:rFonts w:hint="cs"/>
          <w:rtl/>
        </w:rPr>
        <w:t xml:space="preserve">אינו </w:t>
      </w:r>
      <w:r>
        <w:rPr>
          <w:rFonts w:hint="cs"/>
          <w:rtl/>
        </w:rPr>
        <w:t>משמעותי</w:t>
      </w:r>
      <w:r w:rsidR="00287FFB">
        <w:rPr>
          <w:rFonts w:hint="cs"/>
          <w:rtl/>
        </w:rPr>
        <w:t xml:space="preserve"> - </w:t>
      </w:r>
      <w:r w:rsidR="00054162">
        <w:rPr>
          <w:rFonts w:hint="cs"/>
          <w:rtl/>
        </w:rPr>
        <w:t>החמיר בית הדין קמא עם המערער יתר על המידה בעת קביעת מתחם העונש ההולם</w:t>
      </w:r>
      <w:r>
        <w:rPr>
          <w:rFonts w:hint="cs"/>
          <w:rtl/>
        </w:rPr>
        <w:t xml:space="preserve">. </w:t>
      </w:r>
      <w:r w:rsidR="00817690">
        <w:rPr>
          <w:rFonts w:hint="cs"/>
          <w:rtl/>
        </w:rPr>
        <w:t xml:space="preserve">עוד נטען, כי </w:t>
      </w:r>
      <w:r w:rsidR="00054162">
        <w:rPr>
          <w:rFonts w:hint="cs"/>
          <w:rtl/>
        </w:rPr>
        <w:t xml:space="preserve">בפסיקה </w:t>
      </w:r>
      <w:r w:rsidR="00817690">
        <w:rPr>
          <w:rFonts w:hint="cs"/>
          <w:rtl/>
        </w:rPr>
        <w:t>ש</w:t>
      </w:r>
      <w:r w:rsidR="00287FFB">
        <w:rPr>
          <w:rFonts w:hint="cs"/>
          <w:rtl/>
        </w:rPr>
        <w:t xml:space="preserve">אליה הפנה </w:t>
      </w:r>
      <w:r w:rsidR="00817690">
        <w:rPr>
          <w:rFonts w:hint="cs"/>
          <w:rtl/>
        </w:rPr>
        <w:t xml:space="preserve">בית הדין קמא </w:t>
      </w:r>
      <w:r w:rsidR="00054162">
        <w:rPr>
          <w:rFonts w:hint="cs"/>
          <w:rtl/>
        </w:rPr>
        <w:t xml:space="preserve">מתקיימות נסיבות חומרה שאינן </w:t>
      </w:r>
      <w:r w:rsidR="00287FFB">
        <w:rPr>
          <w:rFonts w:hint="cs"/>
          <w:rtl/>
        </w:rPr>
        <w:t>מתקיימות במקרה שלפנינו</w:t>
      </w:r>
      <w:r w:rsidR="00054162">
        <w:rPr>
          <w:rFonts w:hint="cs"/>
          <w:rtl/>
        </w:rPr>
        <w:t>, וכי יש לה</w:t>
      </w:r>
      <w:r w:rsidR="00287FFB">
        <w:rPr>
          <w:rFonts w:hint="cs"/>
          <w:rtl/>
        </w:rPr>
        <w:t xml:space="preserve">פנות דווקא לפסק הדין </w:t>
      </w:r>
      <w:proofErr w:type="spellStart"/>
      <w:r w:rsidR="00287FFB">
        <w:rPr>
          <w:rFonts w:hint="cs"/>
          <w:rtl/>
        </w:rPr>
        <w:t>ב</w:t>
      </w:r>
      <w:r w:rsidR="00817690">
        <w:rPr>
          <w:rFonts w:hint="cs"/>
          <w:rtl/>
        </w:rPr>
        <w:t>ע</w:t>
      </w:r>
      <w:proofErr w:type="spellEnd"/>
      <w:r w:rsidR="00817690">
        <w:rPr>
          <w:rFonts w:hint="cs"/>
          <w:rtl/>
        </w:rPr>
        <w:t xml:space="preserve">/53,55/23 </w:t>
      </w:r>
      <w:r w:rsidR="00817690">
        <w:rPr>
          <w:rFonts w:hint="cs"/>
          <w:b/>
          <w:bCs/>
          <w:rtl/>
        </w:rPr>
        <w:t xml:space="preserve">רס"ל </w:t>
      </w:r>
      <w:proofErr w:type="spellStart"/>
      <w:r w:rsidR="00817690">
        <w:rPr>
          <w:rFonts w:hint="cs"/>
          <w:b/>
          <w:bCs/>
          <w:rtl/>
        </w:rPr>
        <w:t>ענטנברג</w:t>
      </w:r>
      <w:proofErr w:type="spellEnd"/>
      <w:r w:rsidR="00817690">
        <w:rPr>
          <w:rFonts w:hint="cs"/>
          <w:b/>
          <w:bCs/>
          <w:rtl/>
        </w:rPr>
        <w:t xml:space="preserve"> </w:t>
      </w:r>
      <w:r w:rsidR="00817690">
        <w:rPr>
          <w:rFonts w:hint="cs"/>
          <w:rtl/>
        </w:rPr>
        <w:t>הנ"ל</w:t>
      </w:r>
      <w:r w:rsidR="00287FFB">
        <w:rPr>
          <w:rFonts w:hint="cs"/>
          <w:rtl/>
        </w:rPr>
        <w:t>,</w:t>
      </w:r>
      <w:r w:rsidR="00817690">
        <w:rPr>
          <w:rFonts w:hint="cs"/>
          <w:rtl/>
        </w:rPr>
        <w:t xml:space="preserve"> ש</w:t>
      </w:r>
      <w:r w:rsidR="00287FFB">
        <w:rPr>
          <w:rFonts w:hint="cs"/>
          <w:rtl/>
        </w:rPr>
        <w:t xml:space="preserve">במסגרתו הושת </w:t>
      </w:r>
      <w:r w:rsidR="00817690">
        <w:rPr>
          <w:rFonts w:hint="cs"/>
          <w:rtl/>
        </w:rPr>
        <w:t xml:space="preserve">עונש של </w:t>
      </w:r>
      <w:r w:rsidR="00287FFB">
        <w:rPr>
          <w:rFonts w:hint="cs"/>
          <w:rtl/>
        </w:rPr>
        <w:t>מאסר בפועל ב</w:t>
      </w:r>
      <w:r w:rsidR="00817690">
        <w:rPr>
          <w:rFonts w:hint="cs"/>
          <w:rtl/>
        </w:rPr>
        <w:t xml:space="preserve">עבודה צבאית. </w:t>
      </w:r>
    </w:p>
    <w:p w14:paraId="415DF2CA" w14:textId="177514D1" w:rsidR="00817690" w:rsidRDefault="00817690" w:rsidP="005F50A9">
      <w:pPr>
        <w:pStyle w:val="ListParagraph"/>
        <w:numPr>
          <w:ilvl w:val="0"/>
          <w:numId w:val="1"/>
        </w:numPr>
        <w:spacing w:after="120" w:line="343" w:lineRule="auto"/>
      </w:pPr>
      <w:r>
        <w:rPr>
          <w:rFonts w:hint="cs"/>
          <w:rtl/>
        </w:rPr>
        <w:t xml:space="preserve">עוד </w:t>
      </w:r>
      <w:r w:rsidR="00054162">
        <w:rPr>
          <w:rFonts w:hint="cs"/>
          <w:rtl/>
        </w:rPr>
        <w:t xml:space="preserve">סבורה ההגנה, כי </w:t>
      </w:r>
      <w:r w:rsidR="00287FFB">
        <w:rPr>
          <w:rFonts w:hint="cs"/>
          <w:rtl/>
        </w:rPr>
        <w:t xml:space="preserve">העמדת </w:t>
      </w:r>
      <w:r w:rsidR="00054162">
        <w:rPr>
          <w:rFonts w:hint="cs"/>
          <w:rtl/>
        </w:rPr>
        <w:t>עונשו של המערער בסמוך ל</w:t>
      </w:r>
      <w:r w:rsidR="00287FFB">
        <w:rPr>
          <w:rFonts w:hint="cs"/>
          <w:rtl/>
        </w:rPr>
        <w:t>מרכז</w:t>
      </w:r>
      <w:r w:rsidR="004F62D2">
        <w:rPr>
          <w:rFonts w:hint="cs"/>
          <w:rtl/>
        </w:rPr>
        <w:t xml:space="preserve">ו של </w:t>
      </w:r>
      <w:r w:rsidR="00435687">
        <w:rPr>
          <w:rFonts w:hint="cs"/>
          <w:rtl/>
        </w:rPr>
        <w:t>מתחם העונש ההולם</w:t>
      </w:r>
      <w:r w:rsidR="00287FFB">
        <w:rPr>
          <w:rFonts w:hint="cs"/>
          <w:rtl/>
        </w:rPr>
        <w:t>,</w:t>
      </w:r>
      <w:r w:rsidR="00054162">
        <w:rPr>
          <w:rFonts w:hint="cs"/>
          <w:rtl/>
        </w:rPr>
        <w:t xml:space="preserve"> אינה נוטלת בחשבון את הערכת המסוכנות הנמוכה שנקבע</w:t>
      </w:r>
      <w:r w:rsidR="004F62D2">
        <w:rPr>
          <w:rFonts w:hint="cs"/>
          <w:rtl/>
        </w:rPr>
        <w:t>ה</w:t>
      </w:r>
      <w:r w:rsidR="00054162">
        <w:rPr>
          <w:rFonts w:hint="cs"/>
          <w:rtl/>
        </w:rPr>
        <w:t xml:space="preserve"> לו ואת </w:t>
      </w:r>
      <w:r>
        <w:rPr>
          <w:rFonts w:hint="cs"/>
          <w:rtl/>
        </w:rPr>
        <w:t>המלצת</w:t>
      </w:r>
      <w:r w:rsidR="00287FFB">
        <w:rPr>
          <w:rFonts w:hint="cs"/>
          <w:rtl/>
        </w:rPr>
        <w:t>ה</w:t>
      </w:r>
      <w:r>
        <w:rPr>
          <w:rFonts w:hint="cs"/>
          <w:rtl/>
        </w:rPr>
        <w:t xml:space="preserve"> </w:t>
      </w:r>
      <w:r w:rsidR="00287FFB">
        <w:rPr>
          <w:rFonts w:hint="cs"/>
          <w:rtl/>
        </w:rPr>
        <w:t xml:space="preserve">של </w:t>
      </w:r>
      <w:r>
        <w:rPr>
          <w:rFonts w:hint="cs"/>
          <w:rtl/>
        </w:rPr>
        <w:t>עורכת התסקיר בעניינו להשית עליו ענישה מקלה תוך העדפה של חלופת מאסר</w:t>
      </w:r>
      <w:r w:rsidR="00054162">
        <w:rPr>
          <w:rFonts w:hint="cs"/>
          <w:rtl/>
        </w:rPr>
        <w:t xml:space="preserve">. ההגנה הטעימה כי מאז ביצוע העבירה חלף פרק זמן משמעותי, וכי המערער, </w:t>
      </w:r>
      <w:r w:rsidR="002B573A">
        <w:rPr>
          <w:rFonts w:hint="cs"/>
          <w:rtl/>
        </w:rPr>
        <w:t xml:space="preserve">שהוא </w:t>
      </w:r>
      <w:r w:rsidR="00054162">
        <w:rPr>
          <w:rFonts w:hint="cs"/>
          <w:rtl/>
        </w:rPr>
        <w:t xml:space="preserve">עמוד תווך מרכזי בפרנסת משפחתו, מקיים חיים נורמטיביים, הכוללים השתלבות במסגרת תעסוקתית יציבה, זוגיות ממושכת ותמיכה משפחתית. נטען כי </w:t>
      </w:r>
      <w:r w:rsidR="002B573A">
        <w:rPr>
          <w:rFonts w:hint="cs"/>
          <w:rtl/>
        </w:rPr>
        <w:t xml:space="preserve">נתונים אלה, </w:t>
      </w:r>
      <w:r w:rsidR="00054162">
        <w:rPr>
          <w:rFonts w:hint="cs"/>
          <w:rtl/>
        </w:rPr>
        <w:t xml:space="preserve">כמו גם דברים שמסר </w:t>
      </w:r>
      <w:r w:rsidR="002B573A">
        <w:rPr>
          <w:rFonts w:hint="cs"/>
          <w:rtl/>
        </w:rPr>
        <w:t xml:space="preserve">המערער </w:t>
      </w:r>
      <w:r w:rsidR="00054162">
        <w:rPr>
          <w:rFonts w:hint="cs"/>
          <w:rtl/>
        </w:rPr>
        <w:t xml:space="preserve">לעורכת התסקיר, </w:t>
      </w:r>
      <w:r w:rsidR="002B573A">
        <w:rPr>
          <w:rFonts w:hint="cs"/>
          <w:rtl/>
        </w:rPr>
        <w:t>ש</w:t>
      </w:r>
      <w:r w:rsidR="00054162">
        <w:rPr>
          <w:rFonts w:hint="cs"/>
          <w:rtl/>
        </w:rPr>
        <w:t>לפיהם הוא נוקט כעת זהירות יתרה ב</w:t>
      </w:r>
      <w:r w:rsidR="002B573A">
        <w:rPr>
          <w:rFonts w:hint="cs"/>
          <w:rtl/>
        </w:rPr>
        <w:t>טרם קיום מגע מיני</w:t>
      </w:r>
      <w:r w:rsidR="00054162">
        <w:rPr>
          <w:rFonts w:hint="cs"/>
          <w:rtl/>
        </w:rPr>
        <w:t xml:space="preserve">, </w:t>
      </w:r>
      <w:r w:rsidR="002B573A">
        <w:rPr>
          <w:rFonts w:hint="cs"/>
          <w:rtl/>
        </w:rPr>
        <w:t xml:space="preserve">מלמדים </w:t>
      </w:r>
      <w:r w:rsidR="00054162">
        <w:rPr>
          <w:rFonts w:hint="cs"/>
          <w:rtl/>
        </w:rPr>
        <w:t xml:space="preserve">על השינוי המשמעותי שחל בו </w:t>
      </w:r>
      <w:r w:rsidR="002B573A">
        <w:rPr>
          <w:rFonts w:hint="cs"/>
          <w:rtl/>
        </w:rPr>
        <w:t>ו</w:t>
      </w:r>
      <w:r w:rsidR="00054162">
        <w:rPr>
          <w:rFonts w:hint="cs"/>
          <w:rtl/>
        </w:rPr>
        <w:t>מצדיק</w:t>
      </w:r>
      <w:r w:rsidR="002B573A">
        <w:rPr>
          <w:rFonts w:hint="cs"/>
          <w:rtl/>
        </w:rPr>
        <w:t>ים</w:t>
      </w:r>
      <w:r w:rsidR="00054162">
        <w:rPr>
          <w:rFonts w:hint="cs"/>
          <w:rtl/>
        </w:rPr>
        <w:t xml:space="preserve"> </w:t>
      </w:r>
      <w:r w:rsidR="002B573A">
        <w:rPr>
          <w:rFonts w:hint="cs"/>
          <w:rtl/>
        </w:rPr>
        <w:t xml:space="preserve">הקלה ניכרת בעונשו </w:t>
      </w:r>
      <w:r w:rsidR="00054162">
        <w:rPr>
          <w:rFonts w:hint="cs"/>
          <w:rtl/>
        </w:rPr>
        <w:t xml:space="preserve">מטעמי שיקום, </w:t>
      </w:r>
      <w:r w:rsidR="002B573A">
        <w:rPr>
          <w:rFonts w:hint="cs"/>
          <w:rtl/>
        </w:rPr>
        <w:t xml:space="preserve">הגם שלא השתלב </w:t>
      </w:r>
      <w:r w:rsidR="00054162">
        <w:rPr>
          <w:rFonts w:hint="cs"/>
          <w:rtl/>
        </w:rPr>
        <w:t xml:space="preserve">בטיפול </w:t>
      </w:r>
      <w:r w:rsidR="002B573A">
        <w:rPr>
          <w:rFonts w:hint="cs"/>
          <w:rtl/>
        </w:rPr>
        <w:t>ייעודי</w:t>
      </w:r>
      <w:r w:rsidR="00E60206">
        <w:rPr>
          <w:rFonts w:hint="cs"/>
          <w:rtl/>
        </w:rPr>
        <w:t>.</w:t>
      </w:r>
      <w:r>
        <w:rPr>
          <w:rFonts w:hint="cs"/>
          <w:rtl/>
        </w:rPr>
        <w:t xml:space="preserve"> לבסוף</w:t>
      </w:r>
      <w:r w:rsidR="002B573A">
        <w:rPr>
          <w:rFonts w:hint="cs"/>
          <w:rtl/>
        </w:rPr>
        <w:t>,</w:t>
      </w:r>
      <w:r>
        <w:rPr>
          <w:rFonts w:hint="cs"/>
          <w:rtl/>
        </w:rPr>
        <w:t xml:space="preserve"> ביקשה ההגנה </w:t>
      </w:r>
      <w:r w:rsidR="002B573A">
        <w:rPr>
          <w:rFonts w:hint="cs"/>
          <w:rtl/>
        </w:rPr>
        <w:t xml:space="preserve">כי יינתן משקל לקולה </w:t>
      </w:r>
      <w:r>
        <w:rPr>
          <w:rFonts w:hint="cs"/>
          <w:rtl/>
        </w:rPr>
        <w:t xml:space="preserve">גם </w:t>
      </w:r>
      <w:r w:rsidR="002B573A">
        <w:rPr>
          <w:rFonts w:hint="cs"/>
          <w:rtl/>
        </w:rPr>
        <w:t>ל</w:t>
      </w:r>
      <w:r>
        <w:rPr>
          <w:rFonts w:hint="cs"/>
          <w:rtl/>
        </w:rPr>
        <w:t>החלטתו של המערער לחזור בו מערעורו על הכרעת הדין</w:t>
      </w:r>
      <w:r w:rsidR="00BB7300">
        <w:rPr>
          <w:rFonts w:hint="cs"/>
          <w:rtl/>
        </w:rPr>
        <w:t>,</w:t>
      </w:r>
      <w:r>
        <w:rPr>
          <w:rFonts w:hint="cs"/>
          <w:rtl/>
        </w:rPr>
        <w:t xml:space="preserve"> </w:t>
      </w:r>
      <w:r w:rsidR="006B2FB3">
        <w:rPr>
          <w:rFonts w:hint="cs"/>
          <w:rtl/>
        </w:rPr>
        <w:t xml:space="preserve">אשר מבטאת </w:t>
      </w:r>
      <w:r w:rsidR="002B573A">
        <w:rPr>
          <w:rFonts w:hint="cs"/>
          <w:rtl/>
        </w:rPr>
        <w:t xml:space="preserve">נטילת </w:t>
      </w:r>
      <w:r>
        <w:rPr>
          <w:rFonts w:hint="cs"/>
          <w:rtl/>
        </w:rPr>
        <w:t xml:space="preserve">אחריות על מעשיו. </w:t>
      </w:r>
    </w:p>
    <w:p w14:paraId="13325851" w14:textId="2CB55251" w:rsidR="00F85766" w:rsidRDefault="001429ED" w:rsidP="005F50A9">
      <w:pPr>
        <w:pStyle w:val="ListParagraph"/>
        <w:numPr>
          <w:ilvl w:val="0"/>
          <w:numId w:val="1"/>
        </w:numPr>
        <w:spacing w:after="120" w:line="343" w:lineRule="auto"/>
      </w:pPr>
      <w:r>
        <w:rPr>
          <w:rFonts w:hint="cs"/>
          <w:rtl/>
        </w:rPr>
        <w:lastRenderedPageBreak/>
        <w:t>התביעה</w:t>
      </w:r>
      <w:r w:rsidR="00BB7300">
        <w:rPr>
          <w:rFonts w:hint="cs"/>
          <w:rtl/>
        </w:rPr>
        <w:t>, מצידה,</w:t>
      </w:r>
      <w:r>
        <w:rPr>
          <w:rFonts w:hint="cs"/>
          <w:rtl/>
        </w:rPr>
        <w:t xml:space="preserve"> </w:t>
      </w:r>
      <w:r w:rsidR="00435687">
        <w:rPr>
          <w:rFonts w:hint="cs"/>
          <w:rtl/>
        </w:rPr>
        <w:t>שבה על עתירתה</w:t>
      </w:r>
      <w:r w:rsidR="00E60206">
        <w:rPr>
          <w:rFonts w:hint="cs"/>
          <w:rtl/>
        </w:rPr>
        <w:t>,</w:t>
      </w:r>
      <w:r w:rsidR="00435687">
        <w:rPr>
          <w:rFonts w:hint="cs"/>
          <w:rtl/>
        </w:rPr>
        <w:t xml:space="preserve"> כפי שהו</w:t>
      </w:r>
      <w:r w:rsidR="00E60206">
        <w:rPr>
          <w:rFonts w:hint="cs"/>
          <w:rtl/>
        </w:rPr>
        <w:t>צג</w:t>
      </w:r>
      <w:r w:rsidR="00435687">
        <w:rPr>
          <w:rFonts w:hint="cs"/>
          <w:rtl/>
        </w:rPr>
        <w:t xml:space="preserve">ה </w:t>
      </w:r>
      <w:r w:rsidR="00E60206">
        <w:rPr>
          <w:rFonts w:hint="cs"/>
          <w:rtl/>
        </w:rPr>
        <w:t xml:space="preserve">גם </w:t>
      </w:r>
      <w:r w:rsidR="00435687">
        <w:rPr>
          <w:rFonts w:hint="cs"/>
          <w:rtl/>
        </w:rPr>
        <w:t>בבית הדין קמא</w:t>
      </w:r>
      <w:r w:rsidR="00E60206">
        <w:rPr>
          <w:rFonts w:hint="cs"/>
          <w:rtl/>
        </w:rPr>
        <w:t>,</w:t>
      </w:r>
      <w:r w:rsidR="00435687">
        <w:rPr>
          <w:rFonts w:hint="cs"/>
          <w:rtl/>
        </w:rPr>
        <w:t xml:space="preserve"> לקבוע את מתחם העונש ההולם בטווח שבין שבעה ל-12 חודשי מאסר בפועל ולמקם את העונש במ</w:t>
      </w:r>
      <w:r w:rsidR="008D5330">
        <w:rPr>
          <w:rFonts w:hint="cs"/>
          <w:rtl/>
        </w:rPr>
        <w:t xml:space="preserve">רכז </w:t>
      </w:r>
      <w:r w:rsidR="00435687">
        <w:rPr>
          <w:rFonts w:hint="cs"/>
          <w:rtl/>
        </w:rPr>
        <w:t xml:space="preserve">המתחם, כך שיושת על המערער עונש של תשעה חודשי מאסר ומחצה. </w:t>
      </w:r>
      <w:r w:rsidR="00F85766">
        <w:rPr>
          <w:rFonts w:hint="cs"/>
          <w:rtl/>
        </w:rPr>
        <w:t xml:space="preserve">נטען, כי בעת קביעת מתחם העונש ההולם, על אף שבית הדין </w:t>
      </w:r>
      <w:r w:rsidR="009F5AEB">
        <w:rPr>
          <w:rFonts w:hint="cs"/>
          <w:rtl/>
        </w:rPr>
        <w:t>המחוזי עמד נכונה על נסיבות החומרה</w:t>
      </w:r>
      <w:r w:rsidR="00F85766">
        <w:rPr>
          <w:rFonts w:hint="cs"/>
          <w:rtl/>
        </w:rPr>
        <w:t xml:space="preserve"> המשמעותיות</w:t>
      </w:r>
      <w:r w:rsidR="008D5330">
        <w:rPr>
          <w:rFonts w:hint="cs"/>
          <w:rtl/>
        </w:rPr>
        <w:t xml:space="preserve"> המתקיימות במקרה דכאן</w:t>
      </w:r>
      <w:r w:rsidR="00F85766">
        <w:rPr>
          <w:rFonts w:hint="cs"/>
          <w:rtl/>
        </w:rPr>
        <w:t xml:space="preserve">, הרי שלא ניתן ביטוי </w:t>
      </w:r>
      <w:r w:rsidR="00E60206">
        <w:rPr>
          <w:rFonts w:hint="cs"/>
          <w:rtl/>
        </w:rPr>
        <w:t>מספק לכך שהמערער פעל, כך נטען, "</w:t>
      </w:r>
      <w:r w:rsidR="009F5AEB">
        <w:rPr>
          <w:rFonts w:hint="cs"/>
          <w:rtl/>
        </w:rPr>
        <w:t>בערמומיות, בתעוזה, בנחישות ובתחכום</w:t>
      </w:r>
      <w:r w:rsidR="00E60206">
        <w:rPr>
          <w:rFonts w:hint="cs"/>
          <w:rtl/>
        </w:rPr>
        <w:t>"</w:t>
      </w:r>
      <w:r w:rsidR="009F5AEB">
        <w:rPr>
          <w:rFonts w:hint="cs"/>
          <w:rtl/>
        </w:rPr>
        <w:t xml:space="preserve">, </w:t>
      </w:r>
      <w:r w:rsidR="00F85766">
        <w:rPr>
          <w:rFonts w:hint="cs"/>
          <w:rtl/>
        </w:rPr>
        <w:t>שעה שניצל את ההליכה המשותפת למחסן, בעוד ש</w:t>
      </w:r>
      <w:r w:rsidR="00DA07FC">
        <w:rPr>
          <w:rFonts w:hint="cs"/>
          <w:rtl/>
        </w:rPr>
        <w:t>נפגעת העבירה</w:t>
      </w:r>
      <w:r w:rsidR="009F5AEB">
        <w:rPr>
          <w:rFonts w:hint="cs"/>
          <w:rtl/>
        </w:rPr>
        <w:t xml:space="preserve"> הייתה נתונה במצב של </w:t>
      </w:r>
      <w:r w:rsidR="008D5330">
        <w:rPr>
          <w:rFonts w:hint="cs"/>
          <w:rtl/>
        </w:rPr>
        <w:t xml:space="preserve">כמעט </w:t>
      </w:r>
      <w:r w:rsidR="009F5AEB">
        <w:rPr>
          <w:rFonts w:hint="cs"/>
          <w:rtl/>
        </w:rPr>
        <w:t>חוסר אונים</w:t>
      </w:r>
      <w:r w:rsidR="00E60206">
        <w:rPr>
          <w:rFonts w:hint="cs"/>
          <w:rtl/>
        </w:rPr>
        <w:t xml:space="preserve">. התביעה סבורה, </w:t>
      </w:r>
      <w:r w:rsidR="00F85766">
        <w:rPr>
          <w:rFonts w:hint="cs"/>
          <w:rtl/>
        </w:rPr>
        <w:t xml:space="preserve">כי </w:t>
      </w:r>
      <w:r w:rsidR="00E60206">
        <w:rPr>
          <w:rFonts w:hint="cs"/>
          <w:rtl/>
        </w:rPr>
        <w:t xml:space="preserve">יש בנסיבות אלה ללמד </w:t>
      </w:r>
      <w:r w:rsidR="00F85766">
        <w:rPr>
          <w:rFonts w:hint="cs"/>
          <w:rtl/>
        </w:rPr>
        <w:t xml:space="preserve">על פגיעה יתרה בערכים הצבאיים הייחודיים, וכי </w:t>
      </w:r>
      <w:r w:rsidR="009F5AEB">
        <w:rPr>
          <w:rFonts w:hint="cs"/>
          <w:rtl/>
        </w:rPr>
        <w:t xml:space="preserve"> מעשיו </w:t>
      </w:r>
      <w:r w:rsidR="00E60206">
        <w:rPr>
          <w:rFonts w:hint="cs"/>
          <w:rtl/>
        </w:rPr>
        <w:t xml:space="preserve">של המערער </w:t>
      </w:r>
      <w:r w:rsidR="00F85766">
        <w:rPr>
          <w:rFonts w:hint="cs"/>
          <w:rtl/>
        </w:rPr>
        <w:t>מצויים</w:t>
      </w:r>
      <w:r w:rsidR="009F5AEB">
        <w:rPr>
          <w:rFonts w:hint="cs"/>
          <w:rtl/>
        </w:rPr>
        <w:t xml:space="preserve"> ברף העליון של עבירת המעשה המגונה. </w:t>
      </w:r>
      <w:r w:rsidR="00F85766">
        <w:rPr>
          <w:rFonts w:hint="cs"/>
          <w:rtl/>
        </w:rPr>
        <w:t xml:space="preserve">כן נטען, כי לא ניתן משקל מספק לנזק המשמעותי שנגרם לנפגעת העבירה. </w:t>
      </w:r>
      <w:r w:rsidR="00E60206">
        <w:rPr>
          <w:rFonts w:hint="cs"/>
          <w:rtl/>
        </w:rPr>
        <w:t>לבסוף</w:t>
      </w:r>
      <w:r w:rsidR="008D5330">
        <w:rPr>
          <w:rFonts w:hint="cs"/>
          <w:rtl/>
        </w:rPr>
        <w:t>,</w:t>
      </w:r>
      <w:r w:rsidR="00E60206">
        <w:rPr>
          <w:rFonts w:hint="cs"/>
          <w:rtl/>
        </w:rPr>
        <w:t xml:space="preserve"> טענה התביעה, כי נוכח ההיבטים הכוחניים </w:t>
      </w:r>
      <w:r w:rsidR="008D5330">
        <w:rPr>
          <w:rFonts w:hint="cs"/>
          <w:rtl/>
        </w:rPr>
        <w:t xml:space="preserve">הכרוכים </w:t>
      </w:r>
      <w:r w:rsidR="00E60206">
        <w:rPr>
          <w:rFonts w:hint="cs"/>
          <w:rtl/>
        </w:rPr>
        <w:t>במעשי</w:t>
      </w:r>
      <w:r w:rsidR="008D5330">
        <w:rPr>
          <w:rFonts w:hint="cs"/>
          <w:rtl/>
        </w:rPr>
        <w:t>ו</w:t>
      </w:r>
      <w:r w:rsidR="00E60206">
        <w:rPr>
          <w:rFonts w:hint="cs"/>
          <w:rtl/>
        </w:rPr>
        <w:t xml:space="preserve"> </w:t>
      </w:r>
      <w:r w:rsidR="008D5330">
        <w:rPr>
          <w:rFonts w:hint="cs"/>
          <w:rtl/>
        </w:rPr>
        <w:t xml:space="preserve">של </w:t>
      </w:r>
      <w:r w:rsidR="00E60206">
        <w:rPr>
          <w:rFonts w:hint="cs"/>
          <w:rtl/>
        </w:rPr>
        <w:t xml:space="preserve">המערער, הרי שיש לבחון באופן מהותי </w:t>
      </w:r>
      <w:r w:rsidR="00BB7300">
        <w:rPr>
          <w:rFonts w:hint="cs"/>
          <w:rtl/>
        </w:rPr>
        <w:t>את מעשיו של המערער, כמגלמים מעשה מגונה בכוח</w:t>
      </w:r>
      <w:r w:rsidR="00E60206">
        <w:rPr>
          <w:rFonts w:hint="cs"/>
          <w:rtl/>
        </w:rPr>
        <w:t xml:space="preserve">. </w:t>
      </w:r>
    </w:p>
    <w:p w14:paraId="10D6D2F2" w14:textId="4D46952E" w:rsidR="00746186" w:rsidRDefault="00E60206" w:rsidP="005F50A9">
      <w:pPr>
        <w:pStyle w:val="ListParagraph"/>
        <w:numPr>
          <w:ilvl w:val="0"/>
          <w:numId w:val="1"/>
        </w:numPr>
        <w:spacing w:after="120" w:line="343" w:lineRule="auto"/>
      </w:pPr>
      <w:r>
        <w:rPr>
          <w:rFonts w:hint="cs"/>
          <w:rtl/>
        </w:rPr>
        <w:t>עוד סבורה התביעה כי אין להעמיד את עונשו של המערער בסמוך לרף התחתון של המתחם</w:t>
      </w:r>
      <w:r w:rsidR="006B2FB3">
        <w:rPr>
          <w:rFonts w:hint="cs"/>
          <w:rtl/>
        </w:rPr>
        <w:t xml:space="preserve"> המבוקש</w:t>
      </w:r>
      <w:r>
        <w:rPr>
          <w:rFonts w:hint="cs"/>
          <w:rtl/>
        </w:rPr>
        <w:t>. נטען</w:t>
      </w:r>
      <w:r w:rsidR="008D5330">
        <w:rPr>
          <w:rFonts w:hint="cs"/>
          <w:rtl/>
        </w:rPr>
        <w:t xml:space="preserve"> בעניין זה</w:t>
      </w:r>
      <w:r>
        <w:rPr>
          <w:rFonts w:hint="cs"/>
          <w:rtl/>
        </w:rPr>
        <w:t xml:space="preserve">, כי </w:t>
      </w:r>
      <w:r w:rsidR="00FE4FF1">
        <w:rPr>
          <w:rFonts w:hint="cs"/>
          <w:rtl/>
        </w:rPr>
        <w:t xml:space="preserve">הן מעריכת המסוכנות והן עורכת התסקיר, שפגשו במערער לפני חודשים ספורים, </w:t>
      </w:r>
      <w:r w:rsidR="00BB7300">
        <w:rPr>
          <w:rFonts w:hint="cs"/>
          <w:rtl/>
        </w:rPr>
        <w:t xml:space="preserve">אבחנו לגביו </w:t>
      </w:r>
      <w:r w:rsidR="00511D03">
        <w:rPr>
          <w:rFonts w:hint="cs"/>
          <w:rtl/>
        </w:rPr>
        <w:t>עיוותי חשיבה משמעותיים</w:t>
      </w:r>
      <w:r w:rsidR="00D94CB3">
        <w:rPr>
          <w:rFonts w:hint="cs"/>
          <w:rtl/>
        </w:rPr>
        <w:t xml:space="preserve">. לטעמה של התביעה, משכך, </w:t>
      </w:r>
      <w:r w:rsidR="00746186">
        <w:rPr>
          <w:rFonts w:hint="cs"/>
          <w:rtl/>
        </w:rPr>
        <w:t xml:space="preserve">אין </w:t>
      </w:r>
      <w:r w:rsidR="00D94CB3">
        <w:rPr>
          <w:rFonts w:hint="cs"/>
          <w:rtl/>
        </w:rPr>
        <w:t xml:space="preserve">לייחס </w:t>
      </w:r>
      <w:r w:rsidR="00746186">
        <w:rPr>
          <w:rFonts w:hint="cs"/>
          <w:rtl/>
        </w:rPr>
        <w:t xml:space="preserve">משקל </w:t>
      </w:r>
      <w:r w:rsidR="00D94CB3">
        <w:rPr>
          <w:rFonts w:hint="cs"/>
          <w:rtl/>
        </w:rPr>
        <w:t xml:space="preserve">רב </w:t>
      </w:r>
      <w:r w:rsidR="00746186">
        <w:rPr>
          <w:rFonts w:hint="cs"/>
          <w:rtl/>
        </w:rPr>
        <w:t xml:space="preserve">לחלוף הזמן, </w:t>
      </w:r>
      <w:r w:rsidR="00D94CB3">
        <w:rPr>
          <w:rFonts w:hint="cs"/>
          <w:rtl/>
        </w:rPr>
        <w:t>מה עוד שרק בשלב הערעור, לאחר הערות בית הדין, חזר בו המערער מן הערעור על הכרעת הדין המרשיעה</w:t>
      </w:r>
      <w:r w:rsidR="00746186">
        <w:rPr>
          <w:rFonts w:hint="cs"/>
          <w:rtl/>
        </w:rPr>
        <w:t xml:space="preserve">. </w:t>
      </w:r>
      <w:r w:rsidR="00DF6EB5">
        <w:rPr>
          <w:rFonts w:hint="cs"/>
          <w:rtl/>
        </w:rPr>
        <w:t xml:space="preserve">נטען, כי מתן משקל </w:t>
      </w:r>
      <w:r w:rsidR="00D94CB3">
        <w:rPr>
          <w:rFonts w:hint="cs"/>
          <w:rtl/>
        </w:rPr>
        <w:t xml:space="preserve">לקולה </w:t>
      </w:r>
      <w:r w:rsidR="00DF6EB5">
        <w:rPr>
          <w:rFonts w:hint="cs"/>
          <w:rtl/>
        </w:rPr>
        <w:t>ל</w:t>
      </w:r>
      <w:r w:rsidR="00D94CB3">
        <w:rPr>
          <w:rFonts w:hint="cs"/>
          <w:rtl/>
        </w:rPr>
        <w:t xml:space="preserve">חזרה מערעור על הרשעה בשלב הערעור עשוי ליצור </w:t>
      </w:r>
      <w:r w:rsidR="00DF6EB5">
        <w:rPr>
          <w:rFonts w:hint="cs"/>
          <w:rtl/>
        </w:rPr>
        <w:t xml:space="preserve">תמריץ שלילי לנאשמים לנהל את עניינם </w:t>
      </w:r>
      <w:r w:rsidR="00D94CB3">
        <w:rPr>
          <w:rFonts w:hint="cs"/>
          <w:rtl/>
        </w:rPr>
        <w:t>ולקוות כי בהמשך, "</w:t>
      </w:r>
      <w:r w:rsidR="00DF6EB5">
        <w:rPr>
          <w:rFonts w:hint="cs"/>
          <w:rtl/>
        </w:rPr>
        <w:t xml:space="preserve">הודאה מן הפה לחוץ בפני הערכאה </w:t>
      </w:r>
      <w:proofErr w:type="spellStart"/>
      <w:r w:rsidR="00DF6EB5">
        <w:rPr>
          <w:rFonts w:hint="cs"/>
          <w:rtl/>
        </w:rPr>
        <w:t>הערעורית</w:t>
      </w:r>
      <w:proofErr w:type="spellEnd"/>
      <w:r w:rsidR="00DF6EB5">
        <w:rPr>
          <w:rFonts w:hint="cs"/>
          <w:rtl/>
        </w:rPr>
        <w:t xml:space="preserve"> תוביל להקלה ממשית"</w:t>
      </w:r>
      <w:r w:rsidR="00D94CB3">
        <w:rPr>
          <w:rFonts w:hint="cs"/>
          <w:rtl/>
        </w:rPr>
        <w:t xml:space="preserve">. התביעה סבורה כי עמדה זו של המערער </w:t>
      </w:r>
      <w:r w:rsidR="00DF6EB5">
        <w:rPr>
          <w:rFonts w:hint="cs"/>
          <w:rtl/>
        </w:rPr>
        <w:t>אינה מ</w:t>
      </w:r>
      <w:r w:rsidR="00D94CB3">
        <w:rPr>
          <w:rFonts w:hint="cs"/>
          <w:rtl/>
        </w:rPr>
        <w:t xml:space="preserve">איינת </w:t>
      </w:r>
      <w:r w:rsidR="00DF6EB5">
        <w:rPr>
          <w:rFonts w:hint="cs"/>
          <w:rtl/>
        </w:rPr>
        <w:t xml:space="preserve">את </w:t>
      </w:r>
      <w:r w:rsidR="00D94CB3">
        <w:rPr>
          <w:rFonts w:hint="cs"/>
          <w:rtl/>
        </w:rPr>
        <w:t xml:space="preserve">השלכותיו של </w:t>
      </w:r>
      <w:r w:rsidR="00DF6EB5">
        <w:rPr>
          <w:rFonts w:hint="cs"/>
          <w:rtl/>
        </w:rPr>
        <w:t>ההליך, לרבות שמיעת עדות</w:t>
      </w:r>
      <w:r w:rsidR="00D94CB3">
        <w:rPr>
          <w:rFonts w:hint="cs"/>
          <w:rtl/>
        </w:rPr>
        <w:t>ה</w:t>
      </w:r>
      <w:r w:rsidR="00DF6EB5">
        <w:rPr>
          <w:rFonts w:hint="cs"/>
          <w:rtl/>
        </w:rPr>
        <w:t xml:space="preserve"> </w:t>
      </w:r>
      <w:r w:rsidR="00D94CB3">
        <w:rPr>
          <w:rFonts w:hint="cs"/>
          <w:rtl/>
        </w:rPr>
        <w:t xml:space="preserve">של </w:t>
      </w:r>
      <w:r w:rsidR="00DF6EB5">
        <w:rPr>
          <w:rFonts w:hint="cs"/>
          <w:rtl/>
        </w:rPr>
        <w:t xml:space="preserve">נפגעת העבירה, על כל הכרוך בכך. </w:t>
      </w:r>
      <w:r w:rsidR="00D94CB3" w:rsidRPr="00D94CB3">
        <w:rPr>
          <w:rFonts w:hint="cs"/>
          <w:rtl/>
        </w:rPr>
        <w:t>כן הפנתה התביעה לשיקולי הרתעת היחיד והרבים המתקיימים בנסיבות העניין.</w:t>
      </w:r>
    </w:p>
    <w:p w14:paraId="7A004F68" w14:textId="1CE35448" w:rsidR="00400E89" w:rsidRDefault="00CC737A" w:rsidP="005F50A9">
      <w:pPr>
        <w:pStyle w:val="Heading1"/>
        <w:spacing w:line="343" w:lineRule="auto"/>
        <w:rPr>
          <w:rtl/>
        </w:rPr>
      </w:pPr>
      <w:r>
        <w:rPr>
          <w:rFonts w:hint="cs"/>
          <w:rtl/>
        </w:rPr>
        <w:t>דיון ו</w:t>
      </w:r>
      <w:r w:rsidR="00400E89">
        <w:rPr>
          <w:rFonts w:hint="cs"/>
          <w:rtl/>
        </w:rPr>
        <w:t>הכרעה</w:t>
      </w:r>
    </w:p>
    <w:p w14:paraId="5441B8C7" w14:textId="0E5F1E64" w:rsidR="00DF6EB5" w:rsidRDefault="002A1D68" w:rsidP="005F50A9">
      <w:pPr>
        <w:pStyle w:val="ListParagraph"/>
        <w:numPr>
          <w:ilvl w:val="0"/>
          <w:numId w:val="1"/>
        </w:numPr>
        <w:spacing w:after="120" w:line="343" w:lineRule="auto"/>
      </w:pPr>
      <w:r w:rsidRPr="0045646F">
        <w:rPr>
          <w:rFonts w:hint="cs"/>
          <w:rtl/>
        </w:rPr>
        <w:t xml:space="preserve">כידוע, </w:t>
      </w:r>
      <w:r w:rsidR="00DF6EB5">
        <w:rPr>
          <w:rFonts w:hint="cs"/>
          <w:rtl/>
        </w:rPr>
        <w:t xml:space="preserve">"אין זו דרכה של </w:t>
      </w:r>
      <w:r w:rsidRPr="0045646F">
        <w:rPr>
          <w:rFonts w:hint="cs"/>
          <w:rtl/>
        </w:rPr>
        <w:t xml:space="preserve">ערכאת הערעור </w:t>
      </w:r>
      <w:r w:rsidR="00DF6EB5">
        <w:rPr>
          <w:rFonts w:hint="cs"/>
          <w:rtl/>
        </w:rPr>
        <w:t xml:space="preserve">להתערב בגזר דין של הערכאה הדיונית, אלא במקרים בהם על פני הדברים נפלה בגזר הדין טעות מהותית או כאשר העונש שנגזר... חורג באופן ניכר וממשי מרמת הענישה הראויה או הנוהגת בנסיבות דומות" (ע"פ 1450/24 </w:t>
      </w:r>
      <w:r w:rsidR="00DF6EB5">
        <w:rPr>
          <w:rFonts w:hint="cs"/>
          <w:b/>
          <w:bCs/>
          <w:rtl/>
        </w:rPr>
        <w:t xml:space="preserve">פלוני נ' מדינת ישראל, </w:t>
      </w:r>
      <w:r w:rsidR="00DF6EB5">
        <w:rPr>
          <w:rFonts w:hint="cs"/>
          <w:rtl/>
        </w:rPr>
        <w:t xml:space="preserve">פסקה 12 (15.12.2024)). </w:t>
      </w:r>
      <w:r w:rsidR="00C83FE5">
        <w:rPr>
          <w:rFonts w:hint="cs"/>
          <w:rtl/>
        </w:rPr>
        <w:t xml:space="preserve">נבהיר כבר עתה, כי </w:t>
      </w:r>
      <w:r w:rsidR="00DF6EB5">
        <w:rPr>
          <w:rFonts w:hint="cs"/>
          <w:rtl/>
        </w:rPr>
        <w:t xml:space="preserve">בראי ההלכה האמורה, לא מצאנו להתערב בפסק דינו של בית הדין קמא. </w:t>
      </w:r>
    </w:p>
    <w:p w14:paraId="2C2F4D48" w14:textId="67C79A32" w:rsidR="00FF6F60" w:rsidRDefault="003908BA" w:rsidP="005F50A9">
      <w:pPr>
        <w:pStyle w:val="ListParagraph"/>
        <w:numPr>
          <w:ilvl w:val="0"/>
          <w:numId w:val="1"/>
        </w:numPr>
        <w:spacing w:before="240" w:after="120" w:line="343" w:lineRule="auto"/>
      </w:pPr>
      <w:r>
        <w:rPr>
          <w:rFonts w:hint="cs"/>
          <w:rtl/>
        </w:rPr>
        <w:t xml:space="preserve">עיון בפסק </w:t>
      </w:r>
      <w:r w:rsidR="001052AA">
        <w:rPr>
          <w:rFonts w:hint="cs"/>
          <w:rtl/>
        </w:rPr>
        <w:t>ה</w:t>
      </w:r>
      <w:r>
        <w:rPr>
          <w:rFonts w:hint="cs"/>
          <w:rtl/>
        </w:rPr>
        <w:t>די</w:t>
      </w:r>
      <w:r w:rsidR="001052AA">
        <w:rPr>
          <w:rFonts w:hint="cs"/>
          <w:rtl/>
        </w:rPr>
        <w:t xml:space="preserve">ן </w:t>
      </w:r>
      <w:r>
        <w:rPr>
          <w:rFonts w:hint="cs"/>
          <w:rtl/>
        </w:rPr>
        <w:t xml:space="preserve">מלמד כי </w:t>
      </w:r>
      <w:r w:rsidR="001052AA">
        <w:rPr>
          <w:rFonts w:hint="cs"/>
          <w:rtl/>
        </w:rPr>
        <w:t xml:space="preserve">בית הדין </w:t>
      </w:r>
      <w:r>
        <w:rPr>
          <w:rFonts w:hint="cs"/>
          <w:rtl/>
        </w:rPr>
        <w:t>ה</w:t>
      </w:r>
      <w:r w:rsidR="001052AA">
        <w:rPr>
          <w:rFonts w:hint="cs"/>
          <w:rtl/>
        </w:rPr>
        <w:t xml:space="preserve">מחוזי </w:t>
      </w:r>
      <w:r>
        <w:rPr>
          <w:rFonts w:hint="cs"/>
          <w:rtl/>
        </w:rPr>
        <w:t>שקל היטב</w:t>
      </w:r>
      <w:r w:rsidR="001052AA">
        <w:rPr>
          <w:rFonts w:hint="cs"/>
          <w:rtl/>
        </w:rPr>
        <w:t>,</w:t>
      </w:r>
      <w:r>
        <w:rPr>
          <w:rFonts w:hint="cs"/>
          <w:rtl/>
        </w:rPr>
        <w:t xml:space="preserve"> בעת קביעת מתחם העונש ההולם</w:t>
      </w:r>
      <w:r w:rsidR="001052AA">
        <w:rPr>
          <w:rFonts w:hint="cs"/>
          <w:rtl/>
        </w:rPr>
        <w:t>,</w:t>
      </w:r>
      <w:r>
        <w:rPr>
          <w:rFonts w:hint="cs"/>
          <w:rtl/>
        </w:rPr>
        <w:t xml:space="preserve"> את נסיבות העבירה ו</w:t>
      </w:r>
      <w:r w:rsidR="006B2FB3">
        <w:rPr>
          <w:rFonts w:hint="cs"/>
          <w:rtl/>
        </w:rPr>
        <w:t xml:space="preserve">את </w:t>
      </w:r>
      <w:r>
        <w:rPr>
          <w:rFonts w:hint="cs"/>
          <w:rtl/>
        </w:rPr>
        <w:t xml:space="preserve">מידת פגיעתן בערכים המוגנים. </w:t>
      </w:r>
      <w:r w:rsidR="009E2A57">
        <w:rPr>
          <w:rFonts w:hint="cs"/>
          <w:rtl/>
        </w:rPr>
        <w:t xml:space="preserve">נזכיר, כי </w:t>
      </w:r>
      <w:r w:rsidR="00B048D1">
        <w:rPr>
          <w:rFonts w:hint="cs"/>
          <w:rtl/>
        </w:rPr>
        <w:t xml:space="preserve">המערער ידע </w:t>
      </w:r>
      <w:r w:rsidR="001052AA">
        <w:rPr>
          <w:rFonts w:hint="cs"/>
          <w:rtl/>
        </w:rPr>
        <w:t xml:space="preserve">כבר </w:t>
      </w:r>
      <w:r w:rsidR="00B048D1">
        <w:rPr>
          <w:rFonts w:hint="cs"/>
          <w:rtl/>
        </w:rPr>
        <w:t xml:space="preserve">בימים שקדמו לאירוע, כי </w:t>
      </w:r>
      <w:r w:rsidR="005C4F55">
        <w:rPr>
          <w:rFonts w:hint="cs"/>
          <w:rtl/>
        </w:rPr>
        <w:t xml:space="preserve">נפגעת העבירה </w:t>
      </w:r>
      <w:r w:rsidR="00B048D1">
        <w:rPr>
          <w:rFonts w:hint="cs"/>
          <w:rtl/>
        </w:rPr>
        <w:t xml:space="preserve">אינה מעוניינת לקיים עמו מגע מיני נוסף, </w:t>
      </w:r>
      <w:r w:rsidR="005C4F55">
        <w:rPr>
          <w:rFonts w:hint="cs"/>
          <w:rtl/>
        </w:rPr>
        <w:t xml:space="preserve">ובכל זאת, </w:t>
      </w:r>
      <w:r w:rsidR="00B048D1">
        <w:rPr>
          <w:rFonts w:hint="cs"/>
          <w:rtl/>
        </w:rPr>
        <w:t xml:space="preserve">ניצל את נגישותו למחסן, שעה שנפגעת העבירה </w:t>
      </w:r>
      <w:r w:rsidR="005C4F55">
        <w:rPr>
          <w:rFonts w:hint="cs"/>
          <w:rtl/>
        </w:rPr>
        <w:t xml:space="preserve">ביקשה ממנו </w:t>
      </w:r>
      <w:r w:rsidR="00B048D1">
        <w:rPr>
          <w:rFonts w:hint="cs"/>
          <w:rtl/>
        </w:rPr>
        <w:t>את המפתחות</w:t>
      </w:r>
      <w:r w:rsidR="005C4F55">
        <w:rPr>
          <w:rFonts w:hint="cs"/>
          <w:rtl/>
        </w:rPr>
        <w:t xml:space="preserve"> לביצוע </w:t>
      </w:r>
      <w:r w:rsidR="00FF6F60">
        <w:rPr>
          <w:rFonts w:hint="cs"/>
          <w:rtl/>
        </w:rPr>
        <w:t xml:space="preserve">תפקידה. המערער </w:t>
      </w:r>
      <w:r w:rsidR="006B2FB3">
        <w:rPr>
          <w:rFonts w:hint="cs"/>
          <w:rtl/>
        </w:rPr>
        <w:t xml:space="preserve">אף </w:t>
      </w:r>
      <w:r w:rsidR="00B048D1">
        <w:rPr>
          <w:rFonts w:hint="cs"/>
          <w:rtl/>
        </w:rPr>
        <w:t>ליווה אותה מיוזמתו</w:t>
      </w:r>
      <w:r w:rsidR="00FF6F60">
        <w:rPr>
          <w:rFonts w:hint="cs"/>
          <w:rtl/>
        </w:rPr>
        <w:t xml:space="preserve"> ו</w:t>
      </w:r>
      <w:r w:rsidR="00B048D1">
        <w:rPr>
          <w:rFonts w:hint="cs"/>
          <w:rtl/>
        </w:rPr>
        <w:t xml:space="preserve">ניצל את </w:t>
      </w:r>
      <w:r w:rsidR="00FF6F60">
        <w:rPr>
          <w:rFonts w:hint="cs"/>
          <w:rtl/>
        </w:rPr>
        <w:t xml:space="preserve">שהותו </w:t>
      </w:r>
      <w:r w:rsidR="0071728F">
        <w:rPr>
          <w:rFonts w:hint="cs"/>
          <w:rtl/>
        </w:rPr>
        <w:t xml:space="preserve">עמה </w:t>
      </w:r>
      <w:r w:rsidR="00B048D1">
        <w:rPr>
          <w:rFonts w:hint="cs"/>
          <w:rtl/>
        </w:rPr>
        <w:t xml:space="preserve">במקום </w:t>
      </w:r>
      <w:r w:rsidR="00FE4FF1">
        <w:rPr>
          <w:rFonts w:hint="cs"/>
          <w:rtl/>
        </w:rPr>
        <w:t>מסתור</w:t>
      </w:r>
      <w:r w:rsidR="00FF6F60">
        <w:rPr>
          <w:rFonts w:hint="cs"/>
          <w:rtl/>
        </w:rPr>
        <w:t xml:space="preserve">. זאת ועוד, </w:t>
      </w:r>
      <w:r w:rsidR="0071728F">
        <w:rPr>
          <w:rFonts w:hint="cs"/>
          <w:rtl/>
        </w:rPr>
        <w:t xml:space="preserve">מעשיו כלפי נפגעת העבירה הלכו </w:t>
      </w:r>
      <w:r w:rsidR="00B048D1">
        <w:rPr>
          <w:rFonts w:hint="cs"/>
          <w:rtl/>
        </w:rPr>
        <w:t>והסלימו</w:t>
      </w:r>
      <w:r w:rsidR="0071728F">
        <w:rPr>
          <w:rFonts w:hint="cs"/>
          <w:rtl/>
        </w:rPr>
        <w:t xml:space="preserve">, תוך התעלמות </w:t>
      </w:r>
      <w:r w:rsidR="0071728F" w:rsidRPr="00A60CFF">
        <w:rPr>
          <w:rFonts w:hint="eastAsia"/>
          <w:b/>
          <w:bCs/>
          <w:rtl/>
        </w:rPr>
        <w:t>חוזרת</w:t>
      </w:r>
      <w:r w:rsidR="0071728F" w:rsidRPr="00A60CFF">
        <w:rPr>
          <w:b/>
          <w:bCs/>
          <w:rtl/>
        </w:rPr>
        <w:t xml:space="preserve"> </w:t>
      </w:r>
      <w:r w:rsidR="0071728F" w:rsidRPr="00A60CFF">
        <w:rPr>
          <w:rFonts w:hint="eastAsia"/>
          <w:b/>
          <w:bCs/>
          <w:rtl/>
        </w:rPr>
        <w:t>ונשנית</w:t>
      </w:r>
      <w:r w:rsidR="0071728F">
        <w:rPr>
          <w:rFonts w:hint="cs"/>
          <w:rtl/>
        </w:rPr>
        <w:t xml:space="preserve"> מה</w:t>
      </w:r>
      <w:r w:rsidR="00FF6F60">
        <w:rPr>
          <w:rFonts w:hint="cs"/>
          <w:rtl/>
        </w:rPr>
        <w:t xml:space="preserve">תנגדותה </w:t>
      </w:r>
      <w:r w:rsidR="006B2FB3">
        <w:rPr>
          <w:rFonts w:hint="cs"/>
          <w:rtl/>
        </w:rPr>
        <w:t xml:space="preserve">המפורשת </w:t>
      </w:r>
      <w:r w:rsidR="0071728F">
        <w:rPr>
          <w:rFonts w:hint="cs"/>
          <w:rtl/>
        </w:rPr>
        <w:lastRenderedPageBreak/>
        <w:t>למעשי</w:t>
      </w:r>
      <w:r w:rsidR="006B2FB3">
        <w:rPr>
          <w:rFonts w:hint="cs"/>
          <w:rtl/>
        </w:rPr>
        <w:t>ם</w:t>
      </w:r>
      <w:r w:rsidR="0071728F">
        <w:rPr>
          <w:rFonts w:hint="cs"/>
          <w:rtl/>
        </w:rPr>
        <w:t xml:space="preserve">. </w:t>
      </w:r>
      <w:r w:rsidR="00E9623C">
        <w:rPr>
          <w:rFonts w:hint="cs"/>
          <w:rtl/>
        </w:rPr>
        <w:t xml:space="preserve">אמנם, </w:t>
      </w:r>
      <w:r w:rsidR="009E2A57">
        <w:rPr>
          <w:rFonts w:hint="cs"/>
          <w:rtl/>
        </w:rPr>
        <w:t>אף שכטענת ה</w:t>
      </w:r>
      <w:r w:rsidR="00FE4FF1">
        <w:rPr>
          <w:rFonts w:hint="cs"/>
          <w:rtl/>
        </w:rPr>
        <w:t>הגנ</w:t>
      </w:r>
      <w:r w:rsidR="009E2A57">
        <w:rPr>
          <w:rFonts w:hint="cs"/>
          <w:rtl/>
        </w:rPr>
        <w:t xml:space="preserve">ה, </w:t>
      </w:r>
      <w:r w:rsidR="00B048D1">
        <w:rPr>
          <w:rFonts w:hint="cs"/>
          <w:rtl/>
        </w:rPr>
        <w:t>האירוע הסתיים ב</w:t>
      </w:r>
      <w:r w:rsidR="00FF6F60">
        <w:rPr>
          <w:rFonts w:hint="cs"/>
          <w:rtl/>
        </w:rPr>
        <w:t>סופו של דבר ב</w:t>
      </w:r>
      <w:r w:rsidR="00B048D1">
        <w:rPr>
          <w:rFonts w:hint="cs"/>
          <w:rtl/>
        </w:rPr>
        <w:t>יוזמת</w:t>
      </w:r>
      <w:r w:rsidR="009E2A57">
        <w:rPr>
          <w:rFonts w:hint="cs"/>
          <w:rtl/>
        </w:rPr>
        <w:t xml:space="preserve"> המערער</w:t>
      </w:r>
      <w:r w:rsidR="00B048D1">
        <w:rPr>
          <w:rFonts w:hint="cs"/>
          <w:rtl/>
        </w:rPr>
        <w:t xml:space="preserve">, </w:t>
      </w:r>
      <w:r w:rsidR="009D7EBB">
        <w:rPr>
          <w:rFonts w:hint="cs"/>
          <w:rtl/>
        </w:rPr>
        <w:t xml:space="preserve">אך </w:t>
      </w:r>
      <w:r w:rsidR="0071728F">
        <w:rPr>
          <w:rFonts w:hint="cs"/>
          <w:rtl/>
        </w:rPr>
        <w:t>היה זה</w:t>
      </w:r>
      <w:r w:rsidR="00FF6F60">
        <w:rPr>
          <w:rFonts w:hint="cs"/>
          <w:rtl/>
        </w:rPr>
        <w:t>,</w:t>
      </w:r>
      <w:r w:rsidR="0071728F">
        <w:rPr>
          <w:rFonts w:hint="cs"/>
          <w:rtl/>
        </w:rPr>
        <w:t xml:space="preserve"> כאמור</w:t>
      </w:r>
      <w:r w:rsidR="00FF6F60">
        <w:rPr>
          <w:rFonts w:hint="cs"/>
          <w:rtl/>
        </w:rPr>
        <w:t>,</w:t>
      </w:r>
      <w:r w:rsidR="0071728F">
        <w:rPr>
          <w:rFonts w:hint="cs"/>
          <w:rtl/>
        </w:rPr>
        <w:t xml:space="preserve"> לאחר </w:t>
      </w:r>
      <w:r w:rsidR="00FF6F60">
        <w:rPr>
          <w:rFonts w:hint="cs"/>
          <w:rtl/>
        </w:rPr>
        <w:t>שנפגעת העבירה הביע</w:t>
      </w:r>
      <w:r w:rsidR="009E2A57">
        <w:rPr>
          <w:rFonts w:hint="cs"/>
          <w:rtl/>
        </w:rPr>
        <w:t>ה</w:t>
      </w:r>
      <w:r w:rsidR="00FF6F60">
        <w:rPr>
          <w:rFonts w:hint="cs"/>
          <w:rtl/>
        </w:rPr>
        <w:t xml:space="preserve"> את התנגדותה למעשיו </w:t>
      </w:r>
      <w:r w:rsidR="009E2A57">
        <w:rPr>
          <w:rFonts w:hint="cs"/>
          <w:rtl/>
        </w:rPr>
        <w:t xml:space="preserve">פעם אחר פעם, </w:t>
      </w:r>
      <w:r w:rsidR="00FF6F60">
        <w:rPr>
          <w:rFonts w:hint="cs"/>
          <w:rtl/>
        </w:rPr>
        <w:t xml:space="preserve">במספר הזדמנויות. </w:t>
      </w:r>
    </w:p>
    <w:p w14:paraId="778FA26B" w14:textId="65C76C6B" w:rsidR="003908BA" w:rsidRDefault="0071728F" w:rsidP="005F50A9">
      <w:pPr>
        <w:pStyle w:val="ListParagraph"/>
        <w:numPr>
          <w:ilvl w:val="0"/>
          <w:numId w:val="1"/>
        </w:numPr>
        <w:spacing w:before="240" w:after="120" w:line="343" w:lineRule="auto"/>
      </w:pPr>
      <w:proofErr w:type="spellStart"/>
      <w:r>
        <w:rPr>
          <w:rFonts w:hint="cs"/>
          <w:rtl/>
        </w:rPr>
        <w:t>ודוקו</w:t>
      </w:r>
      <w:proofErr w:type="spellEnd"/>
      <w:r>
        <w:rPr>
          <w:rFonts w:hint="cs"/>
          <w:rtl/>
        </w:rPr>
        <w:t xml:space="preserve">: </w:t>
      </w:r>
      <w:r w:rsidR="00EB334F">
        <w:rPr>
          <w:rFonts w:hint="cs"/>
          <w:rtl/>
        </w:rPr>
        <w:t xml:space="preserve">העובדה שהמערער </w:t>
      </w:r>
      <w:r w:rsidR="00FF6F60">
        <w:rPr>
          <w:rFonts w:hint="cs"/>
          <w:rtl/>
        </w:rPr>
        <w:t>ו</w:t>
      </w:r>
      <w:r w:rsidR="00EB334F">
        <w:rPr>
          <w:rFonts w:hint="cs"/>
          <w:rtl/>
        </w:rPr>
        <w:t xml:space="preserve">נפגעת העבירה </w:t>
      </w:r>
      <w:r w:rsidR="00FF6F60">
        <w:rPr>
          <w:rFonts w:hint="cs"/>
          <w:rtl/>
        </w:rPr>
        <w:t xml:space="preserve">קיימו </w:t>
      </w:r>
      <w:r w:rsidR="009E2A57">
        <w:rPr>
          <w:rFonts w:hint="cs"/>
          <w:rtl/>
        </w:rPr>
        <w:t xml:space="preserve">בעבר </w:t>
      </w:r>
      <w:r w:rsidR="00FF6F60">
        <w:rPr>
          <w:rFonts w:hint="cs"/>
          <w:rtl/>
        </w:rPr>
        <w:t xml:space="preserve">מגע מיני בהסכמה, </w:t>
      </w:r>
      <w:r w:rsidR="00EB334F">
        <w:rPr>
          <w:rFonts w:hint="cs"/>
          <w:rtl/>
        </w:rPr>
        <w:t>אינה יכולה לה</w:t>
      </w:r>
      <w:r w:rsidR="00FF6F60">
        <w:rPr>
          <w:rFonts w:hint="cs"/>
          <w:rtl/>
        </w:rPr>
        <w:t xml:space="preserve">צדיק </w:t>
      </w:r>
      <w:r w:rsidR="00EB334F">
        <w:rPr>
          <w:rFonts w:hint="cs"/>
          <w:rtl/>
        </w:rPr>
        <w:t>את מעשיו של המערער</w:t>
      </w:r>
      <w:r w:rsidR="00FF6F60">
        <w:rPr>
          <w:rFonts w:hint="cs"/>
          <w:rtl/>
        </w:rPr>
        <w:t xml:space="preserve"> באירוע</w:t>
      </w:r>
      <w:r w:rsidR="006B2FB3">
        <w:rPr>
          <w:rFonts w:hint="cs"/>
          <w:rtl/>
        </w:rPr>
        <w:t xml:space="preserve"> או להפחית מחומרתם! משעה שהמערער למד על </w:t>
      </w:r>
      <w:r w:rsidR="00EB334F">
        <w:rPr>
          <w:rFonts w:hint="cs"/>
          <w:rtl/>
        </w:rPr>
        <w:t>חוסר הסכמ</w:t>
      </w:r>
      <w:r w:rsidR="006B2FB3">
        <w:rPr>
          <w:rFonts w:hint="cs"/>
          <w:rtl/>
        </w:rPr>
        <w:t>ת</w:t>
      </w:r>
      <w:r w:rsidR="00EB334F">
        <w:rPr>
          <w:rFonts w:hint="cs"/>
          <w:rtl/>
        </w:rPr>
        <w:t xml:space="preserve">ה </w:t>
      </w:r>
      <w:r w:rsidR="00FF6F60">
        <w:rPr>
          <w:rFonts w:hint="cs"/>
          <w:rtl/>
        </w:rPr>
        <w:t xml:space="preserve">של נפגעת העבירה </w:t>
      </w:r>
      <w:r w:rsidR="006B2FB3">
        <w:rPr>
          <w:rFonts w:hint="cs"/>
          <w:rtl/>
        </w:rPr>
        <w:t xml:space="preserve">לקיים עמו מגע מיני היה עליו לכבד את </w:t>
      </w:r>
      <w:r w:rsidR="009E2A57">
        <w:rPr>
          <w:rFonts w:hint="cs"/>
          <w:rtl/>
        </w:rPr>
        <w:t xml:space="preserve">רצונה </w:t>
      </w:r>
      <w:r w:rsidR="006B2FB3">
        <w:rPr>
          <w:rFonts w:hint="cs"/>
          <w:rtl/>
        </w:rPr>
        <w:t>ולהימנע מהם</w:t>
      </w:r>
      <w:r w:rsidR="00EB334F">
        <w:rPr>
          <w:rFonts w:hint="cs"/>
          <w:rtl/>
        </w:rPr>
        <w:t xml:space="preserve"> (ראו </w:t>
      </w:r>
      <w:r w:rsidR="00EB334F" w:rsidRPr="00060D84">
        <w:rPr>
          <w:rFonts w:ascii="David" w:hAnsi="David"/>
          <w:rtl/>
        </w:rPr>
        <w:t>ע</w:t>
      </w:r>
      <w:r w:rsidR="00EB334F">
        <w:rPr>
          <w:rFonts w:ascii="David" w:hAnsi="David" w:hint="cs"/>
          <w:rtl/>
        </w:rPr>
        <w:t>"</w:t>
      </w:r>
      <w:r w:rsidR="00EB334F" w:rsidRPr="00060D84">
        <w:rPr>
          <w:rFonts w:ascii="David" w:hAnsi="David"/>
          <w:rtl/>
        </w:rPr>
        <w:t xml:space="preserve">פ 7046/18 </w:t>
      </w:r>
      <w:proofErr w:type="spellStart"/>
      <w:r w:rsidR="00EB334F" w:rsidRPr="00060D84">
        <w:rPr>
          <w:rFonts w:ascii="David" w:hAnsi="David" w:hint="cs"/>
          <w:b/>
          <w:bCs/>
          <w:rtl/>
        </w:rPr>
        <w:t>דרימן</w:t>
      </w:r>
      <w:proofErr w:type="spellEnd"/>
      <w:r w:rsidR="00EB334F" w:rsidRPr="00060D84">
        <w:rPr>
          <w:rFonts w:ascii="David" w:hAnsi="David" w:hint="cs"/>
          <w:b/>
          <w:bCs/>
          <w:rtl/>
        </w:rPr>
        <w:t xml:space="preserve"> </w:t>
      </w:r>
      <w:r w:rsidR="00EB334F" w:rsidRPr="00060D84">
        <w:rPr>
          <w:rFonts w:ascii="David" w:hAnsi="David"/>
          <w:b/>
          <w:bCs/>
          <w:rtl/>
        </w:rPr>
        <w:t>נ' מדינת ישראל</w:t>
      </w:r>
      <w:r w:rsidR="00EB334F">
        <w:rPr>
          <w:rFonts w:ascii="David" w:hAnsi="David" w:hint="cs"/>
          <w:rtl/>
        </w:rPr>
        <w:t>, פסקה 9 (8.8.2021)</w:t>
      </w:r>
      <w:r w:rsidR="00EB334F">
        <w:rPr>
          <w:rFonts w:hint="cs"/>
          <w:rtl/>
        </w:rPr>
        <w:t xml:space="preserve">; ולאחרונה - ע/58/24 </w:t>
      </w:r>
      <w:r w:rsidR="00EB334F">
        <w:rPr>
          <w:rFonts w:hint="cs"/>
          <w:b/>
          <w:bCs/>
          <w:rtl/>
        </w:rPr>
        <w:t>טור' תורג'מן נ' התובע הצבאי הראשי</w:t>
      </w:r>
      <w:r w:rsidR="00EB334F">
        <w:rPr>
          <w:rFonts w:hint="cs"/>
          <w:rtl/>
        </w:rPr>
        <w:t>, פסקה 18 (2024)</w:t>
      </w:r>
      <w:r w:rsidR="00B94220">
        <w:rPr>
          <w:rFonts w:hint="cs"/>
          <w:rtl/>
        </w:rPr>
        <w:t xml:space="preserve">; ע/53/23 </w:t>
      </w:r>
      <w:r w:rsidR="00B94220">
        <w:rPr>
          <w:rFonts w:hint="cs"/>
          <w:b/>
          <w:bCs/>
          <w:rtl/>
        </w:rPr>
        <w:t>רס"ל (מיל')</w:t>
      </w:r>
      <w:r w:rsidR="00B94220">
        <w:rPr>
          <w:rFonts w:hint="cs"/>
          <w:b/>
          <w:bCs/>
        </w:rPr>
        <w:t xml:space="preserve"> </w:t>
      </w:r>
      <w:r w:rsidR="00B94220">
        <w:rPr>
          <w:rFonts w:hint="cs"/>
          <w:b/>
          <w:bCs/>
          <w:rtl/>
        </w:rPr>
        <w:t>חי פרץ נ' התובע הצבאי הראשי</w:t>
      </w:r>
      <w:r w:rsidR="00B94220">
        <w:rPr>
          <w:rFonts w:hint="cs"/>
          <w:rtl/>
        </w:rPr>
        <w:t>, פסקה 28 (2024)</w:t>
      </w:r>
      <w:r w:rsidR="00B35CD4">
        <w:rPr>
          <w:rFonts w:hint="cs"/>
          <w:rtl/>
        </w:rPr>
        <w:t>)</w:t>
      </w:r>
      <w:r w:rsidR="00EB334F">
        <w:rPr>
          <w:rFonts w:hint="cs"/>
          <w:rtl/>
        </w:rPr>
        <w:t xml:space="preserve">. </w:t>
      </w:r>
    </w:p>
    <w:p w14:paraId="6C0A6626" w14:textId="5341879B" w:rsidR="00B94220" w:rsidRDefault="0071728F" w:rsidP="005F50A9">
      <w:pPr>
        <w:pStyle w:val="ListParagraph"/>
        <w:numPr>
          <w:ilvl w:val="0"/>
          <w:numId w:val="1"/>
        </w:numPr>
        <w:spacing w:before="240" w:after="120" w:line="343" w:lineRule="auto"/>
      </w:pPr>
      <w:r>
        <w:rPr>
          <w:rFonts w:ascii="David" w:hAnsi="David" w:hint="cs"/>
          <w:sz w:val="28"/>
          <w:rtl/>
        </w:rPr>
        <w:t xml:space="preserve">מעשיו של המערער פגעו </w:t>
      </w:r>
      <w:r w:rsidR="00B94220" w:rsidRPr="00B94220">
        <w:rPr>
          <w:rFonts w:ascii="David" w:hAnsi="David" w:hint="cs"/>
          <w:sz w:val="28"/>
          <w:rtl/>
        </w:rPr>
        <w:t xml:space="preserve">בכבודה, בפרטיותה ובאוטונומיה של נפגעת העבירה, </w:t>
      </w:r>
      <w:r w:rsidR="00B35CD4">
        <w:rPr>
          <w:rFonts w:ascii="David" w:hAnsi="David" w:hint="cs"/>
          <w:sz w:val="28"/>
          <w:rtl/>
        </w:rPr>
        <w:t xml:space="preserve">וגרמו </w:t>
      </w:r>
      <w:r w:rsidR="00B94220" w:rsidRPr="00B94220">
        <w:rPr>
          <w:rFonts w:ascii="David" w:hAnsi="David" w:hint="cs"/>
          <w:sz w:val="28"/>
          <w:rtl/>
        </w:rPr>
        <w:t>לה, כ</w:t>
      </w:r>
      <w:r w:rsidR="00B35CD4">
        <w:rPr>
          <w:rFonts w:ascii="David" w:hAnsi="David" w:hint="cs"/>
          <w:sz w:val="28"/>
          <w:rtl/>
        </w:rPr>
        <w:t>פי שהצהירה</w:t>
      </w:r>
      <w:r w:rsidR="00B94220" w:rsidRPr="00B94220">
        <w:rPr>
          <w:rFonts w:ascii="David" w:hAnsi="David" w:hint="cs"/>
          <w:sz w:val="28"/>
          <w:rtl/>
        </w:rPr>
        <w:t xml:space="preserve">, </w:t>
      </w:r>
      <w:r w:rsidR="00B35CD4">
        <w:rPr>
          <w:rFonts w:ascii="David" w:hAnsi="David" w:hint="cs"/>
          <w:sz w:val="28"/>
          <w:rtl/>
        </w:rPr>
        <w:t xml:space="preserve">לנזק </w:t>
      </w:r>
      <w:r w:rsidR="00B94220" w:rsidRPr="00B94220">
        <w:rPr>
          <w:rFonts w:ascii="David" w:hAnsi="David" w:hint="cs"/>
          <w:sz w:val="28"/>
          <w:rtl/>
        </w:rPr>
        <w:t>ארו</w:t>
      </w:r>
      <w:r w:rsidR="00B35CD4">
        <w:rPr>
          <w:rFonts w:ascii="David" w:hAnsi="David" w:hint="cs"/>
          <w:sz w:val="28"/>
          <w:rtl/>
        </w:rPr>
        <w:t xml:space="preserve">ך </w:t>
      </w:r>
      <w:r w:rsidR="00B94220" w:rsidRPr="00B94220">
        <w:rPr>
          <w:rFonts w:ascii="David" w:hAnsi="David" w:hint="cs"/>
          <w:sz w:val="28"/>
          <w:rtl/>
        </w:rPr>
        <w:t xml:space="preserve">טווח, </w:t>
      </w:r>
      <w:r w:rsidR="00B35CD4">
        <w:rPr>
          <w:rFonts w:ascii="David" w:hAnsi="David" w:hint="cs"/>
          <w:sz w:val="28"/>
          <w:rtl/>
        </w:rPr>
        <w:t xml:space="preserve">שהשלכותיו מלוות אותה גם </w:t>
      </w:r>
      <w:r w:rsidR="00B94220" w:rsidRPr="00B94220">
        <w:rPr>
          <w:rFonts w:ascii="David" w:hAnsi="David" w:hint="cs"/>
          <w:sz w:val="28"/>
          <w:rtl/>
        </w:rPr>
        <w:t>היום</w:t>
      </w:r>
      <w:r w:rsidR="00B35CD4">
        <w:rPr>
          <w:rFonts w:ascii="David" w:hAnsi="David" w:hint="cs"/>
          <w:sz w:val="28"/>
          <w:rtl/>
        </w:rPr>
        <w:t>.</w:t>
      </w:r>
      <w:r>
        <w:rPr>
          <w:rFonts w:ascii="David" w:hAnsi="David" w:hint="cs"/>
          <w:sz w:val="28"/>
          <w:rtl/>
        </w:rPr>
        <w:t xml:space="preserve"> </w:t>
      </w:r>
      <w:r w:rsidR="00B94220" w:rsidRPr="00B94220">
        <w:rPr>
          <w:rFonts w:ascii="David" w:hAnsi="David" w:hint="cs"/>
          <w:sz w:val="28"/>
          <w:rtl/>
        </w:rPr>
        <w:t>כ</w:t>
      </w:r>
      <w:r w:rsidR="00B35CD4">
        <w:rPr>
          <w:rFonts w:ascii="David" w:hAnsi="David" w:hint="cs"/>
          <w:sz w:val="28"/>
          <w:rtl/>
        </w:rPr>
        <w:t xml:space="preserve">ידוע, </w:t>
      </w:r>
      <w:r w:rsidR="006B2FB3">
        <w:rPr>
          <w:rFonts w:ascii="David" w:hAnsi="David" w:hint="cs"/>
          <w:sz w:val="28"/>
          <w:rtl/>
        </w:rPr>
        <w:t xml:space="preserve">אף </w:t>
      </w:r>
      <w:r w:rsidR="00B94220" w:rsidRPr="00B94220">
        <w:rPr>
          <w:rFonts w:ascii="David" w:hAnsi="David" w:hint="cs"/>
          <w:sz w:val="28"/>
          <w:rtl/>
        </w:rPr>
        <w:t xml:space="preserve">הנזק שנגרם לנפגעת העבירה הוא שיקול מרכזי בעת קביעת מתחם העונש ההולם (סעיף 40ט(א)(4) לחוק העונשין; ע/51,52/24 </w:t>
      </w:r>
      <w:r w:rsidR="00B94220" w:rsidRPr="00B94220">
        <w:rPr>
          <w:rFonts w:ascii="David" w:hAnsi="David" w:hint="cs"/>
          <w:b/>
          <w:bCs/>
          <w:sz w:val="28"/>
          <w:rtl/>
        </w:rPr>
        <w:t>טור' אבו סריה נ' התובע הצבאי הראשי</w:t>
      </w:r>
      <w:r w:rsidR="00B94220" w:rsidRPr="00B94220">
        <w:rPr>
          <w:rFonts w:ascii="David" w:hAnsi="David" w:hint="cs"/>
          <w:sz w:val="28"/>
          <w:rtl/>
        </w:rPr>
        <w:t xml:space="preserve">, פסקה 17 (2024); ע/36,37/24 </w:t>
      </w:r>
      <w:r w:rsidR="00B94220" w:rsidRPr="00B94220">
        <w:rPr>
          <w:rFonts w:ascii="David" w:hAnsi="David" w:hint="cs"/>
          <w:b/>
          <w:bCs/>
          <w:sz w:val="28"/>
          <w:rtl/>
        </w:rPr>
        <w:t xml:space="preserve">סרן אבו </w:t>
      </w:r>
      <w:proofErr w:type="spellStart"/>
      <w:r w:rsidR="00B94220" w:rsidRPr="00B94220">
        <w:rPr>
          <w:rFonts w:ascii="David" w:hAnsi="David" w:hint="cs"/>
          <w:b/>
          <w:bCs/>
          <w:sz w:val="28"/>
          <w:rtl/>
        </w:rPr>
        <w:t>סוויד</w:t>
      </w:r>
      <w:proofErr w:type="spellEnd"/>
      <w:r w:rsidR="00B94220" w:rsidRPr="00B94220">
        <w:rPr>
          <w:rFonts w:ascii="David" w:hAnsi="David" w:hint="cs"/>
          <w:b/>
          <w:bCs/>
          <w:sz w:val="28"/>
          <w:rtl/>
        </w:rPr>
        <w:t xml:space="preserve"> נ' התובע הצבאי הראשי</w:t>
      </w:r>
      <w:r w:rsidR="00B94220" w:rsidRPr="00B94220">
        <w:rPr>
          <w:rFonts w:ascii="David" w:hAnsi="David" w:hint="cs"/>
          <w:sz w:val="28"/>
          <w:rtl/>
        </w:rPr>
        <w:t>,</w:t>
      </w:r>
      <w:r w:rsidR="00B94220" w:rsidRPr="00B94220">
        <w:rPr>
          <w:rFonts w:ascii="David" w:hAnsi="David" w:hint="cs"/>
          <w:b/>
          <w:bCs/>
          <w:sz w:val="28"/>
          <w:rtl/>
        </w:rPr>
        <w:t xml:space="preserve"> </w:t>
      </w:r>
      <w:r w:rsidR="00B94220" w:rsidRPr="00B94220">
        <w:rPr>
          <w:rFonts w:ascii="David" w:hAnsi="David" w:hint="cs"/>
          <w:sz w:val="28"/>
          <w:rtl/>
        </w:rPr>
        <w:t>פסקה 62 (2024)</w:t>
      </w:r>
      <w:r w:rsidR="00B94220">
        <w:rPr>
          <w:rFonts w:ascii="David" w:hAnsi="David" w:hint="cs"/>
          <w:sz w:val="28"/>
          <w:rtl/>
        </w:rPr>
        <w:t xml:space="preserve">; ע/53/24 </w:t>
      </w:r>
      <w:r w:rsidR="00B94220">
        <w:rPr>
          <w:rFonts w:ascii="David" w:hAnsi="David" w:hint="cs"/>
          <w:b/>
          <w:bCs/>
          <w:sz w:val="28"/>
          <w:rtl/>
        </w:rPr>
        <w:t xml:space="preserve">רס"ל (מיל') פרץ </w:t>
      </w:r>
      <w:r w:rsidR="00B94220">
        <w:rPr>
          <w:rFonts w:ascii="David" w:hAnsi="David" w:hint="cs"/>
          <w:sz w:val="28"/>
          <w:rtl/>
        </w:rPr>
        <w:t>הנ"ל, בפסקה 30</w:t>
      </w:r>
      <w:r w:rsidR="00B94220" w:rsidRPr="00B94220">
        <w:rPr>
          <w:rFonts w:ascii="David" w:hAnsi="David" w:hint="cs"/>
          <w:sz w:val="28"/>
          <w:rtl/>
        </w:rPr>
        <w:t>).</w:t>
      </w:r>
      <w:r w:rsidR="00B94220">
        <w:rPr>
          <w:rFonts w:ascii="David" w:hAnsi="David" w:hint="cs"/>
          <w:sz w:val="28"/>
          <w:rtl/>
        </w:rPr>
        <w:t xml:space="preserve"> </w:t>
      </w:r>
      <w:r>
        <w:rPr>
          <w:rFonts w:ascii="David" w:hAnsi="David" w:hint="cs"/>
          <w:sz w:val="28"/>
          <w:rtl/>
        </w:rPr>
        <w:t xml:space="preserve">עוד יש לשקול </w:t>
      </w:r>
      <w:r w:rsidR="006B2FB3">
        <w:rPr>
          <w:rFonts w:ascii="David" w:hAnsi="David" w:hint="cs"/>
          <w:sz w:val="28"/>
          <w:rtl/>
        </w:rPr>
        <w:t xml:space="preserve">בעת קביעת המתחם </w:t>
      </w:r>
      <w:r>
        <w:rPr>
          <w:rFonts w:ascii="David" w:hAnsi="David" w:hint="cs"/>
          <w:sz w:val="28"/>
          <w:rtl/>
        </w:rPr>
        <w:t xml:space="preserve">את מידת </w:t>
      </w:r>
      <w:r w:rsidR="00B4714A">
        <w:rPr>
          <w:rFonts w:ascii="David" w:hAnsi="David" w:hint="cs"/>
          <w:sz w:val="28"/>
          <w:rtl/>
        </w:rPr>
        <w:t>ה</w:t>
      </w:r>
      <w:r w:rsidR="00B4714A">
        <w:rPr>
          <w:rFonts w:hint="cs"/>
          <w:rtl/>
        </w:rPr>
        <w:t>פגיעה בערכים הצבאיים</w:t>
      </w:r>
      <w:r w:rsidR="00B4714A" w:rsidRPr="00AB098F">
        <w:rPr>
          <w:rFonts w:ascii="David" w:hAnsi="David" w:hint="cs"/>
          <w:sz w:val="28"/>
          <w:rtl/>
        </w:rPr>
        <w:t xml:space="preserve">, ובהם ערך הרעות בין המשרתים והאמון שראוי כי ישרור ביניהם (ע/21,22/23 </w:t>
      </w:r>
      <w:r w:rsidR="00B4714A" w:rsidRPr="00AB098F">
        <w:rPr>
          <w:rFonts w:ascii="David" w:hAnsi="David" w:hint="cs"/>
          <w:b/>
          <w:bCs/>
          <w:sz w:val="28"/>
          <w:rtl/>
        </w:rPr>
        <w:t>סמל אסולין נ' התובע הצבאי הראשי</w:t>
      </w:r>
      <w:r w:rsidR="00B4714A" w:rsidRPr="00AB098F">
        <w:rPr>
          <w:rFonts w:ascii="David" w:hAnsi="David" w:hint="cs"/>
          <w:sz w:val="28"/>
          <w:rtl/>
        </w:rPr>
        <w:t xml:space="preserve">, פסקה 32 (2023); ע/2,4/23 </w:t>
      </w:r>
      <w:r w:rsidR="00B4714A" w:rsidRPr="00AB098F">
        <w:rPr>
          <w:rFonts w:ascii="David" w:hAnsi="David" w:hint="cs"/>
          <w:b/>
          <w:bCs/>
          <w:sz w:val="28"/>
          <w:rtl/>
        </w:rPr>
        <w:t xml:space="preserve">רס"ב </w:t>
      </w:r>
      <w:proofErr w:type="spellStart"/>
      <w:r w:rsidR="00B4714A" w:rsidRPr="00AB098F">
        <w:rPr>
          <w:rFonts w:ascii="David" w:hAnsi="David" w:hint="cs"/>
          <w:b/>
          <w:bCs/>
          <w:sz w:val="28"/>
          <w:rtl/>
        </w:rPr>
        <w:t>חשאן</w:t>
      </w:r>
      <w:proofErr w:type="spellEnd"/>
      <w:r w:rsidR="00B4714A" w:rsidRPr="00AB098F">
        <w:rPr>
          <w:rFonts w:ascii="David" w:hAnsi="David" w:hint="cs"/>
          <w:b/>
          <w:bCs/>
          <w:sz w:val="28"/>
          <w:rtl/>
        </w:rPr>
        <w:t xml:space="preserve"> נ' התובע הצבאי הראשי</w:t>
      </w:r>
      <w:r w:rsidR="00B4714A" w:rsidRPr="00AB098F">
        <w:rPr>
          <w:rFonts w:ascii="David" w:hAnsi="David" w:hint="cs"/>
          <w:sz w:val="28"/>
          <w:rtl/>
        </w:rPr>
        <w:t xml:space="preserve">, פסקה 28 (2023); ע/32,33/21 </w:t>
      </w:r>
      <w:r w:rsidR="00B4714A" w:rsidRPr="00AB098F">
        <w:rPr>
          <w:rFonts w:ascii="David" w:hAnsi="David" w:hint="cs"/>
          <w:b/>
          <w:bCs/>
          <w:sz w:val="28"/>
          <w:rtl/>
        </w:rPr>
        <w:t xml:space="preserve">רס"ר </w:t>
      </w:r>
      <w:proofErr w:type="spellStart"/>
      <w:r w:rsidR="00B4714A" w:rsidRPr="00AB098F">
        <w:rPr>
          <w:rFonts w:ascii="David" w:hAnsi="David" w:hint="cs"/>
          <w:b/>
          <w:bCs/>
          <w:sz w:val="28"/>
          <w:rtl/>
        </w:rPr>
        <w:t>שיליאן</w:t>
      </w:r>
      <w:proofErr w:type="spellEnd"/>
      <w:r w:rsidR="00B4714A" w:rsidRPr="00AB098F">
        <w:rPr>
          <w:rFonts w:ascii="David" w:hAnsi="David" w:hint="cs"/>
          <w:b/>
          <w:bCs/>
          <w:sz w:val="28"/>
          <w:rtl/>
        </w:rPr>
        <w:t xml:space="preserve"> נ' התובע הצבאי הראשי</w:t>
      </w:r>
      <w:r w:rsidR="00B4714A" w:rsidRPr="00AB098F">
        <w:rPr>
          <w:rFonts w:ascii="David" w:hAnsi="David" w:hint="cs"/>
          <w:sz w:val="28"/>
          <w:rtl/>
        </w:rPr>
        <w:t>, פסקה 85 (2022))</w:t>
      </w:r>
      <w:r w:rsidR="00B4714A">
        <w:rPr>
          <w:rFonts w:hint="cs"/>
          <w:rtl/>
        </w:rPr>
        <w:t xml:space="preserve">.  </w:t>
      </w:r>
    </w:p>
    <w:p w14:paraId="35E2FC35" w14:textId="3E89E14F" w:rsidR="005D06A8" w:rsidRDefault="0071728F" w:rsidP="005F50A9">
      <w:pPr>
        <w:pStyle w:val="ListParagraph"/>
        <w:numPr>
          <w:ilvl w:val="0"/>
          <w:numId w:val="1"/>
        </w:numPr>
        <w:spacing w:before="240" w:after="120" w:line="343" w:lineRule="auto"/>
      </w:pPr>
      <w:r>
        <w:rPr>
          <w:rFonts w:hint="cs"/>
          <w:rtl/>
        </w:rPr>
        <w:t>ל</w:t>
      </w:r>
      <w:r w:rsidR="005D06A8">
        <w:rPr>
          <w:rFonts w:hint="cs"/>
          <w:rtl/>
        </w:rPr>
        <w:t>פיכך</w:t>
      </w:r>
      <w:r w:rsidR="00A205DF">
        <w:rPr>
          <w:rFonts w:hint="cs"/>
          <w:rtl/>
        </w:rPr>
        <w:t>,</w:t>
      </w:r>
      <w:r>
        <w:rPr>
          <w:rFonts w:hint="cs"/>
          <w:rtl/>
        </w:rPr>
        <w:t xml:space="preserve"> </w:t>
      </w:r>
      <w:r w:rsidR="00A205DF">
        <w:rPr>
          <w:rFonts w:hint="cs"/>
          <w:rtl/>
        </w:rPr>
        <w:t xml:space="preserve">אין לקבל את </w:t>
      </w:r>
      <w:r>
        <w:rPr>
          <w:rFonts w:hint="cs"/>
          <w:rtl/>
        </w:rPr>
        <w:t xml:space="preserve">טענות ההגנה </w:t>
      </w:r>
      <w:r w:rsidR="00A205DF">
        <w:rPr>
          <w:rFonts w:hint="cs"/>
          <w:rtl/>
        </w:rPr>
        <w:t>שלפיה</w:t>
      </w:r>
      <w:r w:rsidR="009E2A57">
        <w:rPr>
          <w:rFonts w:hint="cs"/>
          <w:rtl/>
        </w:rPr>
        <w:t>ן</w:t>
      </w:r>
      <w:r w:rsidR="00A205DF">
        <w:rPr>
          <w:rFonts w:hint="cs"/>
          <w:rtl/>
        </w:rPr>
        <w:t xml:space="preserve"> המקרה שלפנינו </w:t>
      </w:r>
      <w:r>
        <w:rPr>
          <w:rFonts w:hint="cs"/>
          <w:rtl/>
        </w:rPr>
        <w:t>מצוי ברף הנמוך של עבירות המעשה המגונה. לצד זאת</w:t>
      </w:r>
      <w:r w:rsidR="00A205DF">
        <w:rPr>
          <w:rFonts w:hint="cs"/>
          <w:rtl/>
        </w:rPr>
        <w:t xml:space="preserve">, </w:t>
      </w:r>
      <w:r w:rsidR="00E9623C">
        <w:rPr>
          <w:rFonts w:hint="cs"/>
          <w:rtl/>
        </w:rPr>
        <w:t xml:space="preserve">לא מצאנו לאמץ לענייננו את </w:t>
      </w:r>
      <w:r w:rsidR="00A205DF">
        <w:rPr>
          <w:rFonts w:hint="cs"/>
          <w:rtl/>
        </w:rPr>
        <w:t xml:space="preserve">מדיניות הענישה הנהוגה בראי של הרשעה בעבירה של מעשה מגונה בכוח, </w:t>
      </w:r>
      <w:r w:rsidR="00E9623C">
        <w:rPr>
          <w:rFonts w:hint="cs"/>
          <w:rtl/>
        </w:rPr>
        <w:t xml:space="preserve">כעתירת </w:t>
      </w:r>
      <w:r w:rsidR="00A205DF">
        <w:rPr>
          <w:rFonts w:hint="cs"/>
          <w:rtl/>
        </w:rPr>
        <w:t xml:space="preserve">התביעה. עבירה שכזו לא יוחסה למערער ואף בית הדין המחוזי הגביל את הערתו בנושא לאמירה שלפיה </w:t>
      </w:r>
      <w:r>
        <w:rPr>
          <w:rFonts w:hint="cs"/>
          <w:rtl/>
        </w:rPr>
        <w:t xml:space="preserve">מכלול המעשים </w:t>
      </w:r>
      <w:r w:rsidR="00A205DF">
        <w:rPr>
          <w:rFonts w:hint="cs"/>
          <w:rtl/>
        </w:rPr>
        <w:t xml:space="preserve">מבטא </w:t>
      </w:r>
      <w:r>
        <w:rPr>
          <w:rFonts w:hint="cs"/>
          <w:rtl/>
        </w:rPr>
        <w:t xml:space="preserve">"כפיה כוחנית" על גופה של נפגעת העבירה, </w:t>
      </w:r>
      <w:r w:rsidR="00A205DF">
        <w:rPr>
          <w:rFonts w:hint="cs"/>
          <w:rtl/>
        </w:rPr>
        <w:t>ולא מעבר</w:t>
      </w:r>
      <w:r w:rsidR="00E9623C">
        <w:rPr>
          <w:rFonts w:hint="cs"/>
          <w:rtl/>
        </w:rPr>
        <w:t xml:space="preserve"> לכך</w:t>
      </w:r>
      <w:r w:rsidR="00A205DF">
        <w:rPr>
          <w:rFonts w:hint="cs"/>
          <w:rtl/>
        </w:rPr>
        <w:t xml:space="preserve">. </w:t>
      </w:r>
      <w:r w:rsidR="009E2A57">
        <w:rPr>
          <w:rFonts w:hint="cs"/>
          <w:rtl/>
        </w:rPr>
        <w:t xml:space="preserve">כמו </w:t>
      </w:r>
      <w:r>
        <w:rPr>
          <w:rFonts w:hint="cs"/>
          <w:rtl/>
        </w:rPr>
        <w:t xml:space="preserve">כן יש לשקול, כי </w:t>
      </w:r>
      <w:r w:rsidR="005D06A8">
        <w:rPr>
          <w:rFonts w:hint="cs"/>
          <w:rtl/>
        </w:rPr>
        <w:t xml:space="preserve">האירוע היה קצר </w:t>
      </w:r>
      <w:r w:rsidR="00E9623C">
        <w:rPr>
          <w:rFonts w:hint="cs"/>
          <w:rtl/>
        </w:rPr>
        <w:t xml:space="preserve">במשכו </w:t>
      </w:r>
      <w:r w:rsidR="005D06A8">
        <w:rPr>
          <w:rFonts w:hint="cs"/>
          <w:rtl/>
        </w:rPr>
        <w:t xml:space="preserve">וכלל </w:t>
      </w:r>
      <w:r>
        <w:rPr>
          <w:rFonts w:hint="cs"/>
          <w:rtl/>
        </w:rPr>
        <w:t>מגע מעל לבגדים</w:t>
      </w:r>
      <w:r w:rsidR="00E9623C">
        <w:rPr>
          <w:rFonts w:hint="cs"/>
          <w:rtl/>
        </w:rPr>
        <w:t>,</w:t>
      </w:r>
      <w:r>
        <w:rPr>
          <w:rFonts w:hint="cs"/>
          <w:rtl/>
        </w:rPr>
        <w:t xml:space="preserve"> </w:t>
      </w:r>
      <w:r w:rsidR="00E9623C">
        <w:rPr>
          <w:rFonts w:hint="cs"/>
          <w:rtl/>
        </w:rPr>
        <w:t xml:space="preserve">ללא </w:t>
      </w:r>
      <w:r>
        <w:rPr>
          <w:rFonts w:hint="cs"/>
          <w:rtl/>
        </w:rPr>
        <w:t>מגע באיברי</w:t>
      </w:r>
      <w:r w:rsidR="005D06A8">
        <w:rPr>
          <w:rFonts w:hint="cs"/>
          <w:rtl/>
        </w:rPr>
        <w:t>ה</w:t>
      </w:r>
      <w:r>
        <w:rPr>
          <w:rFonts w:hint="cs"/>
          <w:rtl/>
        </w:rPr>
        <w:t xml:space="preserve"> </w:t>
      </w:r>
      <w:r w:rsidR="005D06A8">
        <w:rPr>
          <w:rFonts w:hint="cs"/>
          <w:rtl/>
        </w:rPr>
        <w:t>ה</w:t>
      </w:r>
      <w:r>
        <w:rPr>
          <w:rFonts w:hint="cs"/>
          <w:rtl/>
        </w:rPr>
        <w:t xml:space="preserve">אינטימיים </w:t>
      </w:r>
      <w:r w:rsidR="005D06A8">
        <w:rPr>
          <w:rFonts w:hint="cs"/>
          <w:rtl/>
        </w:rPr>
        <w:t>של נפגעת העבירה</w:t>
      </w:r>
      <w:r w:rsidR="00A205DF">
        <w:rPr>
          <w:rFonts w:hint="cs"/>
          <w:rtl/>
        </w:rPr>
        <w:t>,</w:t>
      </w:r>
      <w:r w:rsidR="005D06A8">
        <w:rPr>
          <w:rFonts w:hint="cs"/>
          <w:rtl/>
        </w:rPr>
        <w:t xml:space="preserve"> </w:t>
      </w:r>
      <w:r>
        <w:rPr>
          <w:rFonts w:hint="cs"/>
          <w:rtl/>
        </w:rPr>
        <w:t>מ</w:t>
      </w:r>
      <w:r w:rsidR="005D06A8">
        <w:rPr>
          <w:rFonts w:hint="cs"/>
          <w:rtl/>
        </w:rPr>
        <w:t>לבד ה</w:t>
      </w:r>
      <w:r>
        <w:rPr>
          <w:rFonts w:hint="cs"/>
          <w:rtl/>
        </w:rPr>
        <w:t>צביטה בישבנה</w:t>
      </w:r>
      <w:r w:rsidR="005D06A8">
        <w:rPr>
          <w:rFonts w:hint="cs"/>
          <w:rtl/>
        </w:rPr>
        <w:t xml:space="preserve">. </w:t>
      </w:r>
    </w:p>
    <w:p w14:paraId="55EB8EB7" w14:textId="3D681FF1" w:rsidR="002A1D68" w:rsidRDefault="004B4B81" w:rsidP="005F50A9">
      <w:pPr>
        <w:pStyle w:val="ListParagraph"/>
        <w:numPr>
          <w:ilvl w:val="0"/>
          <w:numId w:val="1"/>
        </w:numPr>
        <w:spacing w:before="240" w:after="120" w:line="343" w:lineRule="auto"/>
      </w:pPr>
      <w:r>
        <w:rPr>
          <w:rFonts w:hint="cs"/>
          <w:rtl/>
        </w:rPr>
        <w:t xml:space="preserve"> </w:t>
      </w:r>
      <w:r w:rsidR="00B4714A">
        <w:rPr>
          <w:rFonts w:hint="cs"/>
          <w:rtl/>
        </w:rPr>
        <w:t>בהתחשב ב</w:t>
      </w:r>
      <w:r>
        <w:rPr>
          <w:rFonts w:hint="cs"/>
          <w:rtl/>
        </w:rPr>
        <w:t>כלל ה</w:t>
      </w:r>
      <w:r w:rsidR="00B4714A">
        <w:rPr>
          <w:rFonts w:hint="cs"/>
          <w:rtl/>
        </w:rPr>
        <w:t xml:space="preserve">אמור ובמגמת ההחמרה בענישה בעבירות מין, </w:t>
      </w:r>
      <w:r w:rsidR="00A205DF">
        <w:rPr>
          <w:rFonts w:hint="cs"/>
          <w:rtl/>
        </w:rPr>
        <w:t>ש</w:t>
      </w:r>
      <w:r w:rsidR="00B4714A">
        <w:rPr>
          <w:rFonts w:hint="cs"/>
          <w:rtl/>
        </w:rPr>
        <w:t>עליה עמד בית דין זה בהרחבה</w:t>
      </w:r>
      <w:r w:rsidR="00390A12">
        <w:rPr>
          <w:rFonts w:hint="cs"/>
          <w:rtl/>
        </w:rPr>
        <w:t>, כמבואר בפסיקה שפורטה ב</w:t>
      </w:r>
      <w:r w:rsidR="00A205DF">
        <w:rPr>
          <w:rFonts w:hint="cs"/>
          <w:rtl/>
        </w:rPr>
        <w:t xml:space="preserve">פסקה </w:t>
      </w:r>
      <w:r w:rsidR="00390A12">
        <w:rPr>
          <w:rFonts w:hint="cs"/>
          <w:rtl/>
        </w:rPr>
        <w:t xml:space="preserve">3 לעיל, מצאנו כי מתחם העונש שקבע בית הדין קמא </w:t>
      </w:r>
      <w:r w:rsidR="00A205DF">
        <w:rPr>
          <w:rFonts w:hint="cs"/>
          <w:rtl/>
        </w:rPr>
        <w:t xml:space="preserve">מאוזן והולם את </w:t>
      </w:r>
      <w:r w:rsidR="00390A12">
        <w:rPr>
          <w:rFonts w:hint="cs"/>
          <w:rtl/>
        </w:rPr>
        <w:t>נסיבות ה</w:t>
      </w:r>
      <w:r w:rsidR="00A205DF">
        <w:rPr>
          <w:rFonts w:hint="cs"/>
          <w:rtl/>
        </w:rPr>
        <w:t>מקרה</w:t>
      </w:r>
      <w:r w:rsidR="00390A12">
        <w:rPr>
          <w:rFonts w:hint="cs"/>
          <w:rtl/>
        </w:rPr>
        <w:t>, ו</w:t>
      </w:r>
      <w:r w:rsidR="00A205DF">
        <w:rPr>
          <w:rFonts w:hint="cs"/>
          <w:rtl/>
        </w:rPr>
        <w:t xml:space="preserve">לפיכך, </w:t>
      </w:r>
      <w:r w:rsidR="00390A12">
        <w:rPr>
          <w:rFonts w:hint="cs"/>
          <w:rtl/>
        </w:rPr>
        <w:t>אין מקום להתערב בו</w:t>
      </w:r>
      <w:r w:rsidR="00A205DF">
        <w:rPr>
          <w:rFonts w:hint="cs"/>
          <w:rtl/>
        </w:rPr>
        <w:t>,</w:t>
      </w:r>
      <w:r w:rsidR="00390A12">
        <w:rPr>
          <w:rFonts w:hint="cs"/>
          <w:rtl/>
        </w:rPr>
        <w:t xml:space="preserve"> לחומרה או לקולה. </w:t>
      </w:r>
    </w:p>
    <w:p w14:paraId="7FDC8BB6" w14:textId="4A9568D1" w:rsidR="00A616DD" w:rsidRDefault="004B4B81" w:rsidP="005F50A9">
      <w:pPr>
        <w:pStyle w:val="ListParagraph"/>
        <w:numPr>
          <w:ilvl w:val="0"/>
          <w:numId w:val="1"/>
        </w:numPr>
        <w:spacing w:before="240" w:after="120" w:line="343" w:lineRule="auto"/>
      </w:pPr>
      <w:r>
        <w:rPr>
          <w:rFonts w:hint="cs"/>
          <w:rtl/>
        </w:rPr>
        <w:t xml:space="preserve">בעת </w:t>
      </w:r>
      <w:r w:rsidR="00A205DF">
        <w:rPr>
          <w:rFonts w:hint="cs"/>
          <w:rtl/>
        </w:rPr>
        <w:t xml:space="preserve">בחינת הטענות על </w:t>
      </w:r>
      <w:r w:rsidR="005D06A8">
        <w:rPr>
          <w:rFonts w:hint="cs"/>
          <w:rtl/>
        </w:rPr>
        <w:t>מידת ה</w:t>
      </w:r>
      <w:r>
        <w:rPr>
          <w:rFonts w:hint="cs"/>
          <w:rtl/>
        </w:rPr>
        <w:t xml:space="preserve">עונש לא סברנו כי יש ממש בעתירת ההגנה לחרוג ממתחם העונש ההולם מטעמי שיקום. </w:t>
      </w:r>
      <w:r w:rsidR="00F6144D">
        <w:rPr>
          <w:rFonts w:hint="cs"/>
          <w:rtl/>
        </w:rPr>
        <w:t xml:space="preserve">כידוע "סיכוי של ממש" להשתקם (סעיף 40ד(א) לחוק העונשין) כפי שפורש בפסיקה </w:t>
      </w:r>
      <w:r w:rsidR="005D06A8">
        <w:rPr>
          <w:rFonts w:hint="cs"/>
          <w:rtl/>
        </w:rPr>
        <w:t>משמעות</w:t>
      </w:r>
      <w:r w:rsidR="009E2A57">
        <w:rPr>
          <w:rFonts w:hint="cs"/>
          <w:rtl/>
        </w:rPr>
        <w:t xml:space="preserve">ו </w:t>
      </w:r>
      <w:r w:rsidR="00F6144D">
        <w:rPr>
          <w:rFonts w:hint="cs"/>
          <w:rtl/>
        </w:rPr>
        <w:t>"</w:t>
      </w:r>
      <w:r w:rsidR="00F6144D">
        <w:rPr>
          <w:rtl/>
        </w:rPr>
        <w:t xml:space="preserve">שילוב בין שינוי מהותי בהתייחסות הרגשית לאירוע העבירה המתבטא בנטילת אחריות, כפרה והבעת אמפתיה לנפגעי העבירה לבין אינדיקציות </w:t>
      </w:r>
      <w:r w:rsidR="00F6144D">
        <w:rPr>
          <w:rtl/>
        </w:rPr>
        <w:lastRenderedPageBreak/>
        <w:t>אובייקטיביות לקיומו של תהליך שיקומי-טיפולי מוצלח וחזרה לדרך הישר</w:t>
      </w:r>
      <w:r w:rsidR="00F6144D">
        <w:rPr>
          <w:rFonts w:hint="cs"/>
          <w:rtl/>
        </w:rPr>
        <w:t>" (</w:t>
      </w:r>
      <w:r w:rsidR="00F6144D">
        <w:rPr>
          <w:rtl/>
        </w:rPr>
        <w:t xml:space="preserve">ע"פ 6637/17 </w:t>
      </w:r>
      <w:proofErr w:type="spellStart"/>
      <w:r w:rsidR="00F6144D" w:rsidRPr="00696741">
        <w:rPr>
          <w:b/>
          <w:bCs/>
          <w:rtl/>
        </w:rPr>
        <w:t>קרנדל</w:t>
      </w:r>
      <w:proofErr w:type="spellEnd"/>
      <w:r w:rsidR="00F6144D" w:rsidRPr="00696741">
        <w:rPr>
          <w:b/>
          <w:bCs/>
          <w:rtl/>
        </w:rPr>
        <w:t xml:space="preserve"> נ' מדינת ישראל</w:t>
      </w:r>
      <w:r w:rsidR="00F6144D">
        <w:rPr>
          <w:rFonts w:hint="cs"/>
          <w:rtl/>
        </w:rPr>
        <w:t>,</w:t>
      </w:r>
      <w:r w:rsidR="00F6144D">
        <w:rPr>
          <w:rtl/>
        </w:rPr>
        <w:t xml:space="preserve"> </w:t>
      </w:r>
      <w:r w:rsidR="00F6144D">
        <w:rPr>
          <w:rFonts w:hint="cs"/>
          <w:rtl/>
        </w:rPr>
        <w:t xml:space="preserve">פסקה 25 לפסק הדין של השופטת ברק-ארז (18.4.2018)). </w:t>
      </w:r>
      <w:r w:rsidR="00FA29A9">
        <w:rPr>
          <w:rFonts w:hint="cs"/>
          <w:rtl/>
        </w:rPr>
        <w:t xml:space="preserve">על </w:t>
      </w:r>
      <w:r w:rsidR="009E2A57">
        <w:rPr>
          <w:rFonts w:hint="cs"/>
          <w:rtl/>
        </w:rPr>
        <w:t xml:space="preserve">אף חלוף הזמן, </w:t>
      </w:r>
      <w:r w:rsidR="00FA29A9">
        <w:rPr>
          <w:rFonts w:hint="cs"/>
          <w:rtl/>
        </w:rPr>
        <w:t>נסיבותיו האישיות של המערער והרקע הנורמטיבי שלו</w:t>
      </w:r>
      <w:r w:rsidR="005D06A8">
        <w:rPr>
          <w:rFonts w:hint="cs"/>
          <w:rtl/>
        </w:rPr>
        <w:t>, הרי ש</w:t>
      </w:r>
      <w:r w:rsidR="00A616DD">
        <w:rPr>
          <w:rFonts w:hint="cs"/>
          <w:rtl/>
        </w:rPr>
        <w:t xml:space="preserve">הן </w:t>
      </w:r>
      <w:r w:rsidR="009F7FB0">
        <w:rPr>
          <w:rFonts w:hint="cs"/>
          <w:rtl/>
        </w:rPr>
        <w:t>מהערכת המסוכנות שנערכה אך לפני חודשים ספורים</w:t>
      </w:r>
      <w:r w:rsidR="00FA29A9">
        <w:rPr>
          <w:rFonts w:hint="cs"/>
          <w:rtl/>
        </w:rPr>
        <w:t>,</w:t>
      </w:r>
      <w:r w:rsidR="009F7FB0">
        <w:rPr>
          <w:rFonts w:hint="cs"/>
          <w:rtl/>
        </w:rPr>
        <w:t xml:space="preserve"> </w:t>
      </w:r>
      <w:r w:rsidR="00A616DD">
        <w:rPr>
          <w:rFonts w:hint="cs"/>
          <w:rtl/>
        </w:rPr>
        <w:t>והן מתסקיר</w:t>
      </w:r>
      <w:r w:rsidR="007E7EC3">
        <w:rPr>
          <w:rFonts w:hint="cs"/>
          <w:rtl/>
        </w:rPr>
        <w:t xml:space="preserve"> העונש</w:t>
      </w:r>
      <w:r w:rsidR="00A616DD">
        <w:rPr>
          <w:rFonts w:hint="cs"/>
          <w:rtl/>
        </w:rPr>
        <w:t xml:space="preserve">, </w:t>
      </w:r>
      <w:r w:rsidR="009F7FB0">
        <w:rPr>
          <w:rFonts w:hint="cs"/>
          <w:rtl/>
        </w:rPr>
        <w:t xml:space="preserve">עולה כי המערער </w:t>
      </w:r>
      <w:r w:rsidR="00FA29A9">
        <w:rPr>
          <w:rFonts w:hint="cs"/>
          <w:rtl/>
        </w:rPr>
        <w:t xml:space="preserve">עודנו אוחז </w:t>
      </w:r>
      <w:r w:rsidR="009F7FB0">
        <w:rPr>
          <w:rFonts w:hint="cs"/>
          <w:rtl/>
        </w:rPr>
        <w:t>בעיוותי חשיבה שאינו מודע להם, ללא כל תובנה ביחס למניע לביצוע העבירה וללא מוטיבציה להשתלב בטיפול ייעודי לעברייני מין</w:t>
      </w:r>
      <w:r w:rsidR="005D06A8">
        <w:rPr>
          <w:rFonts w:hint="cs"/>
          <w:rtl/>
        </w:rPr>
        <w:t>.</w:t>
      </w:r>
      <w:r w:rsidR="00696741">
        <w:rPr>
          <w:rFonts w:hint="cs"/>
          <w:rtl/>
        </w:rPr>
        <w:t xml:space="preserve"> </w:t>
      </w:r>
      <w:r w:rsidR="009E2A57">
        <w:rPr>
          <w:rFonts w:hint="cs"/>
          <w:rtl/>
        </w:rPr>
        <w:t xml:space="preserve">יש לקבוע אפוא, </w:t>
      </w:r>
      <w:r w:rsidR="00FA29A9">
        <w:rPr>
          <w:rFonts w:hint="cs"/>
          <w:rtl/>
        </w:rPr>
        <w:t xml:space="preserve">כי </w:t>
      </w:r>
      <w:r w:rsidR="00696741">
        <w:rPr>
          <w:rFonts w:hint="cs"/>
          <w:rtl/>
        </w:rPr>
        <w:t xml:space="preserve">בהעדר פרוגנוזה </w:t>
      </w:r>
      <w:r w:rsidR="009E2A57">
        <w:rPr>
          <w:rFonts w:hint="cs"/>
          <w:rtl/>
        </w:rPr>
        <w:t xml:space="preserve">מסודרת </w:t>
      </w:r>
      <w:r w:rsidR="00696741">
        <w:rPr>
          <w:rFonts w:hint="cs"/>
          <w:rtl/>
        </w:rPr>
        <w:t xml:space="preserve">לשיקום </w:t>
      </w:r>
      <w:r w:rsidR="009E2A57">
        <w:rPr>
          <w:rFonts w:hint="cs"/>
          <w:rtl/>
        </w:rPr>
        <w:t xml:space="preserve">אין לייחס </w:t>
      </w:r>
      <w:r w:rsidR="00696741">
        <w:rPr>
          <w:rFonts w:hint="cs"/>
          <w:rtl/>
        </w:rPr>
        <w:t>ל</w:t>
      </w:r>
      <w:r w:rsidR="00A616DD">
        <w:rPr>
          <w:rFonts w:hint="cs"/>
          <w:rtl/>
        </w:rPr>
        <w:t xml:space="preserve">כך שמסוכנותו נקבעה כנמוכה </w:t>
      </w:r>
      <w:r w:rsidR="00FA29A9">
        <w:rPr>
          <w:rFonts w:hint="cs"/>
          <w:rtl/>
        </w:rPr>
        <w:t xml:space="preserve">משקל </w:t>
      </w:r>
      <w:r w:rsidR="009E2A57">
        <w:rPr>
          <w:rFonts w:hint="cs"/>
          <w:rtl/>
        </w:rPr>
        <w:t xml:space="preserve">רב </w:t>
      </w:r>
      <w:r w:rsidR="00FA29A9">
        <w:rPr>
          <w:rFonts w:hint="cs"/>
          <w:rtl/>
        </w:rPr>
        <w:t xml:space="preserve">בבחינת הסוגייה </w:t>
      </w:r>
      <w:r w:rsidR="00696741">
        <w:rPr>
          <w:rFonts w:hint="cs"/>
          <w:rtl/>
        </w:rPr>
        <w:t xml:space="preserve">(ע"פ 6080/23 </w:t>
      </w:r>
      <w:r w:rsidR="00696741" w:rsidRPr="00696741">
        <w:rPr>
          <w:rFonts w:hint="cs"/>
          <w:b/>
          <w:bCs/>
          <w:rtl/>
        </w:rPr>
        <w:t xml:space="preserve">פלוני נ' מדינת ישראל, </w:t>
      </w:r>
      <w:r w:rsidR="00696741">
        <w:rPr>
          <w:rFonts w:hint="cs"/>
          <w:rtl/>
        </w:rPr>
        <w:t xml:space="preserve">פסקאות 62-63 (19.9.2024)). </w:t>
      </w:r>
    </w:p>
    <w:p w14:paraId="57ADDEE8" w14:textId="624ADAC0" w:rsidR="00696741" w:rsidRDefault="00696741" w:rsidP="005F50A9">
      <w:pPr>
        <w:pStyle w:val="ListParagraph"/>
        <w:numPr>
          <w:ilvl w:val="0"/>
          <w:numId w:val="1"/>
        </w:numPr>
        <w:spacing w:before="240" w:after="120" w:line="343" w:lineRule="auto"/>
      </w:pPr>
      <w:r>
        <w:rPr>
          <w:rFonts w:hint="cs"/>
          <w:rtl/>
        </w:rPr>
        <w:t xml:space="preserve">עוד יוטעם, כי המערער </w:t>
      </w:r>
      <w:r w:rsidR="00FA29A9">
        <w:rPr>
          <w:rFonts w:hint="cs"/>
          <w:rtl/>
        </w:rPr>
        <w:t>בחר ל</w:t>
      </w:r>
      <w:r w:rsidR="00F6126B">
        <w:rPr>
          <w:rFonts w:hint="cs"/>
          <w:rtl/>
        </w:rPr>
        <w:t xml:space="preserve">נהל את ההליך </w:t>
      </w:r>
      <w:r w:rsidR="00FA29A9">
        <w:rPr>
          <w:rFonts w:hint="cs"/>
          <w:rtl/>
        </w:rPr>
        <w:t xml:space="preserve">המשפטי </w:t>
      </w:r>
      <w:r w:rsidR="00F6126B">
        <w:rPr>
          <w:rFonts w:hint="cs"/>
          <w:rtl/>
        </w:rPr>
        <w:t>עד תומו, ולא חסך את עדותה של נפגעת העבירה</w:t>
      </w:r>
      <w:r w:rsidR="00E9623C">
        <w:rPr>
          <w:rFonts w:hint="cs"/>
          <w:rtl/>
        </w:rPr>
        <w:t xml:space="preserve"> (שלגביה אף התבטא, בפני מעריכת המסוכנות, </w:t>
      </w:r>
      <w:r w:rsidR="00F6126B">
        <w:rPr>
          <w:rFonts w:hint="cs"/>
          <w:rtl/>
        </w:rPr>
        <w:t xml:space="preserve">כי </w:t>
      </w:r>
      <w:r w:rsidR="00FA29A9">
        <w:rPr>
          <w:rFonts w:hint="cs"/>
          <w:rtl/>
        </w:rPr>
        <w:t xml:space="preserve">אינו </w:t>
      </w:r>
      <w:r w:rsidR="00F6126B">
        <w:rPr>
          <w:rFonts w:hint="cs"/>
          <w:rtl/>
        </w:rPr>
        <w:t>"סובל אותה"</w:t>
      </w:r>
      <w:r w:rsidR="00E9623C">
        <w:rPr>
          <w:rFonts w:hint="cs"/>
          <w:rtl/>
        </w:rPr>
        <w:t>).</w:t>
      </w:r>
      <w:r w:rsidR="00F6126B">
        <w:rPr>
          <w:rFonts w:hint="cs"/>
          <w:rtl/>
        </w:rPr>
        <w:t xml:space="preserve"> רק בשלב הערעור</w:t>
      </w:r>
      <w:r w:rsidR="00FA29A9">
        <w:rPr>
          <w:rFonts w:hint="cs"/>
          <w:rtl/>
        </w:rPr>
        <w:t xml:space="preserve">, לאחר שמיעת הערותינו ביחס לערעור </w:t>
      </w:r>
      <w:r w:rsidR="009E2A57">
        <w:rPr>
          <w:rFonts w:hint="cs"/>
          <w:rtl/>
        </w:rPr>
        <w:t xml:space="preserve">ההגנה </w:t>
      </w:r>
      <w:r w:rsidR="00FA29A9">
        <w:rPr>
          <w:rFonts w:hint="cs"/>
          <w:rtl/>
        </w:rPr>
        <w:t>על הכרעת הדין,</w:t>
      </w:r>
      <w:r w:rsidR="00F6126B">
        <w:rPr>
          <w:rFonts w:hint="cs"/>
          <w:rtl/>
        </w:rPr>
        <w:t xml:space="preserve"> </w:t>
      </w:r>
      <w:r w:rsidR="00FA29A9">
        <w:rPr>
          <w:rFonts w:hint="cs"/>
          <w:rtl/>
        </w:rPr>
        <w:t xml:space="preserve">חזר בו מן הערעור על הרשעתו ובכך, ביטא </w:t>
      </w:r>
      <w:r w:rsidR="00F6126B" w:rsidRPr="00674A12">
        <w:rPr>
          <w:rFonts w:hint="eastAsia"/>
          <w:b/>
          <w:bCs/>
          <w:rtl/>
        </w:rPr>
        <w:t>לראשונה</w:t>
      </w:r>
      <w:r w:rsidR="00FA29A9">
        <w:rPr>
          <w:rFonts w:hint="cs"/>
          <w:rtl/>
        </w:rPr>
        <w:t>,</w:t>
      </w:r>
      <w:r w:rsidR="00F6126B">
        <w:rPr>
          <w:rFonts w:hint="cs"/>
          <w:rtl/>
        </w:rPr>
        <w:t xml:space="preserve"> </w:t>
      </w:r>
      <w:r w:rsidR="00FA29A9">
        <w:rPr>
          <w:rFonts w:hint="cs"/>
          <w:rtl/>
        </w:rPr>
        <w:t xml:space="preserve">מידה מסוימת של </w:t>
      </w:r>
      <w:r w:rsidR="00F6126B">
        <w:rPr>
          <w:rFonts w:hint="cs"/>
          <w:rtl/>
        </w:rPr>
        <w:t>אחריות למעשיו</w:t>
      </w:r>
      <w:r w:rsidR="00FA29A9">
        <w:rPr>
          <w:rFonts w:hint="cs"/>
          <w:rtl/>
        </w:rPr>
        <w:t>. המערער אף הביע לפנינו, "</w:t>
      </w:r>
      <w:r w:rsidR="00F6126B">
        <w:rPr>
          <w:rFonts w:hint="cs"/>
          <w:rtl/>
        </w:rPr>
        <w:t>בחצי פה</w:t>
      </w:r>
      <w:r w:rsidR="00FA29A9">
        <w:rPr>
          <w:rFonts w:hint="cs"/>
          <w:rtl/>
        </w:rPr>
        <w:t>",</w:t>
      </w:r>
      <w:r w:rsidR="00F6126B">
        <w:rPr>
          <w:rFonts w:hint="cs"/>
          <w:rtl/>
        </w:rPr>
        <w:t xml:space="preserve"> </w:t>
      </w:r>
      <w:r w:rsidR="00FA29A9">
        <w:rPr>
          <w:rFonts w:hint="cs"/>
          <w:rtl/>
        </w:rPr>
        <w:t xml:space="preserve">התנצלות רפה ומסר כי </w:t>
      </w:r>
      <w:r w:rsidR="00F6126B">
        <w:rPr>
          <w:rFonts w:hint="cs"/>
          <w:rtl/>
        </w:rPr>
        <w:t>הוא מתנצל "</w:t>
      </w:r>
      <w:r w:rsidR="00F6126B" w:rsidRPr="005F50A9">
        <w:rPr>
          <w:rFonts w:hint="eastAsia"/>
          <w:b/>
          <w:bCs/>
          <w:rtl/>
        </w:rPr>
        <w:t>אם</w:t>
      </w:r>
      <w:r w:rsidR="00F6126B">
        <w:rPr>
          <w:rFonts w:hint="cs"/>
          <w:rtl/>
        </w:rPr>
        <w:t xml:space="preserve"> היא </w:t>
      </w:r>
      <w:r w:rsidR="00FA29A9">
        <w:rPr>
          <w:rFonts w:hint="cs"/>
          <w:rtl/>
        </w:rPr>
        <w:t xml:space="preserve">[נפגעת העבירה] </w:t>
      </w:r>
      <w:r w:rsidR="00F6126B">
        <w:rPr>
          <w:rFonts w:hint="cs"/>
          <w:rtl/>
        </w:rPr>
        <w:t xml:space="preserve">נפגעה מהסיטואציה". </w:t>
      </w:r>
      <w:r w:rsidR="005D06A8">
        <w:rPr>
          <w:rFonts w:hint="cs"/>
          <w:rtl/>
        </w:rPr>
        <w:t xml:space="preserve">בכך בוודאי </w:t>
      </w:r>
      <w:r w:rsidR="00FA29A9">
        <w:rPr>
          <w:rFonts w:hint="cs"/>
          <w:rtl/>
        </w:rPr>
        <w:t>ש</w:t>
      </w:r>
      <w:r w:rsidR="005D06A8">
        <w:rPr>
          <w:rFonts w:hint="cs"/>
          <w:rtl/>
        </w:rPr>
        <w:t>אין ללמד על שינוי מהותי ביחסו לעבירה</w:t>
      </w:r>
      <w:r w:rsidR="00FA29A9">
        <w:rPr>
          <w:rFonts w:hint="cs"/>
          <w:rtl/>
        </w:rPr>
        <w:t xml:space="preserve">, וכידוע, הלכה היא </w:t>
      </w:r>
      <w:r w:rsidR="00F6126B">
        <w:rPr>
          <w:rFonts w:hint="cs"/>
          <w:rtl/>
        </w:rPr>
        <w:t>כי חריגה ממתחם העונש ההולם מטעמי שיקום מוצדקת רק "במקרים נדירים שבהם קיימים סיכויי שיקום מובהקים המצדיקים בבחינת יוצא מן הכלל</w:t>
      </w:r>
      <w:r w:rsidR="00CD13D6">
        <w:rPr>
          <w:rFonts w:hint="cs"/>
          <w:rtl/>
        </w:rPr>
        <w:t xml:space="preserve"> לסטות ממתחם העונש ההולם" (ע"פ 1229/19 </w:t>
      </w:r>
      <w:r w:rsidR="00CD13D6" w:rsidRPr="00696741">
        <w:rPr>
          <w:rFonts w:hint="cs"/>
          <w:b/>
          <w:bCs/>
          <w:rtl/>
        </w:rPr>
        <w:t>סלומינסקי נ' מדינת ישראל</w:t>
      </w:r>
      <w:r w:rsidR="00CD13D6">
        <w:rPr>
          <w:rFonts w:hint="cs"/>
          <w:rtl/>
        </w:rPr>
        <w:t>, פסקה 13 (1.7.2019))</w:t>
      </w:r>
      <w:r w:rsidR="00FA29A9">
        <w:rPr>
          <w:rFonts w:hint="cs"/>
          <w:rtl/>
        </w:rPr>
        <w:t xml:space="preserve">. </w:t>
      </w:r>
      <w:r w:rsidR="00CD13D6">
        <w:rPr>
          <w:rFonts w:hint="cs"/>
          <w:rtl/>
        </w:rPr>
        <w:t xml:space="preserve">עניינו של המערער </w:t>
      </w:r>
      <w:r w:rsidR="005D06A8">
        <w:rPr>
          <w:rFonts w:hint="cs"/>
          <w:rtl/>
        </w:rPr>
        <w:t>אינו נמנה ע</w:t>
      </w:r>
      <w:r w:rsidR="00FA29A9">
        <w:rPr>
          <w:rFonts w:hint="cs"/>
          <w:rtl/>
        </w:rPr>
        <w:t xml:space="preserve">ם </w:t>
      </w:r>
      <w:r w:rsidR="005D06A8">
        <w:rPr>
          <w:rFonts w:hint="cs"/>
          <w:rtl/>
        </w:rPr>
        <w:t>מקרים אלה</w:t>
      </w:r>
      <w:r w:rsidR="00CD13D6">
        <w:rPr>
          <w:rFonts w:hint="cs"/>
          <w:rtl/>
        </w:rPr>
        <w:t xml:space="preserve">. </w:t>
      </w:r>
    </w:p>
    <w:p w14:paraId="57FE35C0" w14:textId="44388ED9" w:rsidR="000A40E5" w:rsidRDefault="00FA29A9" w:rsidP="005F50A9">
      <w:pPr>
        <w:pStyle w:val="ListParagraph"/>
        <w:numPr>
          <w:ilvl w:val="0"/>
          <w:numId w:val="1"/>
        </w:numPr>
        <w:spacing w:before="240" w:after="120" w:line="343" w:lineRule="auto"/>
      </w:pPr>
      <w:r>
        <w:rPr>
          <w:rFonts w:hint="cs"/>
          <w:rtl/>
        </w:rPr>
        <w:t xml:space="preserve">ברוח זו, </w:t>
      </w:r>
      <w:r w:rsidR="005D06A8">
        <w:rPr>
          <w:rFonts w:hint="cs"/>
          <w:rtl/>
        </w:rPr>
        <w:t>בשים לב להתרשמות</w:t>
      </w:r>
      <w:r w:rsidR="00FE4FF1">
        <w:rPr>
          <w:rFonts w:hint="cs"/>
          <w:rtl/>
        </w:rPr>
        <w:t>ן</w:t>
      </w:r>
      <w:r w:rsidR="005D06A8">
        <w:rPr>
          <w:rFonts w:hint="cs"/>
          <w:rtl/>
        </w:rPr>
        <w:t xml:space="preserve"> </w:t>
      </w:r>
      <w:r>
        <w:rPr>
          <w:rFonts w:hint="cs"/>
          <w:rtl/>
        </w:rPr>
        <w:t xml:space="preserve">של </w:t>
      </w:r>
      <w:r w:rsidR="005D06A8">
        <w:rPr>
          <w:rFonts w:hint="cs"/>
          <w:rtl/>
        </w:rPr>
        <w:t xml:space="preserve">מעריכת המסוכנות </w:t>
      </w:r>
      <w:r w:rsidR="00FE4FF1">
        <w:rPr>
          <w:rFonts w:hint="cs"/>
          <w:rtl/>
        </w:rPr>
        <w:t xml:space="preserve">ושל עורכת התסקיר </w:t>
      </w:r>
      <w:r w:rsidR="005D06A8">
        <w:rPr>
          <w:rFonts w:hint="cs"/>
          <w:rtl/>
        </w:rPr>
        <w:t>מקיומם של עיוותי חשיבה, ול</w:t>
      </w:r>
      <w:r w:rsidR="00E9623C">
        <w:rPr>
          <w:rFonts w:hint="cs"/>
          <w:rtl/>
        </w:rPr>
        <w:t xml:space="preserve">אור </w:t>
      </w:r>
      <w:r w:rsidR="005D06A8">
        <w:rPr>
          <w:rFonts w:hint="cs"/>
          <w:rtl/>
        </w:rPr>
        <w:t>שיקולי הרתעת היחיד והרבים ה</w:t>
      </w:r>
      <w:r>
        <w:rPr>
          <w:rFonts w:hint="cs"/>
          <w:rtl/>
        </w:rPr>
        <w:t xml:space="preserve">מתקיימים בעניינו של המערער - </w:t>
      </w:r>
      <w:r w:rsidR="005D06A8">
        <w:rPr>
          <w:rFonts w:hint="cs"/>
          <w:rtl/>
        </w:rPr>
        <w:t xml:space="preserve">לא מצאנו </w:t>
      </w:r>
      <w:r w:rsidR="000A40E5">
        <w:rPr>
          <w:rFonts w:hint="cs"/>
          <w:rtl/>
        </w:rPr>
        <w:t xml:space="preserve">לקבל את טענות ההגנה שלפיהן יש </w:t>
      </w:r>
      <w:r w:rsidR="005D06A8">
        <w:rPr>
          <w:rFonts w:hint="cs"/>
          <w:rtl/>
        </w:rPr>
        <w:t xml:space="preserve">להתערב </w:t>
      </w:r>
      <w:r w:rsidR="000A40E5">
        <w:rPr>
          <w:rFonts w:hint="cs"/>
          <w:rtl/>
        </w:rPr>
        <w:t xml:space="preserve">לקולה </w:t>
      </w:r>
      <w:r w:rsidR="00E9623C">
        <w:rPr>
          <w:rFonts w:hint="cs"/>
          <w:rtl/>
        </w:rPr>
        <w:t>במיקומו של העונש ב</w:t>
      </w:r>
      <w:r w:rsidR="005D06A8">
        <w:rPr>
          <w:rFonts w:hint="cs"/>
          <w:rtl/>
        </w:rPr>
        <w:t xml:space="preserve">מרכזו של מתחם העונש ההולם. </w:t>
      </w:r>
      <w:r w:rsidR="000A40E5">
        <w:rPr>
          <w:rFonts w:hint="cs"/>
          <w:rtl/>
        </w:rPr>
        <w:t xml:space="preserve">מטעמים דומים ומשיקולי הלימה, יש לדחות גם את עתירת ההגנה להורות על </w:t>
      </w:r>
      <w:r w:rsidR="00E9623C">
        <w:rPr>
          <w:rFonts w:hint="cs"/>
          <w:rtl/>
        </w:rPr>
        <w:t>נשיאתו של ה</w:t>
      </w:r>
      <w:r w:rsidR="000A40E5">
        <w:rPr>
          <w:rFonts w:hint="cs"/>
          <w:rtl/>
        </w:rPr>
        <w:t>מאסר בפועל בעבודה צבאית</w:t>
      </w:r>
      <w:r w:rsidR="00E9623C">
        <w:rPr>
          <w:rFonts w:hint="cs"/>
          <w:rtl/>
        </w:rPr>
        <w:t>.</w:t>
      </w:r>
      <w:r w:rsidR="00A616DD">
        <w:rPr>
          <w:rFonts w:hint="cs"/>
          <w:rtl/>
        </w:rPr>
        <w:t xml:space="preserve"> על אף המלצת</w:t>
      </w:r>
      <w:r w:rsidR="00E9623C">
        <w:rPr>
          <w:rFonts w:hint="cs"/>
          <w:rtl/>
        </w:rPr>
        <w:t>ה של עורכת</w:t>
      </w:r>
      <w:r w:rsidR="00A616DD">
        <w:rPr>
          <w:rFonts w:hint="cs"/>
          <w:rtl/>
        </w:rPr>
        <w:t xml:space="preserve"> התסקיר</w:t>
      </w:r>
      <w:r w:rsidR="00E9623C">
        <w:rPr>
          <w:rFonts w:hint="cs"/>
          <w:rtl/>
        </w:rPr>
        <w:t xml:space="preserve"> להקל עם המערער, הרי ש</w:t>
      </w:r>
      <w:r w:rsidR="00674A12">
        <w:rPr>
          <w:rFonts w:hint="cs"/>
          <w:rtl/>
        </w:rPr>
        <w:t>כידוע "בית המשפט מופקד על מלאכת גזירת העונש מנקודת מבט רחבה יותר, שלוקחת בחשבון שיקולי ענישה נוספים ובראשם עיקרון ההלימה" (ע/</w:t>
      </w:r>
      <w:r w:rsidR="002854F1">
        <w:rPr>
          <w:rFonts w:hint="cs"/>
          <w:rtl/>
        </w:rPr>
        <w:t xml:space="preserve">14,12/22 </w:t>
      </w:r>
      <w:r w:rsidR="00674A12">
        <w:rPr>
          <w:rFonts w:hint="cs"/>
          <w:b/>
          <w:bCs/>
          <w:rtl/>
        </w:rPr>
        <w:t xml:space="preserve">סמ"ר </w:t>
      </w:r>
      <w:proofErr w:type="spellStart"/>
      <w:r w:rsidR="00674A12">
        <w:rPr>
          <w:rFonts w:hint="cs"/>
          <w:b/>
          <w:bCs/>
          <w:rtl/>
        </w:rPr>
        <w:t>אמסלם</w:t>
      </w:r>
      <w:proofErr w:type="spellEnd"/>
      <w:r w:rsidR="00674A12">
        <w:rPr>
          <w:rFonts w:hint="cs"/>
          <w:b/>
          <w:bCs/>
          <w:rtl/>
        </w:rPr>
        <w:t xml:space="preserve"> הנ"ל, </w:t>
      </w:r>
      <w:r w:rsidR="00674A12">
        <w:rPr>
          <w:rFonts w:hint="cs"/>
          <w:rtl/>
        </w:rPr>
        <w:t xml:space="preserve">בפסקה 40); ובנסיבות העניין סברנו כי </w:t>
      </w:r>
      <w:r w:rsidR="008252AF" w:rsidRPr="008252AF">
        <w:rPr>
          <w:rFonts w:hint="cs"/>
          <w:rtl/>
        </w:rPr>
        <w:t xml:space="preserve">הוראה כאמור "תביא להחטאת מלוא היבטי החומרה שבמעשים, ותשדר מסר סלחני כלפיהם, שלא בהלימה לחומרתם" (ע/11/15 </w:t>
      </w:r>
      <w:r w:rsidR="008252AF" w:rsidRPr="008252AF">
        <w:rPr>
          <w:rFonts w:hint="cs"/>
          <w:b/>
          <w:bCs/>
          <w:rtl/>
        </w:rPr>
        <w:t xml:space="preserve">רב"ט </w:t>
      </w:r>
      <w:proofErr w:type="spellStart"/>
      <w:r w:rsidR="008252AF" w:rsidRPr="008252AF">
        <w:rPr>
          <w:rFonts w:hint="cs"/>
          <w:b/>
          <w:bCs/>
          <w:rtl/>
        </w:rPr>
        <w:t>עטייה</w:t>
      </w:r>
      <w:proofErr w:type="spellEnd"/>
      <w:r w:rsidR="008252AF" w:rsidRPr="008252AF">
        <w:rPr>
          <w:rFonts w:hint="cs"/>
          <w:b/>
          <w:bCs/>
          <w:rtl/>
        </w:rPr>
        <w:t xml:space="preserve"> נ' התובע הצבאי הראשי</w:t>
      </w:r>
      <w:r w:rsidR="008252AF" w:rsidRPr="008252AF">
        <w:rPr>
          <w:rFonts w:hint="cs"/>
          <w:rtl/>
        </w:rPr>
        <w:t xml:space="preserve">, פסקה 14 (2015); ע/15/23 </w:t>
      </w:r>
      <w:r w:rsidR="008252AF" w:rsidRPr="008252AF">
        <w:rPr>
          <w:rFonts w:hint="cs"/>
          <w:b/>
          <w:bCs/>
          <w:rtl/>
        </w:rPr>
        <w:t xml:space="preserve">טור' </w:t>
      </w:r>
      <w:proofErr w:type="spellStart"/>
      <w:r w:rsidR="008252AF" w:rsidRPr="008252AF">
        <w:rPr>
          <w:rFonts w:hint="cs"/>
          <w:b/>
          <w:bCs/>
          <w:rtl/>
        </w:rPr>
        <w:t>קבסה</w:t>
      </w:r>
      <w:proofErr w:type="spellEnd"/>
      <w:r w:rsidR="008252AF" w:rsidRPr="008252AF">
        <w:rPr>
          <w:rFonts w:hint="cs"/>
          <w:b/>
          <w:bCs/>
          <w:rtl/>
        </w:rPr>
        <w:t xml:space="preserve"> </w:t>
      </w:r>
      <w:r w:rsidR="008252AF" w:rsidRPr="008252AF">
        <w:rPr>
          <w:rFonts w:hint="cs"/>
          <w:rtl/>
        </w:rPr>
        <w:t xml:space="preserve">הנ"ל, פסקה 25; ע/53/24 </w:t>
      </w:r>
      <w:r w:rsidR="008252AF" w:rsidRPr="008252AF">
        <w:rPr>
          <w:rFonts w:hint="cs"/>
          <w:b/>
          <w:bCs/>
          <w:rtl/>
        </w:rPr>
        <w:t>רס"ל (מיל')</w:t>
      </w:r>
      <w:r w:rsidR="008252AF" w:rsidRPr="008252AF">
        <w:rPr>
          <w:rFonts w:hint="cs"/>
          <w:b/>
          <w:bCs/>
        </w:rPr>
        <w:t xml:space="preserve"> </w:t>
      </w:r>
      <w:r w:rsidR="008252AF" w:rsidRPr="008252AF">
        <w:rPr>
          <w:rFonts w:hint="cs"/>
          <w:b/>
          <w:bCs/>
          <w:rtl/>
        </w:rPr>
        <w:t xml:space="preserve">פרץ </w:t>
      </w:r>
      <w:r w:rsidR="008252AF" w:rsidRPr="008252AF">
        <w:rPr>
          <w:rFonts w:hint="cs"/>
          <w:rtl/>
        </w:rPr>
        <w:t>הנ"ל, פסקה 36).</w:t>
      </w:r>
    </w:p>
    <w:p w14:paraId="3BBD6112" w14:textId="47DC8185" w:rsidR="005D06A8" w:rsidRDefault="000A40E5" w:rsidP="005F50A9">
      <w:pPr>
        <w:pStyle w:val="ListParagraph"/>
        <w:numPr>
          <w:ilvl w:val="0"/>
          <w:numId w:val="1"/>
        </w:numPr>
        <w:spacing w:before="240" w:after="120" w:line="343" w:lineRule="auto"/>
        <w:rPr>
          <w:rtl/>
        </w:rPr>
      </w:pPr>
      <w:r>
        <w:rPr>
          <w:rFonts w:hint="cs"/>
          <w:rtl/>
        </w:rPr>
        <w:t xml:space="preserve">בצד זאת, יש לדחות גם את ערעור התביעה על קולת העונש. אכן, חזרה מערעור על הרשעה מבטאת מידה מסוימת של </w:t>
      </w:r>
      <w:r w:rsidR="00CD13D6">
        <w:rPr>
          <w:rFonts w:hint="cs"/>
          <w:rtl/>
        </w:rPr>
        <w:t xml:space="preserve">קבלת אחריות </w:t>
      </w:r>
      <w:r>
        <w:rPr>
          <w:rFonts w:hint="cs"/>
          <w:rtl/>
        </w:rPr>
        <w:t xml:space="preserve">למעשים, </w:t>
      </w:r>
      <w:r w:rsidR="005D06A8">
        <w:rPr>
          <w:rFonts w:hint="cs"/>
          <w:rtl/>
        </w:rPr>
        <w:t>ש</w:t>
      </w:r>
      <w:r>
        <w:rPr>
          <w:rFonts w:hint="cs"/>
          <w:rtl/>
        </w:rPr>
        <w:t xml:space="preserve">לה, על </w:t>
      </w:r>
      <w:r w:rsidR="005D06A8">
        <w:rPr>
          <w:rFonts w:hint="cs"/>
          <w:rtl/>
        </w:rPr>
        <w:t xml:space="preserve">אף </w:t>
      </w:r>
      <w:r>
        <w:rPr>
          <w:rFonts w:hint="cs"/>
          <w:rtl/>
        </w:rPr>
        <w:t xml:space="preserve">השלב המאוחר - משקל </w:t>
      </w:r>
      <w:r w:rsidR="00CD13D6">
        <w:rPr>
          <w:rFonts w:hint="cs"/>
          <w:rtl/>
        </w:rPr>
        <w:t xml:space="preserve">מסוים </w:t>
      </w:r>
      <w:r>
        <w:rPr>
          <w:rFonts w:hint="cs"/>
          <w:rtl/>
        </w:rPr>
        <w:t xml:space="preserve">בבחינת מידת העונש </w:t>
      </w:r>
      <w:r w:rsidR="00CD13D6">
        <w:rPr>
          <w:rFonts w:hint="cs"/>
          <w:rtl/>
        </w:rPr>
        <w:t xml:space="preserve">(ראו ע/58/24 </w:t>
      </w:r>
      <w:r w:rsidR="00CD13D6" w:rsidRPr="009D23AA">
        <w:rPr>
          <w:rFonts w:hint="cs"/>
          <w:b/>
          <w:bCs/>
          <w:rtl/>
        </w:rPr>
        <w:t xml:space="preserve">טור' תורג'מן </w:t>
      </w:r>
      <w:r w:rsidR="00CD13D6">
        <w:rPr>
          <w:rFonts w:hint="cs"/>
          <w:rtl/>
        </w:rPr>
        <w:t>לעיל, פסקה 24 והאסמכתאות שם)</w:t>
      </w:r>
      <w:r w:rsidR="005D06A8">
        <w:rPr>
          <w:rFonts w:hint="cs"/>
          <w:rtl/>
        </w:rPr>
        <w:t xml:space="preserve">. </w:t>
      </w:r>
      <w:r>
        <w:rPr>
          <w:rFonts w:hint="cs"/>
          <w:rtl/>
        </w:rPr>
        <w:t xml:space="preserve">לעניין זה, מצטבר חלוף הזמן מאז מועד </w:t>
      </w:r>
      <w:r w:rsidR="009D23AA">
        <w:rPr>
          <w:rFonts w:hint="cs"/>
          <w:rtl/>
        </w:rPr>
        <w:t>ביצוע העבירה</w:t>
      </w:r>
      <w:r>
        <w:rPr>
          <w:rFonts w:hint="cs"/>
          <w:rtl/>
        </w:rPr>
        <w:t>, כ</w:t>
      </w:r>
      <w:r w:rsidR="009D23AA">
        <w:rPr>
          <w:rFonts w:hint="cs"/>
          <w:rtl/>
        </w:rPr>
        <w:t xml:space="preserve">שלוש שנים </w:t>
      </w:r>
      <w:r w:rsidR="009D23AA">
        <w:rPr>
          <w:rFonts w:hint="cs"/>
          <w:rtl/>
        </w:rPr>
        <w:lastRenderedPageBreak/>
        <w:t>ומחצה</w:t>
      </w:r>
      <w:r>
        <w:rPr>
          <w:rFonts w:hint="cs"/>
          <w:rtl/>
        </w:rPr>
        <w:t>,</w:t>
      </w:r>
      <w:r w:rsidR="009D23AA">
        <w:rPr>
          <w:rFonts w:hint="cs"/>
          <w:rtl/>
        </w:rPr>
        <w:t xml:space="preserve"> </w:t>
      </w:r>
      <w:r>
        <w:rPr>
          <w:rFonts w:hint="cs"/>
          <w:rtl/>
        </w:rPr>
        <w:t xml:space="preserve">אשר מרביתו </w:t>
      </w:r>
      <w:r w:rsidR="009D23AA">
        <w:rPr>
          <w:rFonts w:hint="cs"/>
          <w:rtl/>
        </w:rPr>
        <w:t xml:space="preserve">אינו רובץ לפתחו </w:t>
      </w:r>
      <w:r>
        <w:rPr>
          <w:rFonts w:hint="cs"/>
          <w:rtl/>
        </w:rPr>
        <w:t xml:space="preserve">של המערער </w:t>
      </w:r>
      <w:r w:rsidR="009D23AA">
        <w:rPr>
          <w:rFonts w:hint="cs"/>
          <w:rtl/>
        </w:rPr>
        <w:t xml:space="preserve">(ראו ע/58/24 </w:t>
      </w:r>
      <w:r w:rsidR="009D23AA" w:rsidRPr="009D23AA">
        <w:rPr>
          <w:rFonts w:hint="cs"/>
          <w:b/>
          <w:bCs/>
          <w:rtl/>
        </w:rPr>
        <w:t xml:space="preserve">טור' תורג'מן </w:t>
      </w:r>
      <w:r w:rsidR="009D23AA">
        <w:rPr>
          <w:rFonts w:hint="cs"/>
          <w:rtl/>
        </w:rPr>
        <w:t>לעיל, פסקה 23), וכן</w:t>
      </w:r>
      <w:r w:rsidR="00681DBD">
        <w:rPr>
          <w:rFonts w:hint="cs"/>
          <w:rtl/>
        </w:rPr>
        <w:t xml:space="preserve"> </w:t>
      </w:r>
      <w:r>
        <w:rPr>
          <w:rFonts w:hint="cs"/>
          <w:rtl/>
        </w:rPr>
        <w:t xml:space="preserve">העובדה כי </w:t>
      </w:r>
      <w:r w:rsidR="009D23AA">
        <w:rPr>
          <w:rFonts w:hint="cs"/>
          <w:rtl/>
        </w:rPr>
        <w:t>המערער השלים שירות צבאי תורם, ו</w:t>
      </w:r>
      <w:r>
        <w:rPr>
          <w:rFonts w:hint="cs"/>
          <w:rtl/>
        </w:rPr>
        <w:t xml:space="preserve">אף </w:t>
      </w:r>
      <w:r w:rsidR="009D23AA">
        <w:rPr>
          <w:rFonts w:hint="cs"/>
          <w:rtl/>
        </w:rPr>
        <w:t xml:space="preserve">לאחר </w:t>
      </w:r>
      <w:r>
        <w:rPr>
          <w:rFonts w:hint="cs"/>
          <w:rtl/>
        </w:rPr>
        <w:t xml:space="preserve">מכן השתלב </w:t>
      </w:r>
      <w:r w:rsidR="009D23AA">
        <w:rPr>
          <w:rFonts w:hint="cs"/>
          <w:rtl/>
        </w:rPr>
        <w:t>בשוק התעסוקה</w:t>
      </w:r>
      <w:r>
        <w:rPr>
          <w:rFonts w:hint="cs"/>
          <w:rtl/>
        </w:rPr>
        <w:t xml:space="preserve"> ו</w:t>
      </w:r>
      <w:r w:rsidR="00165FB4">
        <w:rPr>
          <w:rFonts w:hint="cs"/>
          <w:rtl/>
        </w:rPr>
        <w:t xml:space="preserve">הוא </w:t>
      </w:r>
      <w:r>
        <w:rPr>
          <w:rFonts w:hint="cs"/>
          <w:rtl/>
        </w:rPr>
        <w:t>מסייע לפרנסת משפחתו</w:t>
      </w:r>
      <w:r w:rsidR="009D23AA">
        <w:rPr>
          <w:rFonts w:hint="cs"/>
          <w:rtl/>
        </w:rPr>
        <w:t xml:space="preserve">. שיקולים אלה, לצד נסיבותיו המשפחתיות, מובילים למסקנה כי </w:t>
      </w:r>
      <w:r w:rsidR="00696741">
        <w:rPr>
          <w:rFonts w:hint="cs"/>
          <w:rtl/>
        </w:rPr>
        <w:t xml:space="preserve">אין להתערב ולהחמיר בעונשו של המערער. </w:t>
      </w:r>
    </w:p>
    <w:p w14:paraId="2E77CF7A" w14:textId="6EE98532" w:rsidR="0040219F" w:rsidRDefault="0040219F" w:rsidP="005F50A9">
      <w:pPr>
        <w:pStyle w:val="Heading1"/>
        <w:spacing w:line="343" w:lineRule="auto"/>
        <w:rPr>
          <w:rtl/>
        </w:rPr>
      </w:pPr>
      <w:r>
        <w:rPr>
          <w:rFonts w:hint="cs"/>
          <w:rtl/>
        </w:rPr>
        <w:t>סוף דבר</w:t>
      </w:r>
    </w:p>
    <w:p w14:paraId="31F2A363" w14:textId="77777777" w:rsidR="008252AF" w:rsidRDefault="009F5AEB" w:rsidP="005F50A9">
      <w:pPr>
        <w:pStyle w:val="ListParagraph"/>
        <w:numPr>
          <w:ilvl w:val="0"/>
          <w:numId w:val="1"/>
        </w:numPr>
        <w:spacing w:after="120" w:line="343" w:lineRule="auto"/>
      </w:pPr>
      <w:r>
        <w:rPr>
          <w:rFonts w:hint="cs"/>
          <w:rtl/>
        </w:rPr>
        <w:t>הערעורים נדחים אפוא.</w:t>
      </w:r>
      <w:r w:rsidR="00DA07FC">
        <w:rPr>
          <w:rFonts w:hint="cs"/>
          <w:rtl/>
        </w:rPr>
        <w:t xml:space="preserve"> </w:t>
      </w:r>
    </w:p>
    <w:p w14:paraId="3EBAC115" w14:textId="0D95FD90" w:rsidR="00696741" w:rsidRDefault="00DA07FC" w:rsidP="005F50A9">
      <w:pPr>
        <w:pStyle w:val="ListParagraph"/>
        <w:numPr>
          <w:ilvl w:val="0"/>
          <w:numId w:val="1"/>
        </w:numPr>
        <w:spacing w:after="120" w:line="343" w:lineRule="auto"/>
      </w:pPr>
      <w:r>
        <w:rPr>
          <w:rFonts w:hint="cs"/>
          <w:rtl/>
        </w:rPr>
        <w:t>בהתאם להחלטתנו מ</w:t>
      </w:r>
      <w:r w:rsidR="008252AF">
        <w:rPr>
          <w:rFonts w:hint="cs"/>
          <w:rtl/>
        </w:rPr>
        <w:t xml:space="preserve">יום </w:t>
      </w:r>
      <w:r>
        <w:rPr>
          <w:rFonts w:hint="cs"/>
          <w:rtl/>
        </w:rPr>
        <w:t xml:space="preserve">16 בדצמבר 2024, </w:t>
      </w:r>
      <w:r w:rsidR="008252AF">
        <w:rPr>
          <w:rFonts w:hint="cs"/>
          <w:rtl/>
        </w:rPr>
        <w:t xml:space="preserve">על </w:t>
      </w:r>
      <w:r>
        <w:rPr>
          <w:rFonts w:hint="cs"/>
          <w:rtl/>
        </w:rPr>
        <w:t xml:space="preserve">המערער </w:t>
      </w:r>
      <w:r w:rsidR="008252AF">
        <w:rPr>
          <w:rFonts w:hint="cs"/>
          <w:rtl/>
        </w:rPr>
        <w:t>לה</w:t>
      </w:r>
      <w:r>
        <w:rPr>
          <w:rFonts w:hint="cs"/>
          <w:rtl/>
        </w:rPr>
        <w:t xml:space="preserve">תייצב </w:t>
      </w:r>
      <w:proofErr w:type="spellStart"/>
      <w:r>
        <w:rPr>
          <w:rFonts w:hint="cs"/>
          <w:rtl/>
        </w:rPr>
        <w:t>בבס"כ</w:t>
      </w:r>
      <w:proofErr w:type="spellEnd"/>
      <w:r>
        <w:rPr>
          <w:rFonts w:hint="cs"/>
          <w:rtl/>
        </w:rPr>
        <w:t xml:space="preserve"> 416</w:t>
      </w:r>
      <w:r w:rsidR="008252AF">
        <w:rPr>
          <w:rFonts w:hint="cs"/>
          <w:rtl/>
        </w:rPr>
        <w:t>,</w:t>
      </w:r>
      <w:r>
        <w:rPr>
          <w:rFonts w:hint="cs"/>
          <w:rtl/>
        </w:rPr>
        <w:t xml:space="preserve"> ביום 2 בפברואר 2025, עד השעה 9:00</w:t>
      </w:r>
      <w:r w:rsidR="008252AF">
        <w:rPr>
          <w:rFonts w:hint="cs"/>
          <w:rtl/>
        </w:rPr>
        <w:t>, לביצוע עונש המאסר בפועל</w:t>
      </w:r>
      <w:r>
        <w:rPr>
          <w:rFonts w:hint="cs"/>
          <w:rtl/>
        </w:rPr>
        <w:t xml:space="preserve">. </w:t>
      </w:r>
    </w:p>
    <w:p w14:paraId="4E2D3D00" w14:textId="77777777" w:rsidR="005F50A9" w:rsidRPr="00696741" w:rsidRDefault="005F50A9" w:rsidP="005F50A9">
      <w:pPr>
        <w:spacing w:after="120" w:line="343" w:lineRule="auto"/>
      </w:pPr>
    </w:p>
    <w:p w14:paraId="510F43D1" w14:textId="2B06B022" w:rsidR="00DA07FC" w:rsidRDefault="00DA07FC" w:rsidP="005F50A9">
      <w:pPr>
        <w:pStyle w:val="ListParagraph"/>
        <w:spacing w:after="120" w:line="343" w:lineRule="auto"/>
        <w:rPr>
          <w:rtl/>
        </w:rPr>
      </w:pPr>
      <w:r w:rsidRPr="00696741">
        <w:rPr>
          <w:rFonts w:ascii="David" w:hAnsi="David"/>
          <w:rtl/>
        </w:rPr>
        <w:t xml:space="preserve">ניתן והודע היום, </w:t>
      </w:r>
      <w:r w:rsidR="00E02701">
        <w:rPr>
          <w:rFonts w:ascii="David" w:hAnsi="David" w:hint="cs"/>
          <w:rtl/>
        </w:rPr>
        <w:t>ל'</w:t>
      </w:r>
      <w:r w:rsidR="00E16D0E" w:rsidRPr="00696741">
        <w:rPr>
          <w:rFonts w:ascii="David" w:hAnsi="David" w:hint="cs"/>
          <w:rtl/>
        </w:rPr>
        <w:t xml:space="preserve"> </w:t>
      </w:r>
      <w:r w:rsidRPr="00696741">
        <w:rPr>
          <w:rFonts w:ascii="David" w:hAnsi="David" w:hint="cs"/>
          <w:rtl/>
        </w:rPr>
        <w:t xml:space="preserve">בכסלו </w:t>
      </w:r>
      <w:proofErr w:type="spellStart"/>
      <w:r w:rsidRPr="00696741">
        <w:rPr>
          <w:rFonts w:ascii="David" w:hAnsi="David"/>
          <w:rtl/>
        </w:rPr>
        <w:t>התשפ"</w:t>
      </w:r>
      <w:r w:rsidRPr="00696741">
        <w:rPr>
          <w:rFonts w:ascii="David" w:hAnsi="David" w:hint="cs"/>
          <w:rtl/>
        </w:rPr>
        <w:t>ה</w:t>
      </w:r>
      <w:proofErr w:type="spellEnd"/>
      <w:r w:rsidRPr="00696741">
        <w:rPr>
          <w:rFonts w:ascii="David" w:hAnsi="David"/>
          <w:rtl/>
        </w:rPr>
        <w:t xml:space="preserve">, </w:t>
      </w:r>
      <w:r w:rsidR="00E02701">
        <w:rPr>
          <w:rFonts w:ascii="David" w:hAnsi="David" w:hint="cs"/>
          <w:rtl/>
        </w:rPr>
        <w:t>31</w:t>
      </w:r>
      <w:r w:rsidR="00E16D0E">
        <w:rPr>
          <w:rFonts w:ascii="David" w:hAnsi="David" w:hint="cs"/>
          <w:rtl/>
        </w:rPr>
        <w:t xml:space="preserve"> </w:t>
      </w:r>
      <w:r w:rsidRPr="00696741">
        <w:rPr>
          <w:rFonts w:ascii="David" w:hAnsi="David" w:hint="cs"/>
          <w:rtl/>
        </w:rPr>
        <w:t xml:space="preserve">בדצמבר </w:t>
      </w:r>
      <w:r w:rsidRPr="00696741">
        <w:rPr>
          <w:rFonts w:ascii="David" w:hAnsi="David"/>
          <w:rtl/>
        </w:rPr>
        <w:t>202</w:t>
      </w:r>
      <w:r w:rsidRPr="00696741">
        <w:rPr>
          <w:rFonts w:ascii="David" w:hAnsi="David" w:hint="cs"/>
          <w:rtl/>
        </w:rPr>
        <w:t>4</w:t>
      </w:r>
      <w:r w:rsidRPr="00696741">
        <w:rPr>
          <w:rFonts w:ascii="David" w:hAnsi="David"/>
          <w:rtl/>
        </w:rPr>
        <w:t>, בפומבי ובמעמד הצדדים.</w:t>
      </w:r>
    </w:p>
    <w:p w14:paraId="1C3B7260" w14:textId="77777777" w:rsidR="005F50A9" w:rsidRDefault="005F50A9" w:rsidP="005F50A9">
      <w:pPr>
        <w:spacing w:line="343" w:lineRule="auto"/>
        <w:outlineLvl w:val="0"/>
        <w:rPr>
          <w:rFonts w:ascii="David" w:hAnsi="David"/>
          <w:sz w:val="28"/>
          <w:rtl/>
        </w:rPr>
      </w:pPr>
    </w:p>
    <w:p w14:paraId="3EAC8150" w14:textId="5B571DE6" w:rsidR="00696741" w:rsidRPr="006F6E53" w:rsidRDefault="00696741" w:rsidP="005F50A9">
      <w:pPr>
        <w:spacing w:line="343" w:lineRule="auto"/>
        <w:outlineLvl w:val="0"/>
        <w:rPr>
          <w:rFonts w:ascii="David" w:hAnsi="David"/>
          <w:sz w:val="28"/>
          <w:rtl/>
        </w:rPr>
      </w:pPr>
      <w:r w:rsidRPr="006F6E53">
        <w:rPr>
          <w:rFonts w:ascii="David" w:hAnsi="David" w:hint="cs"/>
          <w:sz w:val="28"/>
          <w:rtl/>
        </w:rPr>
        <w:t xml:space="preserve"> ______________</w:t>
      </w:r>
      <w:r w:rsidRPr="006F6E53">
        <w:rPr>
          <w:rFonts w:ascii="David" w:hAnsi="David" w:hint="cs"/>
          <w:sz w:val="28"/>
          <w:rtl/>
        </w:rPr>
        <w:tab/>
      </w:r>
      <w:r>
        <w:rPr>
          <w:rFonts w:ascii="David" w:hAnsi="David" w:hint="cs"/>
          <w:sz w:val="28"/>
          <w:rtl/>
        </w:rPr>
        <w:t xml:space="preserve">     </w:t>
      </w:r>
      <w:r w:rsidRPr="006F6E53">
        <w:rPr>
          <w:rFonts w:ascii="David" w:hAnsi="David" w:hint="cs"/>
          <w:sz w:val="28"/>
          <w:rtl/>
        </w:rPr>
        <w:t xml:space="preserve"> </w:t>
      </w:r>
      <w:r>
        <w:rPr>
          <w:rFonts w:ascii="David" w:hAnsi="David" w:hint="cs"/>
          <w:sz w:val="28"/>
          <w:rtl/>
        </w:rPr>
        <w:t xml:space="preserve">   </w:t>
      </w:r>
      <w:r w:rsidRPr="006F6E53">
        <w:rPr>
          <w:rFonts w:ascii="David" w:hAnsi="David" w:hint="cs"/>
          <w:sz w:val="28"/>
          <w:rtl/>
        </w:rPr>
        <w:t xml:space="preserve">  </w:t>
      </w:r>
      <w:r w:rsidR="00C45EA5">
        <w:rPr>
          <w:rFonts w:ascii="David" w:hAnsi="David" w:hint="cs"/>
          <w:sz w:val="28"/>
          <w:rtl/>
        </w:rPr>
        <w:t xml:space="preserve">      </w:t>
      </w:r>
      <w:r>
        <w:rPr>
          <w:rFonts w:ascii="David" w:hAnsi="David" w:hint="cs"/>
          <w:sz w:val="28"/>
          <w:rtl/>
        </w:rPr>
        <w:t xml:space="preserve">   </w:t>
      </w:r>
      <w:r w:rsidR="00C45EA5">
        <w:rPr>
          <w:rFonts w:ascii="David" w:hAnsi="David" w:hint="cs"/>
          <w:sz w:val="28"/>
          <w:rtl/>
        </w:rPr>
        <w:t xml:space="preserve">   </w:t>
      </w:r>
      <w:r w:rsidRPr="006F6E53">
        <w:rPr>
          <w:rFonts w:ascii="David" w:hAnsi="David" w:hint="cs"/>
          <w:sz w:val="28"/>
          <w:rtl/>
        </w:rPr>
        <w:t>______________</w:t>
      </w:r>
      <w:r w:rsidRPr="006F6E53">
        <w:rPr>
          <w:rFonts w:ascii="David" w:hAnsi="David" w:hint="cs"/>
          <w:sz w:val="28"/>
          <w:rtl/>
        </w:rPr>
        <w:tab/>
      </w:r>
      <w:r>
        <w:rPr>
          <w:rFonts w:ascii="David" w:hAnsi="David" w:hint="cs"/>
          <w:sz w:val="28"/>
          <w:rtl/>
        </w:rPr>
        <w:t xml:space="preserve">      </w:t>
      </w:r>
      <w:r w:rsidR="00C45EA5">
        <w:rPr>
          <w:rFonts w:ascii="David" w:hAnsi="David" w:hint="cs"/>
          <w:sz w:val="28"/>
          <w:rtl/>
        </w:rPr>
        <w:t xml:space="preserve">     </w:t>
      </w:r>
      <w:r>
        <w:rPr>
          <w:rFonts w:ascii="David" w:hAnsi="David" w:hint="cs"/>
          <w:sz w:val="28"/>
          <w:rtl/>
        </w:rPr>
        <w:t xml:space="preserve">      </w:t>
      </w:r>
      <w:r w:rsidR="00C45EA5">
        <w:rPr>
          <w:rFonts w:ascii="David" w:hAnsi="David" w:hint="cs"/>
          <w:sz w:val="28"/>
          <w:rtl/>
        </w:rPr>
        <w:t xml:space="preserve">         </w:t>
      </w:r>
      <w:r>
        <w:rPr>
          <w:rFonts w:ascii="David" w:hAnsi="David" w:hint="cs"/>
          <w:sz w:val="28"/>
          <w:rtl/>
        </w:rPr>
        <w:t xml:space="preserve">     </w:t>
      </w:r>
      <w:r w:rsidRPr="006F6E53">
        <w:rPr>
          <w:rFonts w:ascii="David" w:hAnsi="David" w:hint="cs"/>
          <w:sz w:val="28"/>
          <w:rtl/>
        </w:rPr>
        <w:t xml:space="preserve"> </w:t>
      </w:r>
      <w:r>
        <w:rPr>
          <w:rFonts w:ascii="David" w:hAnsi="David" w:hint="cs"/>
          <w:sz w:val="28"/>
          <w:rtl/>
        </w:rPr>
        <w:t>________</w:t>
      </w:r>
      <w:r w:rsidRPr="006F6E53">
        <w:rPr>
          <w:rFonts w:ascii="David" w:hAnsi="David" w:hint="cs"/>
          <w:sz w:val="28"/>
          <w:rtl/>
        </w:rPr>
        <w:t>__</w:t>
      </w:r>
    </w:p>
    <w:p w14:paraId="455DE87B" w14:textId="72CCC9FA" w:rsidR="00696741" w:rsidRDefault="00696741" w:rsidP="005F50A9">
      <w:pPr>
        <w:spacing w:line="343" w:lineRule="auto"/>
        <w:outlineLvl w:val="0"/>
        <w:rPr>
          <w:rtl/>
        </w:rPr>
      </w:pPr>
      <w:r>
        <w:rPr>
          <w:rFonts w:ascii="David" w:hAnsi="David" w:hint="cs"/>
          <w:sz w:val="28"/>
          <w:rtl/>
        </w:rPr>
        <w:t xml:space="preserve">       </w:t>
      </w:r>
      <w:r w:rsidRPr="006F6E53">
        <w:rPr>
          <w:rFonts w:ascii="David" w:hAnsi="David" w:hint="cs"/>
          <w:sz w:val="28"/>
          <w:rtl/>
        </w:rPr>
        <w:t xml:space="preserve">  נשיאה  </w:t>
      </w:r>
      <w:r w:rsidRPr="006F6E53">
        <w:rPr>
          <w:rFonts w:ascii="David" w:hAnsi="David" w:hint="cs"/>
          <w:sz w:val="28"/>
          <w:rtl/>
        </w:rPr>
        <w:tab/>
        <w:t xml:space="preserve">                     </w:t>
      </w:r>
      <w:r>
        <w:rPr>
          <w:rFonts w:ascii="David" w:hAnsi="David" w:hint="cs"/>
          <w:sz w:val="28"/>
          <w:rtl/>
        </w:rPr>
        <w:t xml:space="preserve">       </w:t>
      </w:r>
      <w:r w:rsidR="00C45EA5">
        <w:rPr>
          <w:rFonts w:ascii="David" w:hAnsi="David" w:hint="cs"/>
          <w:sz w:val="28"/>
          <w:rtl/>
        </w:rPr>
        <w:t xml:space="preserve">           </w:t>
      </w:r>
      <w:r w:rsidRPr="006F6E53">
        <w:rPr>
          <w:rFonts w:ascii="David" w:hAnsi="David" w:hint="cs"/>
          <w:sz w:val="28"/>
          <w:rtl/>
        </w:rPr>
        <w:t xml:space="preserve">   שופטת  </w:t>
      </w:r>
      <w:r w:rsidRPr="006F6E53">
        <w:rPr>
          <w:rFonts w:ascii="David" w:hAnsi="David" w:hint="cs"/>
          <w:sz w:val="28"/>
          <w:rtl/>
        </w:rPr>
        <w:tab/>
        <w:t xml:space="preserve">                </w:t>
      </w:r>
      <w:r>
        <w:rPr>
          <w:rFonts w:ascii="David" w:hAnsi="David" w:hint="cs"/>
          <w:sz w:val="28"/>
          <w:rtl/>
        </w:rPr>
        <w:t xml:space="preserve">                      </w:t>
      </w:r>
      <w:r w:rsidRPr="006F6E53">
        <w:rPr>
          <w:rFonts w:ascii="David" w:hAnsi="David" w:hint="cs"/>
          <w:sz w:val="28"/>
          <w:rtl/>
        </w:rPr>
        <w:t xml:space="preserve">  </w:t>
      </w:r>
      <w:r w:rsidR="00C45EA5">
        <w:rPr>
          <w:rFonts w:ascii="David" w:hAnsi="David" w:hint="cs"/>
          <w:sz w:val="28"/>
          <w:rtl/>
        </w:rPr>
        <w:t xml:space="preserve"> </w:t>
      </w:r>
      <w:r w:rsidRPr="006F6E53">
        <w:rPr>
          <w:rFonts w:ascii="David" w:hAnsi="David" w:hint="cs"/>
          <w:sz w:val="28"/>
          <w:rtl/>
        </w:rPr>
        <w:t>שופט</w:t>
      </w:r>
    </w:p>
    <w:p w14:paraId="356D63BF" w14:textId="40986DD4" w:rsidR="00C45EA5" w:rsidRDefault="00C45EA5" w:rsidP="005F50A9">
      <w:pPr>
        <w:spacing w:line="343" w:lineRule="auto"/>
        <w:outlineLvl w:val="0"/>
        <w:rPr>
          <w:rtl/>
        </w:rPr>
      </w:pPr>
    </w:p>
    <w:p w14:paraId="7F18B63E" w14:textId="7189330B" w:rsidR="00C45EA5" w:rsidRPr="00405BC8" w:rsidRDefault="00C45EA5" w:rsidP="00C45EA5">
      <w:pPr>
        <w:ind w:left="-58" w:right="-567"/>
        <w:rPr>
          <w:rFonts w:ascii="David" w:hAnsi="David"/>
          <w:b/>
          <w:bCs/>
          <w:sz w:val="28"/>
          <w:rtl/>
        </w:rPr>
      </w:pPr>
      <w:bookmarkStart w:id="2" w:name="_Hlk122599666"/>
      <w:bookmarkStart w:id="3" w:name="_Hlk141797760"/>
      <w:r w:rsidRPr="00405BC8">
        <w:rPr>
          <w:rFonts w:ascii="David" w:hAnsi="David"/>
          <w:b/>
          <w:bCs/>
          <w:sz w:val="28"/>
          <w:rtl/>
        </w:rPr>
        <w:t xml:space="preserve">חתימת המגיה: _______________________________      העתק          נאמן         למקור             </w:t>
      </w:r>
    </w:p>
    <w:p w14:paraId="7214583D" w14:textId="77777777" w:rsidR="00C45EA5" w:rsidRPr="00405BC8" w:rsidRDefault="00C45EA5" w:rsidP="00C45EA5">
      <w:pPr>
        <w:ind w:left="-58" w:right="-567"/>
        <w:rPr>
          <w:rFonts w:ascii="David" w:hAnsi="David"/>
          <w:b/>
          <w:bCs/>
          <w:sz w:val="28"/>
          <w:rtl/>
        </w:rPr>
      </w:pPr>
      <w:r w:rsidRPr="00405BC8">
        <w:rPr>
          <w:rFonts w:ascii="David" w:hAnsi="David"/>
          <w:b/>
          <w:bCs/>
          <w:sz w:val="28"/>
          <w:rtl/>
        </w:rPr>
        <w:t xml:space="preserve">                                                                                                       סרן (מיל')   קורל            מכני  </w:t>
      </w:r>
    </w:p>
    <w:p w14:paraId="118A15C6" w14:textId="77777777" w:rsidR="00C45EA5" w:rsidRPr="00405BC8" w:rsidRDefault="00C45EA5" w:rsidP="00C45EA5">
      <w:pPr>
        <w:ind w:left="-58" w:right="-567"/>
        <w:rPr>
          <w:rFonts w:ascii="David" w:hAnsi="David"/>
          <w:b/>
          <w:bCs/>
          <w:sz w:val="28"/>
          <w:rtl/>
        </w:rPr>
      </w:pPr>
      <w:r w:rsidRPr="00405BC8">
        <w:rPr>
          <w:rFonts w:ascii="David" w:hAnsi="David"/>
          <w:b/>
          <w:bCs/>
          <w:sz w:val="28"/>
          <w:rtl/>
        </w:rPr>
        <w:t>תאריך: ____________________________________        קצי</w:t>
      </w:r>
      <w:r>
        <w:rPr>
          <w:rFonts w:ascii="David" w:hAnsi="David" w:hint="cs"/>
          <w:b/>
          <w:bCs/>
          <w:sz w:val="28"/>
          <w:rtl/>
        </w:rPr>
        <w:t>נת</w:t>
      </w:r>
      <w:r w:rsidRPr="00405BC8">
        <w:rPr>
          <w:rFonts w:ascii="David" w:hAnsi="David"/>
          <w:b/>
          <w:bCs/>
          <w:sz w:val="28"/>
          <w:rtl/>
        </w:rPr>
        <w:t xml:space="preserve">           בית            הדין</w:t>
      </w:r>
      <w:bookmarkEnd w:id="2"/>
    </w:p>
    <w:bookmarkEnd w:id="3"/>
    <w:p w14:paraId="32BA36E2" w14:textId="7971F8E9" w:rsidR="00C45EA5" w:rsidRDefault="00C45EA5" w:rsidP="005F50A9">
      <w:pPr>
        <w:spacing w:line="343" w:lineRule="auto"/>
        <w:outlineLvl w:val="0"/>
      </w:pPr>
    </w:p>
    <w:sectPr w:rsidR="00C45EA5" w:rsidSect="003C685D">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E4FB" w14:textId="77777777" w:rsidR="00F04934" w:rsidRDefault="00F04934" w:rsidP="00804D3E">
      <w:pPr>
        <w:spacing w:line="240" w:lineRule="auto"/>
      </w:pPr>
      <w:r>
        <w:separator/>
      </w:r>
    </w:p>
  </w:endnote>
  <w:endnote w:type="continuationSeparator" w:id="0">
    <w:p w14:paraId="2159DFEC" w14:textId="77777777" w:rsidR="00F04934" w:rsidRDefault="00F04934" w:rsidP="00804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6EE5" w14:textId="76C56090" w:rsidR="00811229" w:rsidRDefault="00811229" w:rsidP="00811229">
    <w:pPr>
      <w:pStyle w:val="Footer"/>
      <w:jc w:val="center"/>
    </w:pPr>
    <w:r>
      <w:rPr>
        <w:rtl/>
      </w:rPr>
      <w:fldChar w:fldCharType="begin"/>
    </w:r>
    <w:r>
      <w:rPr>
        <w:rtl/>
      </w:rPr>
      <w:instrText xml:space="preserve"> </w:instrText>
    </w:r>
    <w:r>
      <w:instrText>PAGE   \* MERGEFORMAT</w:instrText>
    </w:r>
    <w:r>
      <w:rPr>
        <w:rtl/>
      </w:rPr>
      <w:instrText xml:space="preserve"> </w:instrText>
    </w:r>
    <w:r>
      <w:rPr>
        <w:rtl/>
      </w:rPr>
      <w:fldChar w:fldCharType="separate"/>
    </w:r>
    <w:r>
      <w:rPr>
        <w:noProof/>
        <w:rtl/>
      </w:rPr>
      <w:t>3</w:t>
    </w:r>
    <w:r>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F4818" w14:textId="77777777" w:rsidR="00F04934" w:rsidRDefault="00F04934" w:rsidP="00804D3E">
      <w:pPr>
        <w:spacing w:line="240" w:lineRule="auto"/>
      </w:pPr>
      <w:r>
        <w:separator/>
      </w:r>
    </w:p>
  </w:footnote>
  <w:footnote w:type="continuationSeparator" w:id="0">
    <w:p w14:paraId="6E661787" w14:textId="77777777" w:rsidR="00F04934" w:rsidRDefault="00F04934" w:rsidP="00804D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D46B" w14:textId="21AA2EA7" w:rsidR="00B923E2" w:rsidRDefault="00B923E2">
    <w:pPr>
      <w:pStyle w:val="Header"/>
    </w:pPr>
    <w:r>
      <w:rPr>
        <w:noProof/>
      </w:rPr>
      <mc:AlternateContent>
        <mc:Choice Requires="wps">
          <w:drawing>
            <wp:anchor distT="0" distB="0" distL="0" distR="0" simplePos="0" relativeHeight="251659264" behindDoc="0" locked="0" layoutInCell="1" allowOverlap="1" wp14:anchorId="18CC934A" wp14:editId="75603CA0">
              <wp:simplePos x="635" y="635"/>
              <wp:positionH relativeFrom="page">
                <wp:align>center</wp:align>
              </wp:positionH>
              <wp:positionV relativeFrom="page">
                <wp:align>top</wp:align>
              </wp:positionV>
              <wp:extent cx="450215" cy="422910"/>
              <wp:effectExtent l="0" t="0" r="6985" b="15240"/>
              <wp:wrapNone/>
              <wp:docPr id="1413624063"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3F164392" w14:textId="542B0FB4" w:rsidR="00B923E2" w:rsidRPr="00B923E2" w:rsidRDefault="00B923E2" w:rsidP="00B923E2">
                          <w:pPr>
                            <w:rPr>
                              <w:rFonts w:ascii="Calibri" w:eastAsia="Calibri" w:hAnsi="Calibri" w:cs="Calibri"/>
                              <w:noProof/>
                              <w:color w:val="000000"/>
                              <w:sz w:val="20"/>
                              <w:szCs w:val="20"/>
                            </w:rPr>
                          </w:pPr>
                          <w:r w:rsidRPr="00B923E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C934A"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5.45pt;height:33.3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OoSAIAAF4EAAAOAAAAZHJzL2Uyb0RvYy54bWysVM2O0zAQviPxDpYP3Nr8bFuxoemq7KoI&#10;qdpdqUV7dh2niZR4jO02KW/BHSHxVH0dxk7ShYUT4uKMZ8bz830zmd+0dUWOQpsSZEqjcUiJkByy&#10;Uu5T+mm7Gr2lxFgmM1aBFCk9CUNvFq9fzRuViBgKqDKhCQaRJmlUSgtrVRIEhheiZmYMSkg05qBr&#10;ZvGq90GmWYPR6yqIw3AWNKAzpYELY1B71xnpwsfPc8HtQ54bYUmVUqzN+lP7c+fOYDFnyV4zVZS8&#10;L4P9QxU1KyUmvYS6Y5aRgy7/CFWXXIOB3I451AHkecmF7wG7icIX3WwKpoTvBcEx6gKT+X9h+f3x&#10;UZMyQ+4m0dUsnoSzK0okq5GrrWgteQ8tiSnJhOEI24icv56/nb+/+XwA++78g4wcgo0yCQbaKAxl&#10;W3yB0Qa9QaUDps117b7YMkE7cnG64O/ycFROpmEcTSnhaJrE8XXk+QmeHytt7AcBNXFCSjXS61Fn&#10;x7WxWAi6Di4ul4RVWVWe4kr+pkBHpwlc5V2FTrLtru3b2UF2wm40dBNjFF+VmHPNjH1kGkcEG8Cx&#10;tw945BU0KYVeoqQA/eVveuePzKGVkgZHLqUSd4KS6qNERt10eiG6Dqch3vSg3g2CPNS3gIMc4U4p&#10;7kXnZ6tBzDXUT7gQS5cITUxyTJdSO4i3tpt9XCgulkvvhIOomF3LjeIutMPJgbhtn5hWPdIWKbqH&#10;YR5Z8gLwzte9NGp5sAi7Z8Nh2gHZQ41D7EnqF85tya937/X8W1j8BAAA//8DAFBLAwQUAAYACAAA&#10;ACEA6jQQF9oAAAADAQAADwAAAGRycy9kb3ducmV2LnhtbEyPQU/CQBCF7yb+h82YeJNtSahYuyWE&#10;hAM3RPA8dMe22p1pugtUfr2rF71M8vJe3vumWIyuU2cafCtsIJ0koIgrsS3XBvav64c5KB+QLXbC&#10;ZOCLPCzK25sCcysXfqHzLtQqlrDP0UATQp9r7auGHPqJ9MTRe5fBYYhyqLUd8BLLXaenSZJphy3H&#10;hQZ7WjVUfe5OzkA7W0pI6bBZf7y5VNLrdjO7bo25vxuXz6ACjeEvDD/4ER3KyHSUE1uvOgPxkfB7&#10;o/eYPIE6GsiyDHRZ6P/s5TcAAAD//wMAUEsBAi0AFAAGAAgAAAAhALaDOJL+AAAA4QEAABMAAAAA&#10;AAAAAAAAAAAAAAAAAFtDb250ZW50X1R5cGVzXS54bWxQSwECLQAUAAYACAAAACEAOP0h/9YAAACU&#10;AQAACwAAAAAAAAAAAAAAAAAvAQAAX3JlbHMvLnJlbHNQSwECLQAUAAYACAAAACEAg5GzqEgCAABe&#10;BAAADgAAAAAAAAAAAAAAAAAuAgAAZHJzL2Uyb0RvYy54bWxQSwECLQAUAAYACAAAACEA6jQQF9oA&#10;AAADAQAADwAAAAAAAAAAAAAAAACiBAAAZHJzL2Rvd25yZXYueG1sUEsFBgAAAAAEAAQA8wAAAKkF&#10;AAAAAA==&#10;" filled="f" stroked="f">
              <v:textbox style="mso-fit-shape-to-text:t" inset="0,15pt,0,0">
                <w:txbxContent>
                  <w:p w14:paraId="3F164392" w14:textId="542B0FB4" w:rsidR="00B923E2" w:rsidRPr="00B923E2" w:rsidRDefault="00B923E2" w:rsidP="00B923E2">
                    <w:pPr>
                      <w:rPr>
                        <w:rFonts w:ascii="Calibri" w:eastAsia="Calibri" w:hAnsi="Calibri" w:cs="Calibri"/>
                        <w:noProof/>
                        <w:color w:val="000000"/>
                        <w:sz w:val="20"/>
                        <w:szCs w:val="20"/>
                      </w:rPr>
                    </w:pPr>
                    <w:r w:rsidRPr="00B923E2">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0A93" w14:textId="5E72821B" w:rsidR="00804D3E" w:rsidRDefault="00B923E2" w:rsidP="003C685D">
    <w:pPr>
      <w:pStyle w:val="Header"/>
      <w:rPr>
        <w:rtl/>
      </w:rPr>
    </w:pPr>
    <w:r>
      <w:rPr>
        <w:rFonts w:hint="cs"/>
        <w:noProof/>
        <w:rtl/>
        <w:lang w:val="he-IL"/>
      </w:rPr>
      <mc:AlternateContent>
        <mc:Choice Requires="wps">
          <w:drawing>
            <wp:anchor distT="0" distB="0" distL="0" distR="0" simplePos="0" relativeHeight="251660288" behindDoc="0" locked="0" layoutInCell="1" allowOverlap="1" wp14:anchorId="46F80A6B" wp14:editId="469CDD26">
              <wp:simplePos x="635" y="635"/>
              <wp:positionH relativeFrom="page">
                <wp:align>center</wp:align>
              </wp:positionH>
              <wp:positionV relativeFrom="page">
                <wp:align>top</wp:align>
              </wp:positionV>
              <wp:extent cx="450215" cy="422910"/>
              <wp:effectExtent l="0" t="0" r="6985" b="15240"/>
              <wp:wrapNone/>
              <wp:docPr id="714548024"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0ED8A959" w14:textId="4473CE29" w:rsidR="00B923E2" w:rsidRPr="00B923E2" w:rsidRDefault="00B923E2" w:rsidP="00B923E2">
                          <w:pPr>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80A6B" id="_x0000_t202" coordsize="21600,21600" o:spt="202" path="m,l,21600r21600,l21600,xe">
              <v:stroke joinstyle="miter"/>
              <v:path gradientshapeok="t" o:connecttype="rect"/>
            </v:shapetype>
            <v:shape id="Text Box 3" o:spid="_x0000_s1027" type="#_x0000_t202" alt="- בלמ&quot;ס -" style="position:absolute;left:0;text-align:left;margin-left:0;margin-top:0;width:35.45pt;height:33.3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AoSgIAAGQEAAAOAAAAZHJzL2Uyb0RvYy54bWysVM2O0zAQviPxDpYP3Nr80MJuaLoquypC&#10;Wu2u1KI9u47TRIo9xnablLfgjpB4qr4OY6fpwsIJcXHGM+P5+eabzK462ZC9MLYGldNkHFMiFIei&#10;VtucflovRxeUWMdUwRpQIqcHYenV/OWLWaszkUIFTSEMwSDKZq3OaeWczqLI8kpIZseghUJjCUYy&#10;h1ezjQrDWowumyiN4zdRC6bQBriwFrU3vZHOQ/yyFNzdl6UVjjQ5xdpcOE04N/6M5jOWbQ3TVc1P&#10;ZbB/qEKyWmHSc6gb5hjZmfqPULLmBiyUbsxBRlCWNRehB+wmiZ91s6qYFqEXBMfqM0z2/4Xld/sH&#10;Q+oip2+TyXRyEacTShSTOKq16Bx5Dx15TUkhLEfURuT49fjt+P3V5x24d8cfZOQBbLXNMM5KYyTX&#10;4QskwqC3qPS4dKWR/osdE7TjKA5n+H0ejsrJNE6TKSUcTZM0vUzCeKKnx9pY90GAJF7IqcHpBtDZ&#10;/tY6LARdBxefS8Gybpow4Ub9pkBHr4l85X2FXnLdpgtQnKvfQHHApgz0vLGaL2tMfcuse2AGiYJ9&#10;IPndPR5lA21O4SRRUoH58je998f5oZWSFomXU4WbQUnzUeFcPUeDkFzG0xhvZlBvBkHt5DUgnRPc&#10;LM2D6P1cM4ilAfmIa7HwidDEFMd0OXWDeO36DcC14mKxCE5IR83crVpp7kN7uDyW6+6RGX0C3OGk&#10;7mBgJcue4d77+pdWL3YO0Q9D8dD2QJ4QRyqHWZ3Wzu/Kr/fg9fRzmP8EAAD//wMAUEsDBBQABgAI&#10;AAAAIQDqNBAX2gAAAAMBAAAPAAAAZHJzL2Rvd25yZXYueG1sTI9BT8JAEIXvJv6HzZh4k21JqFi7&#10;JYSEAzdE8Dx0x7banWm6C1R+vasXvUzy8l7e+6ZYjK5TZxp8K2wgnSSgiCuxLdcG9q/rhzkoH5At&#10;dsJk4Is8LMrbmwJzKxd+ofMu1CqWsM/RQBNCn2vtq4Yc+on0xNF7l8FhiHKotR3wEstdp6dJkmmH&#10;LceFBntaNVR97k7OQDtbSkjpsFl/vLlU0ut2M7tujbm/G5fPoAKN4S8MP/gRHcrIdJQTW686A/GR&#10;8Huj95g8gToayLIMdFno/+zlNwAAAP//AwBQSwECLQAUAAYACAAAACEAtoM4kv4AAADhAQAAEwAA&#10;AAAAAAAAAAAAAAAAAAAAW0NvbnRlbnRfVHlwZXNdLnhtbFBLAQItABQABgAIAAAAIQA4/SH/1gAA&#10;AJQBAAALAAAAAAAAAAAAAAAAAC8BAABfcmVscy8ucmVsc1BLAQItABQABgAIAAAAIQD6laAoSgIA&#10;AGQEAAAOAAAAAAAAAAAAAAAAAC4CAABkcnMvZTJvRG9jLnhtbFBLAQItABQABgAIAAAAIQDqNBAX&#10;2gAAAAMBAAAPAAAAAAAAAAAAAAAAAKQEAABkcnMvZG93bnJldi54bWxQSwUGAAAAAAQABADzAAAA&#10;qwUAAAAA&#10;" filled="f" stroked="f">
              <v:textbox style="mso-fit-shape-to-text:t" inset="0,15pt,0,0">
                <w:txbxContent>
                  <w:p w14:paraId="0ED8A959" w14:textId="4473CE29" w:rsidR="00B923E2" w:rsidRPr="00B923E2" w:rsidRDefault="00B923E2" w:rsidP="00B923E2">
                    <w:pPr>
                      <w:rPr>
                        <w:rFonts w:ascii="Calibri" w:eastAsia="Calibri" w:hAnsi="Calibri" w:cs="Calibri"/>
                        <w:noProof/>
                        <w:color w:val="000000"/>
                        <w:sz w:val="20"/>
                        <w:szCs w:val="20"/>
                      </w:rPr>
                    </w:pPr>
                  </w:p>
                </w:txbxContent>
              </v:textbox>
              <w10:wrap anchorx="page" anchory="page"/>
            </v:shape>
          </w:pict>
        </mc:Fallback>
      </mc:AlternateContent>
    </w:r>
    <w:r w:rsidR="003C685D">
      <w:rPr>
        <w:rFonts w:hint="cs"/>
        <w:rtl/>
      </w:rPr>
      <w:t xml:space="preserve">                                                                 </w:t>
    </w:r>
    <w:r w:rsidR="005C1625">
      <w:rPr>
        <w:rFonts w:hint="cs"/>
        <w:rtl/>
      </w:rPr>
      <w:t>ב ל מ "</w:t>
    </w:r>
    <w:r w:rsidR="005C1625">
      <w:rPr>
        <w:rFonts w:hint="cs"/>
      </w:rPr>
      <w:t xml:space="preserve"> </w:t>
    </w:r>
    <w:r w:rsidR="005C1625">
      <w:rPr>
        <w:rFonts w:hint="cs"/>
        <w:rtl/>
      </w:rPr>
      <w:t>ס</w:t>
    </w:r>
    <w:r w:rsidR="003C685D">
      <w:rPr>
        <w:rFonts w:hint="cs"/>
        <w:rtl/>
      </w:rPr>
      <w:t xml:space="preserve">                                                               </w:t>
    </w:r>
    <w:r w:rsidR="00804D3E">
      <w:rPr>
        <w:rFonts w:hint="cs"/>
        <w:rtl/>
      </w:rPr>
      <w:t>ע/6</w:t>
    </w:r>
    <w:r w:rsidR="005E3A5C">
      <w:rPr>
        <w:rFonts w:hint="cs"/>
        <w:rtl/>
      </w:rPr>
      <w:t>7,69</w:t>
    </w:r>
    <w:r w:rsidR="00804D3E">
      <w:rPr>
        <w:rFonts w:hint="cs"/>
        <w:rtl/>
      </w:rPr>
      <w:t>/24</w:t>
    </w:r>
  </w:p>
  <w:p w14:paraId="69D48FB6" w14:textId="29A3ACC8" w:rsidR="005E3A5C" w:rsidRDefault="005E3A5C" w:rsidP="00804D3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723B" w14:textId="5CFA39A6" w:rsidR="00B923E2" w:rsidRDefault="00B923E2">
    <w:pPr>
      <w:pStyle w:val="Header"/>
    </w:pPr>
    <w:r>
      <w:rPr>
        <w:noProof/>
      </w:rPr>
      <mc:AlternateContent>
        <mc:Choice Requires="wps">
          <w:drawing>
            <wp:anchor distT="0" distB="0" distL="0" distR="0" simplePos="0" relativeHeight="251658240" behindDoc="0" locked="0" layoutInCell="1" allowOverlap="1" wp14:anchorId="06827897" wp14:editId="13E0CECA">
              <wp:simplePos x="635" y="635"/>
              <wp:positionH relativeFrom="page">
                <wp:align>center</wp:align>
              </wp:positionH>
              <wp:positionV relativeFrom="page">
                <wp:align>top</wp:align>
              </wp:positionV>
              <wp:extent cx="450215" cy="422910"/>
              <wp:effectExtent l="0" t="0" r="6985" b="15240"/>
              <wp:wrapNone/>
              <wp:docPr id="2037923585"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422910"/>
                      </a:xfrm>
                      <a:prstGeom prst="rect">
                        <a:avLst/>
                      </a:prstGeom>
                      <a:noFill/>
                      <a:ln>
                        <a:noFill/>
                      </a:ln>
                    </wps:spPr>
                    <wps:txbx>
                      <w:txbxContent>
                        <w:p w14:paraId="549CC8DF" w14:textId="1DD2EF67" w:rsidR="00B923E2" w:rsidRPr="00B923E2" w:rsidRDefault="00B923E2" w:rsidP="00B923E2">
                          <w:pPr>
                            <w:rPr>
                              <w:rFonts w:ascii="Calibri" w:eastAsia="Calibri" w:hAnsi="Calibri" w:cs="Calibri"/>
                              <w:noProof/>
                              <w:color w:val="000000"/>
                              <w:sz w:val="20"/>
                              <w:szCs w:val="20"/>
                            </w:rPr>
                          </w:pPr>
                          <w:r w:rsidRPr="00B923E2">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827897"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5.45pt;height:3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IUSwIAAGUEAAAOAAAAZHJzL2Uyb0RvYy54bWysVEtu2zAQ3RfoHQguurMlK3GbuJEDN0GK&#10;AkESICmypinKFiBxWJKO5N4i+6JAT+Xr9JGykjbtquiGGs4M5/PejE5Ou6ZmD8q6inTOJ+OUM6Ul&#10;FZVe5fzz3cXoiDPnhS5ETVrlfKscP52/fnXSmpnKaE11oSxDEO1mrcn52nszSxIn16oRbkxGaRhL&#10;so3wuNpVUljRInpTJ1mavk1asoWxJJVz0J73Rj6P8ctSSX9dlk55Vucctfl42nguw5nMT8RsZYVZ&#10;V3JfhviHKhpRaSR9CnUuvGAbW/0RqqmkJUelH0tqEirLSqrYA7qZpC+6uV0Lo2IvAMeZJ5jc/wsr&#10;rx5uLKuKnGfpwbvj7GB6NOVMiwZc3anOsw/UsQlnhXISsI3Y7nH3bff9zZcN+fe7H2wUEGyNmyHQ&#10;rUEo3+EFJmHQOygDMF1pm/BFywx2cLF9wj/kkVAeTtNsgvQSpsMsO55EfpLnx8Y6/1FRw4KQcwt6&#10;I+ri4dJ5FALXwSXk0nRR1XWkuNa/KeAYNEmovK8wSL5bdj0WQ/VLKrZoylI/OM7IiwqpL4XzN8Ji&#10;UtAHpt9f4yhranNOe4mzNdmvf9MHfxAIK2ctJi/nGqvBWf1Jg9gwpFGYHKfTFDc7qJeDoDfNGWGe&#10;QQsKimLw8/Uglpaae+zFIiSCSWiJdDn3g3jm+xXAXkm1WEQnzKMR/lLfGhlCB7gClnfdvbBmD7gH&#10;U1c0jKWYvcC99w0vnVlsPNCPpARoeyD3iGOWI1f7vQvL8us9ej3/HeY/AQAA//8DAFBLAwQUAAYA&#10;CAAAACEA6jQQF9oAAAADAQAADwAAAGRycy9kb3ducmV2LnhtbEyPQU/CQBCF7yb+h82YeJNtSahY&#10;uyWEhAM3RPA8dMe22p1pugtUfr2rF71M8vJe3vumWIyuU2cafCtsIJ0koIgrsS3XBvav64c5KB+Q&#10;LXbCZOCLPCzK25sCcysXfqHzLtQqlrDP0UATQp9r7auGHPqJ9MTRe5fBYYhyqLUd8BLLXaenSZJp&#10;hy3HhQZ7WjVUfe5OzkA7W0pI6bBZf7y5VNLrdjO7bo25vxuXz6ACjeEvDD/4ER3KyHSUE1uvOgPx&#10;kfB7o/eYPIE6GsiyDHRZ6P/s5TcAAAD//wMAUEsBAi0AFAAGAAgAAAAhALaDOJL+AAAA4QEAABMA&#10;AAAAAAAAAAAAAAAAAAAAAFtDb250ZW50X1R5cGVzXS54bWxQSwECLQAUAAYACAAAACEAOP0h/9YA&#10;AACUAQAACwAAAAAAAAAAAAAAAAAvAQAAX3JlbHMvLnJlbHNQSwECLQAUAAYACAAAACEACVHSFEsC&#10;AABlBAAADgAAAAAAAAAAAAAAAAAuAgAAZHJzL2Uyb0RvYy54bWxQSwECLQAUAAYACAAAACEA6jQQ&#10;F9oAAAADAQAADwAAAAAAAAAAAAAAAAClBAAAZHJzL2Rvd25yZXYueG1sUEsFBgAAAAAEAAQA8wAA&#10;AKwFAAAAAA==&#10;" filled="f" stroked="f">
              <v:textbox style="mso-fit-shape-to-text:t" inset="0,15pt,0,0">
                <w:txbxContent>
                  <w:p w14:paraId="549CC8DF" w14:textId="1DD2EF67" w:rsidR="00B923E2" w:rsidRPr="00B923E2" w:rsidRDefault="00B923E2" w:rsidP="00B923E2">
                    <w:pPr>
                      <w:rPr>
                        <w:rFonts w:ascii="Calibri" w:eastAsia="Calibri" w:hAnsi="Calibri" w:cs="Calibri"/>
                        <w:noProof/>
                        <w:color w:val="000000"/>
                        <w:sz w:val="20"/>
                        <w:szCs w:val="20"/>
                      </w:rPr>
                    </w:pPr>
                    <w:r w:rsidRPr="00B923E2">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77AC"/>
    <w:multiLevelType w:val="multilevel"/>
    <w:tmpl w:val="591CFD44"/>
    <w:lvl w:ilvl="0">
      <w:start w:val="1"/>
      <w:numFmt w:val="decimal"/>
      <w:suff w:val="space"/>
      <w:lvlText w:val="%1."/>
      <w:lvlJc w:val="left"/>
      <w:pPr>
        <w:ind w:left="0" w:firstLine="0"/>
      </w:pPr>
      <w:rPr>
        <w:rFonts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E055268"/>
    <w:multiLevelType w:val="hybridMultilevel"/>
    <w:tmpl w:val="8AB0E5B4"/>
    <w:lvl w:ilvl="0" w:tplc="C30C371C">
      <w:start w:val="1"/>
      <w:numFmt w:val="decimal"/>
      <w:pStyle w:val="2"/>
      <w:suff w:val="space"/>
      <w:lvlText w:val="%1."/>
      <w:lvlJc w:val="left"/>
      <w:pPr>
        <w:ind w:left="0" w:firstLine="0"/>
      </w:pPr>
      <w:rPr>
        <w:rFonts w:hint="default"/>
        <w:b/>
        <w:bCs w:val="0"/>
      </w:rPr>
    </w:lvl>
    <w:lvl w:ilvl="1" w:tplc="EA92A9F2">
      <w:start w:val="1"/>
      <w:numFmt w:val="lowerLetter"/>
      <w:lvlText w:val="%2."/>
      <w:lvlJc w:val="left"/>
      <w:pPr>
        <w:ind w:left="1440" w:hanging="360"/>
      </w:pPr>
    </w:lvl>
    <w:lvl w:ilvl="2" w:tplc="358A7920">
      <w:start w:val="1"/>
      <w:numFmt w:val="lowerRoman"/>
      <w:lvlText w:val="%3."/>
      <w:lvlJc w:val="right"/>
      <w:pPr>
        <w:ind w:left="2160" w:hanging="180"/>
      </w:pPr>
    </w:lvl>
    <w:lvl w:ilvl="3" w:tplc="230859CE">
      <w:start w:val="1"/>
      <w:numFmt w:val="decimal"/>
      <w:lvlText w:val="%4."/>
      <w:lvlJc w:val="left"/>
      <w:pPr>
        <w:ind w:left="2880" w:hanging="360"/>
      </w:pPr>
    </w:lvl>
    <w:lvl w:ilvl="4" w:tplc="C57823C6">
      <w:start w:val="1"/>
      <w:numFmt w:val="lowerLetter"/>
      <w:lvlText w:val="%5."/>
      <w:lvlJc w:val="left"/>
      <w:pPr>
        <w:ind w:left="3600" w:hanging="360"/>
      </w:pPr>
    </w:lvl>
    <w:lvl w:ilvl="5" w:tplc="B9160790">
      <w:start w:val="1"/>
      <w:numFmt w:val="lowerRoman"/>
      <w:lvlText w:val="%6."/>
      <w:lvlJc w:val="right"/>
      <w:pPr>
        <w:ind w:left="4320" w:hanging="180"/>
      </w:pPr>
    </w:lvl>
    <w:lvl w:ilvl="6" w:tplc="7F22C1D0">
      <w:start w:val="1"/>
      <w:numFmt w:val="decimal"/>
      <w:lvlText w:val="%7."/>
      <w:lvlJc w:val="left"/>
      <w:pPr>
        <w:ind w:left="5040" w:hanging="360"/>
      </w:pPr>
    </w:lvl>
    <w:lvl w:ilvl="7" w:tplc="DDCA4B82">
      <w:start w:val="1"/>
      <w:numFmt w:val="lowerLetter"/>
      <w:lvlText w:val="%8."/>
      <w:lvlJc w:val="left"/>
      <w:pPr>
        <w:ind w:left="5760" w:hanging="360"/>
      </w:pPr>
    </w:lvl>
    <w:lvl w:ilvl="8" w:tplc="3208B06A">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CD"/>
    <w:rsid w:val="000016E6"/>
    <w:rsid w:val="00014A6E"/>
    <w:rsid w:val="0003024E"/>
    <w:rsid w:val="000448AB"/>
    <w:rsid w:val="00052D8B"/>
    <w:rsid w:val="00054162"/>
    <w:rsid w:val="00065D87"/>
    <w:rsid w:val="00080EA7"/>
    <w:rsid w:val="000A40E5"/>
    <w:rsid w:val="000D4528"/>
    <w:rsid w:val="00101B39"/>
    <w:rsid w:val="00103CE2"/>
    <w:rsid w:val="001052AA"/>
    <w:rsid w:val="0011327A"/>
    <w:rsid w:val="00122F50"/>
    <w:rsid w:val="00126779"/>
    <w:rsid w:val="001429ED"/>
    <w:rsid w:val="00165FB4"/>
    <w:rsid w:val="00166ACD"/>
    <w:rsid w:val="00174A54"/>
    <w:rsid w:val="001A5243"/>
    <w:rsid w:val="001B470B"/>
    <w:rsid w:val="001D1ABB"/>
    <w:rsid w:val="001F656C"/>
    <w:rsid w:val="00206CF1"/>
    <w:rsid w:val="00212886"/>
    <w:rsid w:val="00215453"/>
    <w:rsid w:val="0025210E"/>
    <w:rsid w:val="00283D72"/>
    <w:rsid w:val="00284125"/>
    <w:rsid w:val="002854F1"/>
    <w:rsid w:val="00287FFB"/>
    <w:rsid w:val="00292BDC"/>
    <w:rsid w:val="002A1D68"/>
    <w:rsid w:val="002B573A"/>
    <w:rsid w:val="002C2067"/>
    <w:rsid w:val="002E2103"/>
    <w:rsid w:val="002F23F0"/>
    <w:rsid w:val="00344216"/>
    <w:rsid w:val="003908BA"/>
    <w:rsid w:val="00390A12"/>
    <w:rsid w:val="003965DF"/>
    <w:rsid w:val="0039675C"/>
    <w:rsid w:val="003968B6"/>
    <w:rsid w:val="003A27F5"/>
    <w:rsid w:val="003A4AA5"/>
    <w:rsid w:val="003C685D"/>
    <w:rsid w:val="003D71D8"/>
    <w:rsid w:val="003E09BF"/>
    <w:rsid w:val="003E253E"/>
    <w:rsid w:val="003F2876"/>
    <w:rsid w:val="00400E89"/>
    <w:rsid w:val="0040219F"/>
    <w:rsid w:val="00402604"/>
    <w:rsid w:val="00411CD9"/>
    <w:rsid w:val="00435687"/>
    <w:rsid w:val="004532A4"/>
    <w:rsid w:val="0049561A"/>
    <w:rsid w:val="004B4B81"/>
    <w:rsid w:val="004C17AF"/>
    <w:rsid w:val="004D7834"/>
    <w:rsid w:val="004E2F0C"/>
    <w:rsid w:val="004F5379"/>
    <w:rsid w:val="004F62D2"/>
    <w:rsid w:val="00507AE9"/>
    <w:rsid w:val="00511D03"/>
    <w:rsid w:val="005228FF"/>
    <w:rsid w:val="00534B28"/>
    <w:rsid w:val="00587545"/>
    <w:rsid w:val="005875D5"/>
    <w:rsid w:val="005B3208"/>
    <w:rsid w:val="005C1625"/>
    <w:rsid w:val="005C4F55"/>
    <w:rsid w:val="005D06A8"/>
    <w:rsid w:val="005D6C71"/>
    <w:rsid w:val="005E3A5C"/>
    <w:rsid w:val="005F50A9"/>
    <w:rsid w:val="00640AF2"/>
    <w:rsid w:val="00657B19"/>
    <w:rsid w:val="00674A12"/>
    <w:rsid w:val="00681DBD"/>
    <w:rsid w:val="00696741"/>
    <w:rsid w:val="006B1382"/>
    <w:rsid w:val="006B2FB3"/>
    <w:rsid w:val="006C074C"/>
    <w:rsid w:val="006C7519"/>
    <w:rsid w:val="006D6278"/>
    <w:rsid w:val="007107AA"/>
    <w:rsid w:val="0071728F"/>
    <w:rsid w:val="007414F4"/>
    <w:rsid w:val="00742F44"/>
    <w:rsid w:val="00746186"/>
    <w:rsid w:val="00791DBE"/>
    <w:rsid w:val="00794247"/>
    <w:rsid w:val="007C06EE"/>
    <w:rsid w:val="007E157D"/>
    <w:rsid w:val="007E7EC3"/>
    <w:rsid w:val="00804082"/>
    <w:rsid w:val="00804D3E"/>
    <w:rsid w:val="00811229"/>
    <w:rsid w:val="00811BB0"/>
    <w:rsid w:val="00817690"/>
    <w:rsid w:val="008252AF"/>
    <w:rsid w:val="008405EB"/>
    <w:rsid w:val="008C68F0"/>
    <w:rsid w:val="008D5330"/>
    <w:rsid w:val="008E007A"/>
    <w:rsid w:val="009070B7"/>
    <w:rsid w:val="009A77E7"/>
    <w:rsid w:val="009D23AA"/>
    <w:rsid w:val="009D7EBB"/>
    <w:rsid w:val="009E2A57"/>
    <w:rsid w:val="009E65DB"/>
    <w:rsid w:val="009F5AEB"/>
    <w:rsid w:val="009F7FB0"/>
    <w:rsid w:val="00A079AF"/>
    <w:rsid w:val="00A205DF"/>
    <w:rsid w:val="00A60CFF"/>
    <w:rsid w:val="00A616DD"/>
    <w:rsid w:val="00A727E5"/>
    <w:rsid w:val="00A9342A"/>
    <w:rsid w:val="00AB4FC8"/>
    <w:rsid w:val="00AB55FF"/>
    <w:rsid w:val="00AC1061"/>
    <w:rsid w:val="00B048D1"/>
    <w:rsid w:val="00B057FC"/>
    <w:rsid w:val="00B215EE"/>
    <w:rsid w:val="00B35CD4"/>
    <w:rsid w:val="00B36259"/>
    <w:rsid w:val="00B4714A"/>
    <w:rsid w:val="00B54917"/>
    <w:rsid w:val="00B72EB9"/>
    <w:rsid w:val="00B923E2"/>
    <w:rsid w:val="00B936BB"/>
    <w:rsid w:val="00B94220"/>
    <w:rsid w:val="00BB7300"/>
    <w:rsid w:val="00C27392"/>
    <w:rsid w:val="00C34A3C"/>
    <w:rsid w:val="00C353CA"/>
    <w:rsid w:val="00C42581"/>
    <w:rsid w:val="00C45EA5"/>
    <w:rsid w:val="00C800D1"/>
    <w:rsid w:val="00C8274E"/>
    <w:rsid w:val="00C83FE5"/>
    <w:rsid w:val="00CC60D7"/>
    <w:rsid w:val="00CC737A"/>
    <w:rsid w:val="00CD13D6"/>
    <w:rsid w:val="00D010C7"/>
    <w:rsid w:val="00D107C3"/>
    <w:rsid w:val="00D15947"/>
    <w:rsid w:val="00D36D6E"/>
    <w:rsid w:val="00D5113D"/>
    <w:rsid w:val="00D711D1"/>
    <w:rsid w:val="00D809A5"/>
    <w:rsid w:val="00D90B40"/>
    <w:rsid w:val="00D94CB3"/>
    <w:rsid w:val="00DA07FC"/>
    <w:rsid w:val="00DA6779"/>
    <w:rsid w:val="00DB3D6B"/>
    <w:rsid w:val="00DC3F2D"/>
    <w:rsid w:val="00DF6EB5"/>
    <w:rsid w:val="00E02701"/>
    <w:rsid w:val="00E16D0E"/>
    <w:rsid w:val="00E347E3"/>
    <w:rsid w:val="00E527D8"/>
    <w:rsid w:val="00E60206"/>
    <w:rsid w:val="00E61F6D"/>
    <w:rsid w:val="00E63716"/>
    <w:rsid w:val="00E831D9"/>
    <w:rsid w:val="00E9623C"/>
    <w:rsid w:val="00EB334F"/>
    <w:rsid w:val="00F04934"/>
    <w:rsid w:val="00F15C91"/>
    <w:rsid w:val="00F31E9E"/>
    <w:rsid w:val="00F36242"/>
    <w:rsid w:val="00F424DA"/>
    <w:rsid w:val="00F60A4C"/>
    <w:rsid w:val="00F6126B"/>
    <w:rsid w:val="00F6144D"/>
    <w:rsid w:val="00F75A3A"/>
    <w:rsid w:val="00F85766"/>
    <w:rsid w:val="00FA29A9"/>
    <w:rsid w:val="00FC7835"/>
    <w:rsid w:val="00FD15DA"/>
    <w:rsid w:val="00FE4FF1"/>
    <w:rsid w:val="00FF11A3"/>
    <w:rsid w:val="00FF6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856D0"/>
  <w15:chartTrackingRefBased/>
  <w15:docId w15:val="{8C053853-A261-4994-9D9C-88B05815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1A3"/>
    <w:pPr>
      <w:bidi/>
      <w:spacing w:after="0" w:line="360" w:lineRule="auto"/>
      <w:jc w:val="both"/>
    </w:pPr>
    <w:rPr>
      <w:rFonts w:ascii="Times New Roman" w:hAnsi="Times New Roman" w:cs="David"/>
      <w:sz w:val="24"/>
      <w:szCs w:val="28"/>
    </w:rPr>
  </w:style>
  <w:style w:type="paragraph" w:styleId="Heading1">
    <w:name w:val="heading 1"/>
    <w:basedOn w:val="Normal"/>
    <w:next w:val="Normal"/>
    <w:link w:val="Heading1Char"/>
    <w:uiPriority w:val="9"/>
    <w:qFormat/>
    <w:rsid w:val="0040219F"/>
    <w:pPr>
      <w:keepNext/>
      <w:keepLines/>
      <w:spacing w:before="360" w:after="120" w:line="240" w:lineRule="auto"/>
      <w:jc w:val="left"/>
      <w:outlineLvl w:val="0"/>
    </w:pPr>
    <w:rPr>
      <w:rFonts w:eastAsiaTheme="majorEastAsia"/>
      <w:b/>
      <w:bCs/>
      <w:u w:val="single"/>
    </w:rPr>
  </w:style>
  <w:style w:type="paragraph" w:styleId="Heading2">
    <w:name w:val="heading 2"/>
    <w:basedOn w:val="Normal"/>
    <w:next w:val="Normal"/>
    <w:link w:val="Heading2Char"/>
    <w:uiPriority w:val="9"/>
    <w:unhideWhenUsed/>
    <w:qFormat/>
    <w:rsid w:val="0040219F"/>
    <w:pPr>
      <w:keepNext/>
      <w:keepLines/>
      <w:spacing w:before="360" w:after="120" w:line="240" w:lineRule="auto"/>
      <w:jc w:val="left"/>
      <w:outlineLvl w:val="1"/>
    </w:pPr>
    <w:rPr>
      <w:rFonts w:eastAsiaTheme="majorEastAsi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D3E"/>
  </w:style>
  <w:style w:type="paragraph" w:styleId="Header">
    <w:name w:val="header"/>
    <w:basedOn w:val="Normal"/>
    <w:link w:val="HeaderChar"/>
    <w:uiPriority w:val="99"/>
    <w:unhideWhenUsed/>
    <w:rsid w:val="00804D3E"/>
    <w:pPr>
      <w:tabs>
        <w:tab w:val="center" w:pos="4153"/>
        <w:tab w:val="right" w:pos="8306"/>
      </w:tabs>
      <w:spacing w:line="240" w:lineRule="auto"/>
    </w:pPr>
  </w:style>
  <w:style w:type="character" w:customStyle="1" w:styleId="HeaderChar">
    <w:name w:val="Header Char"/>
    <w:basedOn w:val="DefaultParagraphFont"/>
    <w:link w:val="Header"/>
    <w:uiPriority w:val="99"/>
    <w:rsid w:val="00804D3E"/>
    <w:rPr>
      <w:rFonts w:ascii="Times New Roman" w:hAnsi="Times New Roman" w:cs="David"/>
      <w:sz w:val="24"/>
      <w:szCs w:val="28"/>
    </w:rPr>
  </w:style>
  <w:style w:type="paragraph" w:styleId="Footer">
    <w:name w:val="footer"/>
    <w:basedOn w:val="Normal"/>
    <w:link w:val="FooterChar"/>
    <w:uiPriority w:val="99"/>
    <w:unhideWhenUsed/>
    <w:rsid w:val="00804D3E"/>
    <w:pPr>
      <w:tabs>
        <w:tab w:val="center" w:pos="4153"/>
        <w:tab w:val="right" w:pos="8306"/>
      </w:tabs>
      <w:spacing w:line="240" w:lineRule="auto"/>
    </w:pPr>
  </w:style>
  <w:style w:type="character" w:customStyle="1" w:styleId="FooterChar">
    <w:name w:val="Footer Char"/>
    <w:basedOn w:val="DefaultParagraphFont"/>
    <w:link w:val="Footer"/>
    <w:uiPriority w:val="99"/>
    <w:rsid w:val="00804D3E"/>
    <w:rPr>
      <w:rFonts w:ascii="Times New Roman" w:hAnsi="Times New Roman" w:cs="David"/>
      <w:sz w:val="24"/>
      <w:szCs w:val="28"/>
    </w:rPr>
  </w:style>
  <w:style w:type="character" w:customStyle="1" w:styleId="Heading1Char">
    <w:name w:val="Heading 1 Char"/>
    <w:basedOn w:val="DefaultParagraphFont"/>
    <w:link w:val="Heading1"/>
    <w:uiPriority w:val="9"/>
    <w:rsid w:val="0040219F"/>
    <w:rPr>
      <w:rFonts w:ascii="Times New Roman" w:eastAsiaTheme="majorEastAsia" w:hAnsi="Times New Roman" w:cs="David"/>
      <w:b/>
      <w:bCs/>
      <w:sz w:val="24"/>
      <w:szCs w:val="28"/>
      <w:u w:val="single"/>
    </w:rPr>
  </w:style>
  <w:style w:type="character" w:customStyle="1" w:styleId="Heading2Char">
    <w:name w:val="Heading 2 Char"/>
    <w:basedOn w:val="DefaultParagraphFont"/>
    <w:link w:val="Heading2"/>
    <w:uiPriority w:val="9"/>
    <w:rsid w:val="0040219F"/>
    <w:rPr>
      <w:rFonts w:ascii="Times New Roman" w:eastAsiaTheme="majorEastAsia" w:hAnsi="Times New Roman" w:cs="David"/>
      <w:sz w:val="24"/>
      <w:szCs w:val="28"/>
      <w:u w:val="single"/>
    </w:rPr>
  </w:style>
  <w:style w:type="paragraph" w:styleId="Quote">
    <w:name w:val="Quote"/>
    <w:basedOn w:val="Normal"/>
    <w:link w:val="QuoteChar"/>
    <w:uiPriority w:val="29"/>
    <w:qFormat/>
    <w:rsid w:val="00B36259"/>
    <w:pPr>
      <w:spacing w:before="180" w:after="300" w:line="240" w:lineRule="auto"/>
      <w:ind w:left="851" w:right="851"/>
      <w:contextualSpacing/>
    </w:pPr>
  </w:style>
  <w:style w:type="character" w:customStyle="1" w:styleId="QuoteChar">
    <w:name w:val="Quote Char"/>
    <w:basedOn w:val="DefaultParagraphFont"/>
    <w:link w:val="Quote"/>
    <w:uiPriority w:val="29"/>
    <w:rsid w:val="00B36259"/>
    <w:rPr>
      <w:rFonts w:ascii="Times New Roman" w:hAnsi="Times New Roman" w:cs="David"/>
      <w:sz w:val="24"/>
      <w:szCs w:val="28"/>
    </w:rPr>
  </w:style>
  <w:style w:type="paragraph" w:customStyle="1" w:styleId="2">
    <w:name w:val="סגנון2"/>
    <w:basedOn w:val="Normal"/>
    <w:link w:val="20"/>
    <w:qFormat/>
    <w:rsid w:val="001F656C"/>
    <w:pPr>
      <w:numPr>
        <w:numId w:val="2"/>
      </w:numPr>
      <w:contextualSpacing/>
    </w:pPr>
    <w:rPr>
      <w:rFonts w:eastAsia="Times New Roman"/>
      <w:sz w:val="28"/>
    </w:rPr>
  </w:style>
  <w:style w:type="character" w:customStyle="1" w:styleId="20">
    <w:name w:val="סגנון2 תו"/>
    <w:link w:val="2"/>
    <w:rsid w:val="001F656C"/>
    <w:rPr>
      <w:rFonts w:ascii="Times New Roman" w:eastAsia="Times New Roman" w:hAnsi="Times New Roman" w:cs="David"/>
      <w:sz w:val="28"/>
      <w:szCs w:val="28"/>
    </w:rPr>
  </w:style>
  <w:style w:type="character" w:styleId="CommentReference">
    <w:name w:val="annotation reference"/>
    <w:basedOn w:val="DefaultParagraphFont"/>
    <w:uiPriority w:val="99"/>
    <w:semiHidden/>
    <w:unhideWhenUsed/>
    <w:rsid w:val="00D010C7"/>
    <w:rPr>
      <w:sz w:val="16"/>
      <w:szCs w:val="16"/>
    </w:rPr>
  </w:style>
  <w:style w:type="paragraph" w:styleId="CommentText">
    <w:name w:val="annotation text"/>
    <w:basedOn w:val="Normal"/>
    <w:link w:val="CommentTextChar"/>
    <w:uiPriority w:val="99"/>
    <w:semiHidden/>
    <w:unhideWhenUsed/>
    <w:rsid w:val="00D010C7"/>
    <w:pPr>
      <w:spacing w:line="240" w:lineRule="auto"/>
    </w:pPr>
    <w:rPr>
      <w:sz w:val="20"/>
      <w:szCs w:val="20"/>
    </w:rPr>
  </w:style>
  <w:style w:type="character" w:customStyle="1" w:styleId="CommentTextChar">
    <w:name w:val="Comment Text Char"/>
    <w:basedOn w:val="DefaultParagraphFont"/>
    <w:link w:val="CommentText"/>
    <w:uiPriority w:val="99"/>
    <w:semiHidden/>
    <w:rsid w:val="00D010C7"/>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010C7"/>
    <w:rPr>
      <w:b/>
      <w:bCs/>
    </w:rPr>
  </w:style>
  <w:style w:type="character" w:customStyle="1" w:styleId="CommentSubjectChar">
    <w:name w:val="Comment Subject Char"/>
    <w:basedOn w:val="CommentTextChar"/>
    <w:link w:val="CommentSubject"/>
    <w:uiPriority w:val="99"/>
    <w:semiHidden/>
    <w:rsid w:val="00D010C7"/>
    <w:rPr>
      <w:rFonts w:ascii="Times New Roman" w:hAnsi="Times New Roman" w:cs="David"/>
      <w:b/>
      <w:bCs/>
      <w:sz w:val="20"/>
      <w:szCs w:val="20"/>
    </w:rPr>
  </w:style>
  <w:style w:type="paragraph" w:styleId="Revision">
    <w:name w:val="Revision"/>
    <w:hidden/>
    <w:uiPriority w:val="99"/>
    <w:semiHidden/>
    <w:rsid w:val="00FD15DA"/>
    <w:pPr>
      <w:spacing w:after="0" w:line="240" w:lineRule="auto"/>
    </w:pPr>
    <w:rPr>
      <w:rFonts w:ascii="Times New Roman" w:hAnsi="Times New Roman" w:cs="David"/>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C3FA3-4CA8-4B63-8AC9-89A1784C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2644</Words>
  <Characters>13222</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מתן אבר גולדבלט - יבד"ץ 205/בית דין לערעורים/עוזר משפטי במילואים</dc:creator>
  <cp:keywords/>
  <dc:description/>
  <cp:lastModifiedBy>ארבל דו גלאון - בית הדין לערעורים/מש"ק משפט</cp:lastModifiedBy>
  <cp:revision>2</cp:revision>
  <cp:lastPrinted>2024-12-31T09:26:00Z</cp:lastPrinted>
  <dcterms:created xsi:type="dcterms:W3CDTF">2025-01-13T11:45:00Z</dcterms:created>
  <dcterms:modified xsi:type="dcterms:W3CDTF">2025-01-13T11:45:00Z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79783f01,544230ff,2a972338</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2024-12-30T07:59:49Z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2371e889-00d8-4f62-a5aa-9f10dbea2b65</vt:lpwstr>
  </property>
  <property fmtid="{D5CDD505-2E9C-101B-9397-08002B2CF9AE}" pid="11" name="MSIP_Label_701b9bfc-c426-492e-a46c-1a922d5fe54b_ContentBits">
    <vt:lpwstr>1</vt:lpwstr>
  </property>
</Properties>
</file>