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4D743" w14:textId="77777777" w:rsidR="00300C9B" w:rsidRDefault="00300C9B" w:rsidP="00915450">
      <w:pPr>
        <w:jc w:val="center"/>
        <w:rPr>
          <w:b/>
          <w:bCs/>
          <w:u w:val="single"/>
          <w:rtl/>
        </w:rPr>
      </w:pPr>
    </w:p>
    <w:p w14:paraId="5D6E91DA" w14:textId="0C836E51" w:rsidR="00300C9B" w:rsidRDefault="00300C9B" w:rsidP="00300C9B">
      <w:pPr>
        <w:bidi w:val="0"/>
        <w:spacing w:line="480" w:lineRule="auto"/>
        <w:jc w:val="center"/>
        <w:rPr>
          <w:rFonts w:ascii="David" w:hAnsi="David"/>
          <w:b/>
          <w:bCs/>
          <w:u w:val="single"/>
          <w:rtl/>
        </w:rPr>
      </w:pPr>
      <w:r w:rsidRPr="00FD2DDA">
        <w:rPr>
          <w:rFonts w:ascii="David" w:hAnsi="David" w:hint="cs"/>
          <w:b/>
          <w:bCs/>
          <w:u w:val="single"/>
          <w:rtl/>
        </w:rPr>
        <w:t>בבית הדין הצבאי לערעורים</w:t>
      </w:r>
    </w:p>
    <w:p w14:paraId="292BE135" w14:textId="77777777" w:rsidR="00300C9B" w:rsidRPr="00FD2DDA" w:rsidRDefault="00300C9B" w:rsidP="00300C9B">
      <w:pPr>
        <w:bidi w:val="0"/>
        <w:spacing w:line="480" w:lineRule="auto"/>
        <w:jc w:val="center"/>
        <w:rPr>
          <w:rFonts w:ascii="David" w:hAnsi="David"/>
          <w:b/>
          <w:bCs/>
          <w:u w:val="single"/>
        </w:rPr>
      </w:pPr>
    </w:p>
    <w:p w14:paraId="75DE4823" w14:textId="77777777" w:rsidR="00300C9B" w:rsidRPr="00FD2DDA" w:rsidRDefault="00300C9B" w:rsidP="00300C9B">
      <w:pPr>
        <w:spacing w:before="120" w:line="480" w:lineRule="auto"/>
        <w:rPr>
          <w:rFonts w:ascii="David" w:hAnsi="David"/>
          <w:rtl/>
        </w:rPr>
      </w:pPr>
      <w:r w:rsidRPr="00FD2DDA">
        <w:rPr>
          <w:rFonts w:ascii="David" w:hAnsi="David" w:hint="cs"/>
          <w:rtl/>
        </w:rPr>
        <w:t>בפני:</w:t>
      </w:r>
    </w:p>
    <w:tbl>
      <w:tblPr>
        <w:bidiVisual/>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754"/>
        <w:gridCol w:w="675"/>
        <w:gridCol w:w="2200"/>
      </w:tblGrid>
      <w:tr w:rsidR="00DC7457" w:rsidRPr="00B73264" w14:paraId="63D0F5BE" w14:textId="77777777" w:rsidTr="009C694C">
        <w:trPr>
          <w:trHeight w:val="608"/>
          <w:jc w:val="center"/>
        </w:trPr>
        <w:tc>
          <w:tcPr>
            <w:tcW w:w="2754" w:type="dxa"/>
          </w:tcPr>
          <w:p w14:paraId="19C9F2DE" w14:textId="5A1E465A" w:rsidR="00DC7457" w:rsidRPr="00B73264" w:rsidRDefault="00DC7457" w:rsidP="009C694C">
            <w:pPr>
              <w:tabs>
                <w:tab w:val="right" w:pos="1897"/>
              </w:tabs>
              <w:rPr>
                <w:b/>
                <w:bCs/>
                <w:rtl/>
              </w:rPr>
            </w:pPr>
            <w:r>
              <w:rPr>
                <w:rFonts w:hint="cs"/>
                <w:b/>
                <w:bCs/>
                <w:rtl/>
              </w:rPr>
              <w:t>תא"ל     (מיל')   אבי לוי</w:t>
            </w:r>
          </w:p>
        </w:tc>
        <w:tc>
          <w:tcPr>
            <w:tcW w:w="675" w:type="dxa"/>
          </w:tcPr>
          <w:p w14:paraId="7376E259" w14:textId="77777777" w:rsidR="00DC7457" w:rsidRPr="00B73264" w:rsidRDefault="00DC7457" w:rsidP="009C694C">
            <w:pPr>
              <w:jc w:val="center"/>
              <w:rPr>
                <w:b/>
                <w:bCs/>
                <w:rtl/>
              </w:rPr>
            </w:pPr>
            <w:r w:rsidRPr="00B73264">
              <w:rPr>
                <w:rFonts w:hint="cs"/>
                <w:b/>
                <w:bCs/>
                <w:rtl/>
              </w:rPr>
              <w:t>-</w:t>
            </w:r>
          </w:p>
        </w:tc>
        <w:tc>
          <w:tcPr>
            <w:tcW w:w="2200" w:type="dxa"/>
          </w:tcPr>
          <w:p w14:paraId="32D656E9" w14:textId="42162CF1" w:rsidR="00DC7457" w:rsidRPr="00B73264" w:rsidRDefault="00DC7457" w:rsidP="009C694C">
            <w:pPr>
              <w:tabs>
                <w:tab w:val="right" w:pos="1789"/>
              </w:tabs>
              <w:rPr>
                <w:rtl/>
              </w:rPr>
            </w:pPr>
            <w:r>
              <w:rPr>
                <w:rFonts w:hint="cs"/>
                <w:rtl/>
              </w:rPr>
              <w:t xml:space="preserve">              אב"ד</w:t>
            </w:r>
            <w:r w:rsidRPr="00B73264">
              <w:rPr>
                <w:rtl/>
              </w:rPr>
              <w:tab/>
            </w:r>
          </w:p>
        </w:tc>
      </w:tr>
      <w:tr w:rsidR="00DC7457" w:rsidRPr="00B73264" w14:paraId="4B70D0A6" w14:textId="77777777" w:rsidTr="009C694C">
        <w:trPr>
          <w:trHeight w:val="1263"/>
          <w:jc w:val="center"/>
        </w:trPr>
        <w:tc>
          <w:tcPr>
            <w:tcW w:w="2754" w:type="dxa"/>
          </w:tcPr>
          <w:p w14:paraId="627076B4" w14:textId="5944EED0" w:rsidR="00DC7457" w:rsidRPr="00B73264" w:rsidRDefault="00DC7457" w:rsidP="009C694C">
            <w:pPr>
              <w:tabs>
                <w:tab w:val="right" w:pos="1897"/>
              </w:tabs>
              <w:spacing w:line="480" w:lineRule="auto"/>
              <w:rPr>
                <w:b/>
                <w:bCs/>
                <w:rtl/>
              </w:rPr>
            </w:pPr>
            <w:r>
              <w:rPr>
                <w:rFonts w:hint="cs"/>
                <w:b/>
                <w:bCs/>
                <w:rtl/>
              </w:rPr>
              <w:t xml:space="preserve">אל"ם  מאיה  גולדשמידט </w:t>
            </w:r>
            <w:r w:rsidRPr="00B73264">
              <w:rPr>
                <w:rFonts w:hint="cs"/>
                <w:b/>
                <w:bCs/>
                <w:rtl/>
              </w:rPr>
              <w:t xml:space="preserve"> </w:t>
            </w:r>
            <w:r>
              <w:rPr>
                <w:rFonts w:hint="cs"/>
                <w:b/>
                <w:bCs/>
                <w:rtl/>
              </w:rPr>
              <w:t xml:space="preserve">    </w:t>
            </w:r>
          </w:p>
          <w:p w14:paraId="0F86BAD3" w14:textId="37516730" w:rsidR="00DC7457" w:rsidRPr="00B73264" w:rsidRDefault="00DC7457" w:rsidP="009C694C">
            <w:pPr>
              <w:spacing w:line="480" w:lineRule="auto"/>
              <w:rPr>
                <w:b/>
                <w:bCs/>
                <w:rtl/>
              </w:rPr>
            </w:pPr>
            <w:r w:rsidRPr="00B73264">
              <w:rPr>
                <w:rFonts w:hint="cs"/>
                <w:b/>
                <w:bCs/>
                <w:rtl/>
              </w:rPr>
              <w:t>אל"</w:t>
            </w:r>
            <w:r>
              <w:rPr>
                <w:rFonts w:hint="cs"/>
                <w:b/>
                <w:bCs/>
                <w:rtl/>
              </w:rPr>
              <w:t xml:space="preserve">ם (מיל') רמי בן עמי      </w:t>
            </w:r>
          </w:p>
        </w:tc>
        <w:tc>
          <w:tcPr>
            <w:tcW w:w="675" w:type="dxa"/>
          </w:tcPr>
          <w:p w14:paraId="3EB9E58D" w14:textId="77777777" w:rsidR="00DC7457" w:rsidRPr="00B73264" w:rsidRDefault="00DC7457" w:rsidP="009C694C">
            <w:pPr>
              <w:spacing w:line="480" w:lineRule="auto"/>
              <w:jc w:val="center"/>
              <w:rPr>
                <w:b/>
                <w:bCs/>
                <w:rtl/>
              </w:rPr>
            </w:pPr>
            <w:r w:rsidRPr="00B73264">
              <w:rPr>
                <w:rFonts w:hint="cs"/>
                <w:b/>
                <w:bCs/>
                <w:rtl/>
              </w:rPr>
              <w:t>-</w:t>
            </w:r>
          </w:p>
          <w:p w14:paraId="7CA83533" w14:textId="77777777" w:rsidR="00DC7457" w:rsidRPr="00B73264" w:rsidRDefault="00DC7457" w:rsidP="009C694C">
            <w:pPr>
              <w:spacing w:line="480" w:lineRule="auto"/>
              <w:rPr>
                <w:b/>
                <w:bCs/>
                <w:rtl/>
              </w:rPr>
            </w:pPr>
            <w:r w:rsidRPr="00B73264">
              <w:rPr>
                <w:rFonts w:hint="cs"/>
                <w:rtl/>
              </w:rPr>
              <w:t xml:space="preserve">  </w:t>
            </w:r>
            <w:r w:rsidRPr="00B73264">
              <w:rPr>
                <w:rFonts w:hint="cs"/>
                <w:b/>
                <w:bCs/>
                <w:rtl/>
              </w:rPr>
              <w:t xml:space="preserve">-      </w:t>
            </w:r>
          </w:p>
        </w:tc>
        <w:tc>
          <w:tcPr>
            <w:tcW w:w="2200" w:type="dxa"/>
          </w:tcPr>
          <w:p w14:paraId="5C0DE3B5" w14:textId="6A955359" w:rsidR="00DC7457" w:rsidRPr="00B73264" w:rsidRDefault="00DC7457" w:rsidP="009C694C">
            <w:pPr>
              <w:spacing w:line="480" w:lineRule="auto"/>
              <w:rPr>
                <w:rtl/>
              </w:rPr>
            </w:pPr>
            <w:r>
              <w:rPr>
                <w:rFonts w:hint="cs"/>
                <w:rtl/>
              </w:rPr>
              <w:t xml:space="preserve">              שופטת</w:t>
            </w:r>
          </w:p>
          <w:p w14:paraId="1BE56C1A" w14:textId="2C4CA57F" w:rsidR="00DC7457" w:rsidRPr="00B73264" w:rsidRDefault="00DC7457" w:rsidP="009C694C">
            <w:pPr>
              <w:spacing w:line="480" w:lineRule="auto"/>
              <w:rPr>
                <w:rtl/>
              </w:rPr>
            </w:pPr>
            <w:r>
              <w:rPr>
                <w:rFonts w:hint="cs"/>
                <w:rtl/>
              </w:rPr>
              <w:t xml:space="preserve">              </w:t>
            </w:r>
            <w:r w:rsidRPr="00B73264">
              <w:rPr>
                <w:rFonts w:hint="cs"/>
                <w:rtl/>
              </w:rPr>
              <w:t>שופט</w:t>
            </w:r>
          </w:p>
        </w:tc>
      </w:tr>
    </w:tbl>
    <w:p w14:paraId="1F62119E" w14:textId="104A9B11" w:rsidR="00300C9B" w:rsidRDefault="00300C9B" w:rsidP="00300C9B">
      <w:pPr>
        <w:spacing w:line="240" w:lineRule="auto"/>
        <w:jc w:val="center"/>
        <w:rPr>
          <w:rtl/>
        </w:rPr>
      </w:pPr>
    </w:p>
    <w:p w14:paraId="192B854A" w14:textId="77777777" w:rsidR="00300C9B" w:rsidRPr="00BB5867" w:rsidRDefault="00300C9B" w:rsidP="00300C9B">
      <w:pPr>
        <w:spacing w:line="240" w:lineRule="auto"/>
        <w:jc w:val="center"/>
        <w:rPr>
          <w:rtl/>
        </w:rPr>
      </w:pPr>
    </w:p>
    <w:p w14:paraId="011580C4" w14:textId="77777777" w:rsidR="00300C9B" w:rsidRPr="00FD2DDA" w:rsidRDefault="00300C9B" w:rsidP="00300C9B">
      <w:pPr>
        <w:rPr>
          <w:rFonts w:ascii="David" w:hAnsi="David"/>
          <w:rtl/>
        </w:rPr>
      </w:pPr>
      <w:r w:rsidRPr="00FD2DDA">
        <w:rPr>
          <w:rFonts w:ascii="David" w:hAnsi="David" w:hint="cs"/>
          <w:rtl/>
        </w:rPr>
        <w:t>בעניין:</w:t>
      </w:r>
    </w:p>
    <w:p w14:paraId="30F9898A" w14:textId="628D75F0" w:rsidR="00300C9B" w:rsidRPr="00FD2DDA" w:rsidRDefault="00DC7457" w:rsidP="00300C9B">
      <w:pPr>
        <w:bidi w:val="0"/>
        <w:jc w:val="center"/>
        <w:rPr>
          <w:rFonts w:ascii="David" w:hAnsi="David"/>
          <w:rtl/>
        </w:rPr>
      </w:pPr>
      <w:r>
        <w:rPr>
          <w:rFonts w:ascii="David" w:hAnsi="David" w:hint="cs"/>
          <w:b/>
          <w:bCs/>
          <w:rtl/>
        </w:rPr>
        <w:t>ח/</w:t>
      </w:r>
      <w:r w:rsidR="00724D27">
        <w:rPr>
          <w:rFonts w:ascii="David" w:hAnsi="David" w:hint="cs"/>
          <w:b/>
          <w:bCs/>
          <w:rtl/>
        </w:rPr>
        <w:t>*******</w:t>
      </w:r>
      <w:r>
        <w:rPr>
          <w:rFonts w:ascii="David" w:hAnsi="David" w:hint="cs"/>
          <w:b/>
          <w:bCs/>
          <w:rtl/>
        </w:rPr>
        <w:t xml:space="preserve"> סמל</w:t>
      </w:r>
      <w:r w:rsidR="00724D27">
        <w:rPr>
          <w:rFonts w:ascii="David" w:hAnsi="David" w:hint="cs"/>
          <w:b/>
          <w:bCs/>
          <w:rtl/>
        </w:rPr>
        <w:t xml:space="preserve"> נ' ב'</w:t>
      </w:r>
      <w:r>
        <w:rPr>
          <w:rFonts w:ascii="David" w:hAnsi="David" w:hint="cs"/>
          <w:b/>
          <w:bCs/>
          <w:rtl/>
        </w:rPr>
        <w:t xml:space="preserve"> </w:t>
      </w:r>
      <w:r w:rsidR="00300C9B" w:rsidRPr="00FD2DDA">
        <w:rPr>
          <w:rFonts w:ascii="David" w:hAnsi="David" w:hint="cs"/>
          <w:b/>
          <w:bCs/>
          <w:rtl/>
        </w:rPr>
        <w:t xml:space="preserve"> –</w:t>
      </w:r>
      <w:r w:rsidR="00300C9B" w:rsidRPr="00FD2DDA">
        <w:rPr>
          <w:rFonts w:ascii="David" w:hAnsi="David" w:hint="cs"/>
          <w:rtl/>
        </w:rPr>
        <w:t xml:space="preserve"> המערער</w:t>
      </w:r>
      <w:r w:rsidR="00DB3A17">
        <w:rPr>
          <w:rFonts w:ascii="David" w:hAnsi="David" w:hint="cs"/>
          <w:rtl/>
        </w:rPr>
        <w:t>ת</w:t>
      </w:r>
      <w:r w:rsidR="00300C9B" w:rsidRPr="00FD2DDA">
        <w:rPr>
          <w:rFonts w:ascii="David" w:hAnsi="David" w:hint="cs"/>
          <w:rtl/>
        </w:rPr>
        <w:t xml:space="preserve"> (ע"י ב"כ</w:t>
      </w:r>
      <w:r w:rsidR="004D637C">
        <w:rPr>
          <w:rFonts w:ascii="David" w:hAnsi="David" w:hint="cs"/>
          <w:rtl/>
        </w:rPr>
        <w:t>,</w:t>
      </w:r>
      <w:r>
        <w:rPr>
          <w:rFonts w:ascii="David" w:hAnsi="David" w:hint="cs"/>
          <w:rtl/>
        </w:rPr>
        <w:t xml:space="preserve"> עו"ד אלון ארז</w:t>
      </w:r>
      <w:r w:rsidR="00300C9B" w:rsidRPr="00FD2DDA">
        <w:rPr>
          <w:rFonts w:ascii="David" w:hAnsi="David" w:hint="cs"/>
          <w:rtl/>
        </w:rPr>
        <w:t>)</w:t>
      </w:r>
    </w:p>
    <w:p w14:paraId="701E3EA9" w14:textId="77777777" w:rsidR="00300C9B" w:rsidRPr="00FD2DDA" w:rsidRDefault="00300C9B" w:rsidP="00300C9B">
      <w:pPr>
        <w:jc w:val="center"/>
        <w:rPr>
          <w:rFonts w:ascii="David" w:hAnsi="David"/>
          <w:rtl/>
        </w:rPr>
      </w:pPr>
    </w:p>
    <w:p w14:paraId="5356C255" w14:textId="77777777" w:rsidR="00300C9B" w:rsidRPr="00FD2DDA" w:rsidRDefault="00300C9B" w:rsidP="00300C9B">
      <w:pPr>
        <w:spacing w:after="360"/>
        <w:jc w:val="center"/>
        <w:rPr>
          <w:rFonts w:ascii="David" w:hAnsi="David"/>
          <w:b/>
          <w:bCs/>
          <w:rtl/>
        </w:rPr>
      </w:pPr>
      <w:r w:rsidRPr="00FD2DDA">
        <w:rPr>
          <w:rFonts w:ascii="David" w:hAnsi="David" w:hint="cs"/>
          <w:b/>
          <w:bCs/>
          <w:rtl/>
        </w:rPr>
        <w:t xml:space="preserve">נ ג ד </w:t>
      </w:r>
    </w:p>
    <w:p w14:paraId="426A0C86" w14:textId="4FFB2693" w:rsidR="00300C9B" w:rsidRDefault="00DC7457" w:rsidP="00300C9B">
      <w:pPr>
        <w:spacing w:after="120"/>
        <w:jc w:val="center"/>
        <w:rPr>
          <w:rFonts w:ascii="David" w:hAnsi="David"/>
          <w:rtl/>
        </w:rPr>
      </w:pPr>
      <w:r>
        <w:rPr>
          <w:rFonts w:hint="cs"/>
          <w:b/>
          <w:bCs/>
          <w:sz w:val="32"/>
          <w:rtl/>
        </w:rPr>
        <w:t xml:space="preserve">התובע הצבאי הראשי </w:t>
      </w:r>
      <w:r w:rsidR="00300C9B" w:rsidRPr="00FD2DDA">
        <w:rPr>
          <w:rFonts w:ascii="David" w:hAnsi="David" w:hint="cs"/>
          <w:b/>
          <w:bCs/>
          <w:rtl/>
        </w:rPr>
        <w:t>–</w:t>
      </w:r>
      <w:r w:rsidR="00300C9B" w:rsidRPr="00FD2DDA">
        <w:rPr>
          <w:rFonts w:ascii="David" w:hAnsi="David" w:hint="cs"/>
          <w:rtl/>
        </w:rPr>
        <w:t xml:space="preserve"> המשיב (ע"י ב"כ,</w:t>
      </w:r>
      <w:r w:rsidR="00300C9B">
        <w:rPr>
          <w:rFonts w:ascii="David" w:hAnsi="David" w:hint="cs"/>
          <w:rtl/>
        </w:rPr>
        <w:t xml:space="preserve"> </w:t>
      </w:r>
      <w:r>
        <w:rPr>
          <w:rFonts w:ascii="David" w:hAnsi="David" w:hint="cs"/>
          <w:rtl/>
        </w:rPr>
        <w:t xml:space="preserve">רס"ן </w:t>
      </w:r>
      <w:proofErr w:type="spellStart"/>
      <w:r>
        <w:rPr>
          <w:rFonts w:ascii="David" w:hAnsi="David" w:hint="cs"/>
          <w:rtl/>
        </w:rPr>
        <w:t>אליסף</w:t>
      </w:r>
      <w:proofErr w:type="spellEnd"/>
      <w:r>
        <w:rPr>
          <w:rFonts w:ascii="David" w:hAnsi="David" w:hint="cs"/>
          <w:rtl/>
        </w:rPr>
        <w:t xml:space="preserve"> מלמד</w:t>
      </w:r>
      <w:r w:rsidR="00300C9B" w:rsidRPr="00FD2DDA">
        <w:rPr>
          <w:rFonts w:ascii="David" w:hAnsi="David" w:hint="cs"/>
          <w:rtl/>
        </w:rPr>
        <w:t>)</w:t>
      </w:r>
    </w:p>
    <w:p w14:paraId="7BC74430" w14:textId="77777777" w:rsidR="00300C9B" w:rsidRPr="00FD2DDA" w:rsidRDefault="00300C9B" w:rsidP="00300C9B">
      <w:pPr>
        <w:spacing w:after="120"/>
        <w:jc w:val="center"/>
        <w:rPr>
          <w:rFonts w:ascii="David" w:hAnsi="David"/>
          <w:rtl/>
        </w:rPr>
      </w:pPr>
    </w:p>
    <w:p w14:paraId="796F3BC1" w14:textId="17A0654F" w:rsidR="00300C9B" w:rsidRPr="00300C9B" w:rsidRDefault="00300C9B" w:rsidP="00300C9B">
      <w:pPr>
        <w:spacing w:after="360"/>
        <w:jc w:val="center"/>
        <w:rPr>
          <w:rFonts w:ascii="David" w:hAnsi="David"/>
          <w:b/>
          <w:bCs/>
          <w:rtl/>
        </w:rPr>
      </w:pPr>
      <w:r w:rsidRPr="00300C9B">
        <w:rPr>
          <w:rFonts w:ascii="David" w:hAnsi="David" w:hint="cs"/>
          <w:b/>
          <w:bCs/>
          <w:rtl/>
        </w:rPr>
        <w:t>וגם</w:t>
      </w:r>
    </w:p>
    <w:p w14:paraId="28E4DF5C" w14:textId="4234A8FA" w:rsidR="00300C9B" w:rsidRDefault="00DC7457" w:rsidP="00300C9B">
      <w:pPr>
        <w:spacing w:after="120"/>
        <w:jc w:val="center"/>
        <w:rPr>
          <w:rFonts w:ascii="David" w:hAnsi="David"/>
          <w:rtl/>
        </w:rPr>
      </w:pPr>
      <w:r>
        <w:rPr>
          <w:rFonts w:hint="cs"/>
          <w:b/>
          <w:bCs/>
          <w:sz w:val="32"/>
          <w:rtl/>
        </w:rPr>
        <w:t xml:space="preserve">התובע הצבאי הראשי </w:t>
      </w:r>
      <w:r w:rsidR="00300C9B" w:rsidRPr="00FD2DDA">
        <w:rPr>
          <w:rFonts w:ascii="David" w:hAnsi="David" w:hint="cs"/>
          <w:b/>
          <w:bCs/>
          <w:rtl/>
        </w:rPr>
        <w:t>–</w:t>
      </w:r>
      <w:r w:rsidR="00300C9B" w:rsidRPr="00FD2DDA">
        <w:rPr>
          <w:rFonts w:ascii="David" w:hAnsi="David" w:hint="cs"/>
          <w:rtl/>
        </w:rPr>
        <w:t xml:space="preserve"> המשיב (ע"י ב"כ,</w:t>
      </w:r>
      <w:r w:rsidR="00300C9B">
        <w:rPr>
          <w:rFonts w:ascii="David" w:hAnsi="David" w:hint="cs"/>
          <w:rtl/>
        </w:rPr>
        <w:t xml:space="preserve"> </w:t>
      </w:r>
      <w:r>
        <w:rPr>
          <w:rFonts w:ascii="David" w:hAnsi="David" w:hint="cs"/>
          <w:rtl/>
        </w:rPr>
        <w:t xml:space="preserve">רס"ן </w:t>
      </w:r>
      <w:proofErr w:type="spellStart"/>
      <w:r>
        <w:rPr>
          <w:rFonts w:ascii="David" w:hAnsi="David" w:hint="cs"/>
          <w:rtl/>
        </w:rPr>
        <w:t>אליסף</w:t>
      </w:r>
      <w:proofErr w:type="spellEnd"/>
      <w:r>
        <w:rPr>
          <w:rFonts w:ascii="David" w:hAnsi="David" w:hint="cs"/>
          <w:rtl/>
        </w:rPr>
        <w:t xml:space="preserve"> מלמד</w:t>
      </w:r>
      <w:r w:rsidR="00300C9B" w:rsidRPr="00FD2DDA">
        <w:rPr>
          <w:rFonts w:ascii="David" w:hAnsi="David" w:hint="cs"/>
          <w:rtl/>
        </w:rPr>
        <w:t>)</w:t>
      </w:r>
    </w:p>
    <w:p w14:paraId="156672C6" w14:textId="77777777" w:rsidR="00300C9B" w:rsidRDefault="00300C9B" w:rsidP="00300C9B">
      <w:pPr>
        <w:spacing w:after="120"/>
        <w:jc w:val="center"/>
        <w:rPr>
          <w:rFonts w:ascii="David" w:hAnsi="David"/>
          <w:rtl/>
        </w:rPr>
      </w:pPr>
    </w:p>
    <w:p w14:paraId="7F5B32EE" w14:textId="5DF36219" w:rsidR="00300C9B" w:rsidRDefault="00300C9B" w:rsidP="00300C9B">
      <w:pPr>
        <w:spacing w:after="360"/>
        <w:jc w:val="center"/>
        <w:rPr>
          <w:rFonts w:ascii="David" w:hAnsi="David"/>
          <w:b/>
          <w:bCs/>
          <w:rtl/>
        </w:rPr>
      </w:pPr>
      <w:r>
        <w:rPr>
          <w:rFonts w:ascii="David" w:hAnsi="David" w:hint="cs"/>
          <w:b/>
          <w:bCs/>
          <w:rtl/>
        </w:rPr>
        <w:t xml:space="preserve">נ ג ד </w:t>
      </w:r>
    </w:p>
    <w:p w14:paraId="62D45C43" w14:textId="30F3F492" w:rsidR="00300C9B" w:rsidRDefault="004D637C" w:rsidP="00300C9B">
      <w:pPr>
        <w:bidi w:val="0"/>
        <w:jc w:val="center"/>
        <w:rPr>
          <w:rFonts w:ascii="David" w:hAnsi="David"/>
          <w:rtl/>
        </w:rPr>
      </w:pPr>
      <w:r>
        <w:rPr>
          <w:rFonts w:ascii="David" w:hAnsi="David" w:hint="cs"/>
          <w:b/>
          <w:bCs/>
          <w:rtl/>
        </w:rPr>
        <w:t>ח/</w:t>
      </w:r>
      <w:r w:rsidR="00724D27">
        <w:rPr>
          <w:rFonts w:ascii="David" w:hAnsi="David" w:hint="cs"/>
          <w:b/>
          <w:bCs/>
          <w:rtl/>
        </w:rPr>
        <w:t>*******</w:t>
      </w:r>
      <w:r>
        <w:rPr>
          <w:rFonts w:ascii="David" w:hAnsi="David" w:hint="cs"/>
          <w:b/>
          <w:bCs/>
          <w:rtl/>
        </w:rPr>
        <w:t xml:space="preserve"> סמל נ</w:t>
      </w:r>
      <w:r w:rsidR="00724D27">
        <w:rPr>
          <w:rFonts w:ascii="David" w:hAnsi="David" w:hint="cs"/>
          <w:b/>
          <w:bCs/>
          <w:rtl/>
        </w:rPr>
        <w:t xml:space="preserve">' ב' </w:t>
      </w:r>
      <w:r w:rsidR="00300C9B" w:rsidRPr="00FD2DDA">
        <w:rPr>
          <w:rFonts w:ascii="David" w:hAnsi="David" w:hint="cs"/>
          <w:b/>
          <w:bCs/>
          <w:rtl/>
        </w:rPr>
        <w:t>–</w:t>
      </w:r>
      <w:r w:rsidR="00300C9B" w:rsidRPr="00FD2DDA">
        <w:rPr>
          <w:rFonts w:ascii="David" w:hAnsi="David" w:hint="cs"/>
          <w:rtl/>
        </w:rPr>
        <w:t xml:space="preserve"> המערער</w:t>
      </w:r>
      <w:r w:rsidR="00DB3A17">
        <w:rPr>
          <w:rFonts w:ascii="David" w:hAnsi="David" w:hint="cs"/>
          <w:rtl/>
        </w:rPr>
        <w:t>ת</w:t>
      </w:r>
      <w:r w:rsidR="00300C9B" w:rsidRPr="00FD2DDA">
        <w:rPr>
          <w:rFonts w:ascii="David" w:hAnsi="David" w:hint="cs"/>
          <w:rtl/>
        </w:rPr>
        <w:t xml:space="preserve"> (ע"י ב"כ, </w:t>
      </w:r>
      <w:r w:rsidR="00DC7457">
        <w:rPr>
          <w:rFonts w:ascii="David" w:hAnsi="David" w:hint="cs"/>
          <w:rtl/>
        </w:rPr>
        <w:t>עו"ד אלון ארז</w:t>
      </w:r>
      <w:r w:rsidR="00300C9B" w:rsidRPr="00FD2DDA">
        <w:rPr>
          <w:rFonts w:ascii="David" w:hAnsi="David" w:hint="cs"/>
          <w:rtl/>
        </w:rPr>
        <w:t>)</w:t>
      </w:r>
    </w:p>
    <w:p w14:paraId="1CFAFA15" w14:textId="77777777" w:rsidR="00300C9B" w:rsidRPr="00FD2DDA" w:rsidRDefault="00300C9B" w:rsidP="00300C9B">
      <w:pPr>
        <w:bidi w:val="0"/>
        <w:jc w:val="center"/>
        <w:rPr>
          <w:rFonts w:ascii="David" w:hAnsi="David"/>
        </w:rPr>
      </w:pPr>
    </w:p>
    <w:p w14:paraId="61B36039" w14:textId="77777777" w:rsidR="00300C9B" w:rsidRPr="00300C9B" w:rsidRDefault="00300C9B" w:rsidP="00300C9B">
      <w:pPr>
        <w:spacing w:after="360"/>
        <w:jc w:val="center"/>
        <w:rPr>
          <w:rFonts w:ascii="David" w:hAnsi="David"/>
          <w:b/>
          <w:bCs/>
          <w:rtl/>
        </w:rPr>
      </w:pPr>
    </w:p>
    <w:p w14:paraId="3B545B77" w14:textId="1A41CB2B" w:rsidR="00300C9B" w:rsidRDefault="00300C9B" w:rsidP="00714B7C">
      <w:pPr>
        <w:spacing w:after="360"/>
        <w:rPr>
          <w:rFonts w:ascii="David" w:hAnsi="David"/>
          <w:rtl/>
        </w:rPr>
      </w:pPr>
      <w:r w:rsidRPr="00FD2DDA">
        <w:rPr>
          <w:rFonts w:ascii="David" w:hAnsi="David" w:hint="cs"/>
          <w:rtl/>
        </w:rPr>
        <w:t xml:space="preserve">ערעור על </w:t>
      </w:r>
      <w:r w:rsidR="00F0417C">
        <w:rPr>
          <w:rFonts w:ascii="David" w:hAnsi="David" w:hint="cs"/>
          <w:rtl/>
        </w:rPr>
        <w:t>פסק</w:t>
      </w:r>
      <w:r w:rsidR="003B42A5">
        <w:rPr>
          <w:rFonts w:ascii="David" w:hAnsi="David" w:hint="cs"/>
          <w:rtl/>
        </w:rPr>
        <w:t xml:space="preserve"> הדין</w:t>
      </w:r>
      <w:r w:rsidRPr="00FD2DDA">
        <w:rPr>
          <w:rFonts w:ascii="David" w:hAnsi="David" w:hint="cs"/>
          <w:rtl/>
        </w:rPr>
        <w:t xml:space="preserve"> של בית הדין הצבאי המחוזי במחוז</w:t>
      </w:r>
      <w:r w:rsidR="00F0417C">
        <w:rPr>
          <w:rFonts w:ascii="David" w:hAnsi="David" w:hint="cs"/>
          <w:rtl/>
        </w:rPr>
        <w:t xml:space="preserve"> </w:t>
      </w:r>
      <w:r w:rsidRPr="00FD2DDA">
        <w:rPr>
          <w:rFonts w:ascii="David" w:hAnsi="David" w:hint="cs"/>
          <w:rtl/>
        </w:rPr>
        <w:t xml:space="preserve">שיפוטי </w:t>
      </w:r>
      <w:r>
        <w:rPr>
          <w:rFonts w:ascii="David" w:hAnsi="David" w:hint="cs"/>
          <w:rtl/>
        </w:rPr>
        <w:t>העורף</w:t>
      </w:r>
      <w:r w:rsidRPr="00FD2DDA">
        <w:rPr>
          <w:rFonts w:ascii="David" w:hAnsi="David" w:hint="cs"/>
          <w:rtl/>
        </w:rPr>
        <w:t xml:space="preserve"> שניתן בתיק </w:t>
      </w:r>
      <w:r>
        <w:rPr>
          <w:rFonts w:ascii="David" w:hAnsi="David" w:hint="cs"/>
          <w:rtl/>
        </w:rPr>
        <w:t>עורף</w:t>
      </w:r>
      <w:r w:rsidRPr="00FD2DDA">
        <w:rPr>
          <w:rFonts w:ascii="David" w:hAnsi="David" w:hint="cs"/>
          <w:rtl/>
        </w:rPr>
        <w:t xml:space="preserve"> </w:t>
      </w:r>
      <w:r w:rsidRPr="00FE7B6F">
        <w:rPr>
          <w:rFonts w:ascii="David" w:hAnsi="David" w:hint="cs"/>
          <w:rtl/>
        </w:rPr>
        <w:t xml:space="preserve">(מחוזי) </w:t>
      </w:r>
      <w:r w:rsidR="003B42A5">
        <w:rPr>
          <w:rFonts w:ascii="David" w:hAnsi="David" w:hint="cs"/>
          <w:rtl/>
        </w:rPr>
        <w:t>138</w:t>
      </w:r>
      <w:r w:rsidRPr="00FE7B6F">
        <w:rPr>
          <w:rFonts w:ascii="David" w:hAnsi="David" w:hint="cs"/>
          <w:rtl/>
        </w:rPr>
        <w:t>/</w:t>
      </w:r>
      <w:r w:rsidR="003B42A5">
        <w:rPr>
          <w:rFonts w:ascii="David" w:hAnsi="David" w:hint="cs"/>
          <w:rtl/>
        </w:rPr>
        <w:t>14</w:t>
      </w:r>
      <w:r w:rsidRPr="00FE7B6F">
        <w:rPr>
          <w:rFonts w:ascii="David" w:hAnsi="David" w:hint="cs"/>
          <w:rtl/>
        </w:rPr>
        <w:t xml:space="preserve"> (</w:t>
      </w:r>
      <w:r w:rsidR="003B42A5">
        <w:rPr>
          <w:rFonts w:ascii="David" w:hAnsi="David" w:hint="cs"/>
          <w:rtl/>
        </w:rPr>
        <w:t xml:space="preserve">סא"ל </w:t>
      </w:r>
      <w:r w:rsidR="00714B7C">
        <w:rPr>
          <w:rFonts w:ascii="David" w:hAnsi="David" w:hint="cs"/>
          <w:rtl/>
        </w:rPr>
        <w:t>(כ</w:t>
      </w:r>
      <w:r w:rsidR="00DB3A17">
        <w:rPr>
          <w:rFonts w:ascii="David" w:hAnsi="David" w:hint="cs"/>
          <w:rtl/>
        </w:rPr>
        <w:t>דרגת</w:t>
      </w:r>
      <w:r w:rsidR="00714B7C">
        <w:rPr>
          <w:rFonts w:ascii="David" w:hAnsi="David" w:hint="cs"/>
          <w:rtl/>
        </w:rPr>
        <w:t>ו אז)</w:t>
      </w:r>
      <w:r w:rsidR="00DB3A17">
        <w:rPr>
          <w:rFonts w:ascii="David" w:hAnsi="David" w:hint="cs"/>
          <w:rtl/>
        </w:rPr>
        <w:t xml:space="preserve"> </w:t>
      </w:r>
      <w:r w:rsidR="003B42A5">
        <w:rPr>
          <w:rFonts w:ascii="David" w:hAnsi="David" w:hint="cs"/>
          <w:rtl/>
        </w:rPr>
        <w:t>רונן שור</w:t>
      </w:r>
      <w:r w:rsidR="004D637C">
        <w:rPr>
          <w:rFonts w:ascii="David" w:hAnsi="David" w:hint="cs"/>
          <w:rtl/>
        </w:rPr>
        <w:t xml:space="preserve"> - אב"ד</w:t>
      </w:r>
      <w:r w:rsidR="00714B7C">
        <w:rPr>
          <w:rFonts w:ascii="David" w:hAnsi="David" w:hint="cs"/>
          <w:rtl/>
        </w:rPr>
        <w:t xml:space="preserve">; סרן קירה </w:t>
      </w:r>
      <w:proofErr w:type="spellStart"/>
      <w:r w:rsidR="00714B7C">
        <w:rPr>
          <w:rFonts w:ascii="David" w:hAnsi="David" w:hint="cs"/>
          <w:rtl/>
        </w:rPr>
        <w:t>ברסלר</w:t>
      </w:r>
      <w:proofErr w:type="spellEnd"/>
      <w:r w:rsidR="00714B7C">
        <w:rPr>
          <w:rFonts w:ascii="David" w:hAnsi="David" w:hint="cs"/>
          <w:rtl/>
        </w:rPr>
        <w:t>; סרן נדב אלבז</w:t>
      </w:r>
      <w:r w:rsidRPr="00FE7B6F">
        <w:rPr>
          <w:rFonts w:ascii="David" w:hAnsi="David" w:hint="cs"/>
          <w:rtl/>
        </w:rPr>
        <w:t xml:space="preserve">) ביום </w:t>
      </w:r>
      <w:r w:rsidR="004D637C">
        <w:rPr>
          <w:rFonts w:ascii="David" w:hAnsi="David" w:hint="cs"/>
          <w:rtl/>
        </w:rPr>
        <w:t>22</w:t>
      </w:r>
      <w:r w:rsidRPr="00FE7B6F">
        <w:rPr>
          <w:rFonts w:ascii="David" w:hAnsi="David" w:hint="cs"/>
          <w:rtl/>
        </w:rPr>
        <w:t>.</w:t>
      </w:r>
      <w:r w:rsidR="00714B7C">
        <w:rPr>
          <w:rFonts w:ascii="David" w:hAnsi="David" w:hint="cs"/>
          <w:rtl/>
        </w:rPr>
        <w:t>11</w:t>
      </w:r>
      <w:r w:rsidRPr="00FE7B6F">
        <w:rPr>
          <w:rFonts w:ascii="David" w:hAnsi="David" w:hint="cs"/>
          <w:rtl/>
        </w:rPr>
        <w:t>.20</w:t>
      </w:r>
      <w:r w:rsidR="00714B7C">
        <w:rPr>
          <w:rFonts w:ascii="David" w:hAnsi="David" w:hint="cs"/>
          <w:rtl/>
        </w:rPr>
        <w:t>15</w:t>
      </w:r>
      <w:r w:rsidRPr="00FE7B6F">
        <w:rPr>
          <w:rFonts w:ascii="David" w:hAnsi="David" w:hint="cs"/>
          <w:rtl/>
        </w:rPr>
        <w:t xml:space="preserve">. </w:t>
      </w:r>
      <w:r w:rsidR="00714B7C">
        <w:rPr>
          <w:rFonts w:ascii="David" w:hAnsi="David" w:hint="cs"/>
          <w:rtl/>
        </w:rPr>
        <w:t>ערעור ההגנה (הכרעת הדין) נדחה</w:t>
      </w:r>
      <w:r w:rsidRPr="00FE7B6F">
        <w:rPr>
          <w:rFonts w:ascii="David" w:hAnsi="David" w:hint="cs"/>
          <w:rtl/>
        </w:rPr>
        <w:t>.</w:t>
      </w:r>
      <w:r w:rsidR="00714B7C">
        <w:rPr>
          <w:rFonts w:ascii="David" w:hAnsi="David" w:hint="cs"/>
          <w:rtl/>
        </w:rPr>
        <w:t xml:space="preserve"> ערעור ההגנה (חומרת העונש) התקבל. ערעור התביעה (</w:t>
      </w:r>
      <w:r w:rsidR="002E5491">
        <w:rPr>
          <w:rFonts w:ascii="David" w:hAnsi="David" w:hint="cs"/>
          <w:rtl/>
        </w:rPr>
        <w:t>קולת העונש) נדחה.</w:t>
      </w:r>
    </w:p>
    <w:p w14:paraId="130E42A0" w14:textId="77777777" w:rsidR="00300C9B" w:rsidRDefault="00300C9B" w:rsidP="00915450">
      <w:pPr>
        <w:jc w:val="center"/>
        <w:rPr>
          <w:b/>
          <w:bCs/>
          <w:u w:val="single"/>
          <w:rtl/>
        </w:rPr>
      </w:pPr>
    </w:p>
    <w:p w14:paraId="7C17A19B" w14:textId="2132B137" w:rsidR="005E2612" w:rsidRDefault="006127FD" w:rsidP="00915450">
      <w:pPr>
        <w:jc w:val="center"/>
        <w:rPr>
          <w:b/>
          <w:bCs/>
          <w:u w:val="single"/>
          <w:rtl/>
        </w:rPr>
      </w:pPr>
      <w:r>
        <w:rPr>
          <w:rFonts w:hint="cs"/>
          <w:b/>
          <w:bCs/>
          <w:u w:val="single"/>
          <w:rtl/>
        </w:rPr>
        <w:t>פ</w:t>
      </w:r>
      <w:r w:rsidR="00300C9B">
        <w:rPr>
          <w:rFonts w:hint="cs"/>
          <w:b/>
          <w:bCs/>
          <w:u w:val="single"/>
          <w:rtl/>
        </w:rPr>
        <w:t xml:space="preserve"> </w:t>
      </w:r>
      <w:r>
        <w:rPr>
          <w:rFonts w:hint="cs"/>
          <w:b/>
          <w:bCs/>
          <w:u w:val="single"/>
          <w:rtl/>
        </w:rPr>
        <w:t>ס</w:t>
      </w:r>
      <w:r w:rsidR="00300C9B">
        <w:rPr>
          <w:rFonts w:hint="cs"/>
          <w:b/>
          <w:bCs/>
          <w:u w:val="single"/>
          <w:rtl/>
        </w:rPr>
        <w:t xml:space="preserve"> </w:t>
      </w:r>
      <w:r>
        <w:rPr>
          <w:rFonts w:hint="cs"/>
          <w:b/>
          <w:bCs/>
          <w:u w:val="single"/>
          <w:rtl/>
        </w:rPr>
        <w:t xml:space="preserve">ק </w:t>
      </w:r>
      <w:r w:rsidR="00300C9B">
        <w:rPr>
          <w:b/>
          <w:bCs/>
          <w:u w:val="single"/>
          <w:rtl/>
        </w:rPr>
        <w:t>–</w:t>
      </w:r>
      <w:r w:rsidR="00300C9B">
        <w:rPr>
          <w:rFonts w:hint="cs"/>
          <w:b/>
          <w:bCs/>
          <w:u w:val="single"/>
          <w:rtl/>
        </w:rPr>
        <w:t xml:space="preserve"> </w:t>
      </w:r>
      <w:r>
        <w:rPr>
          <w:rFonts w:hint="cs"/>
          <w:b/>
          <w:bCs/>
          <w:u w:val="single"/>
          <w:rtl/>
        </w:rPr>
        <w:t>ד</w:t>
      </w:r>
      <w:r w:rsidR="00300C9B">
        <w:rPr>
          <w:rFonts w:hint="cs"/>
          <w:b/>
          <w:bCs/>
          <w:u w:val="single"/>
          <w:rtl/>
        </w:rPr>
        <w:t xml:space="preserve"> </w:t>
      </w:r>
      <w:r>
        <w:rPr>
          <w:rFonts w:hint="cs"/>
          <w:b/>
          <w:bCs/>
          <w:u w:val="single"/>
          <w:rtl/>
        </w:rPr>
        <w:t>י</w:t>
      </w:r>
      <w:r w:rsidR="00300C9B">
        <w:rPr>
          <w:rFonts w:hint="cs"/>
          <w:b/>
          <w:bCs/>
          <w:u w:val="single"/>
          <w:rtl/>
        </w:rPr>
        <w:t xml:space="preserve"> </w:t>
      </w:r>
      <w:r>
        <w:rPr>
          <w:rFonts w:hint="cs"/>
          <w:b/>
          <w:bCs/>
          <w:u w:val="single"/>
          <w:rtl/>
        </w:rPr>
        <w:t xml:space="preserve">ן </w:t>
      </w:r>
    </w:p>
    <w:p w14:paraId="199C88B4" w14:textId="77777777" w:rsidR="00A909F3" w:rsidRDefault="006127FD" w:rsidP="00A909F3">
      <w:pPr>
        <w:rPr>
          <w:rtl/>
        </w:rPr>
      </w:pPr>
      <w:r>
        <w:rPr>
          <w:rFonts w:hint="cs"/>
          <w:rtl/>
        </w:rPr>
        <w:t xml:space="preserve">       </w:t>
      </w:r>
    </w:p>
    <w:p w14:paraId="5769CD19" w14:textId="5C8C9E2A" w:rsidR="002B0678" w:rsidRPr="00A909F3" w:rsidRDefault="006127FD" w:rsidP="00A909F3">
      <w:pPr>
        <w:rPr>
          <w:rtl/>
        </w:rPr>
      </w:pPr>
      <w:r w:rsidRPr="002B0678">
        <w:rPr>
          <w:rFonts w:hint="cs"/>
          <w:b/>
          <w:bCs/>
          <w:u w:val="single"/>
          <w:rtl/>
        </w:rPr>
        <w:t>רקע</w:t>
      </w:r>
    </w:p>
    <w:p w14:paraId="10EE12C0" w14:textId="77777777" w:rsidR="002B0678" w:rsidRDefault="002B0678" w:rsidP="007A09D7">
      <w:pPr>
        <w:ind w:hanging="2"/>
        <w:jc w:val="center"/>
        <w:rPr>
          <w:b/>
          <w:bCs/>
          <w:u w:val="single"/>
          <w:rtl/>
        </w:rPr>
      </w:pPr>
    </w:p>
    <w:p w14:paraId="1851FAFD" w14:textId="20EACCF2" w:rsidR="008D0FCA" w:rsidRDefault="006127FD" w:rsidP="007A09D7">
      <w:pPr>
        <w:numPr>
          <w:ilvl w:val="0"/>
          <w:numId w:val="21"/>
        </w:numPr>
        <w:ind w:left="0" w:hanging="2"/>
      </w:pPr>
      <w:r>
        <w:rPr>
          <w:rFonts w:hint="cs"/>
          <w:rtl/>
        </w:rPr>
        <w:t>המערערת</w:t>
      </w:r>
      <w:r w:rsidR="00EB22B8">
        <w:rPr>
          <w:rFonts w:hint="cs"/>
          <w:rtl/>
        </w:rPr>
        <w:t>, סמל ני</w:t>
      </w:r>
      <w:r w:rsidR="00724D27">
        <w:rPr>
          <w:rFonts w:hint="cs"/>
          <w:rtl/>
        </w:rPr>
        <w:t xml:space="preserve">' ב' </w:t>
      </w:r>
      <w:r w:rsidR="00EB22B8">
        <w:rPr>
          <w:rFonts w:hint="cs"/>
          <w:rtl/>
        </w:rPr>
        <w:t>, הורשעה</w:t>
      </w:r>
      <w:r w:rsidR="00251467">
        <w:rPr>
          <w:rFonts w:hint="cs"/>
          <w:rtl/>
        </w:rPr>
        <w:t xml:space="preserve">, </w:t>
      </w:r>
      <w:r w:rsidR="00EB22B8">
        <w:rPr>
          <w:rFonts w:hint="cs"/>
          <w:rtl/>
        </w:rPr>
        <w:t xml:space="preserve">לאחר שמיעת ראיות, בעבירה של פגיעה בפרטיות, לפי סעיף 2(4) </w:t>
      </w:r>
      <w:r w:rsidR="00682BDC">
        <w:rPr>
          <w:rFonts w:hint="cs"/>
          <w:rtl/>
        </w:rPr>
        <w:t>ו-</w:t>
      </w:r>
      <w:r w:rsidR="00EB22B8">
        <w:rPr>
          <w:rFonts w:hint="cs"/>
          <w:rtl/>
        </w:rPr>
        <w:t xml:space="preserve"> 5 לחוק הגנת הפרטיות, </w:t>
      </w:r>
      <w:proofErr w:type="spellStart"/>
      <w:r w:rsidR="00EB22B8">
        <w:rPr>
          <w:rFonts w:hint="cs"/>
          <w:rtl/>
        </w:rPr>
        <w:t>התשמ"א</w:t>
      </w:r>
      <w:proofErr w:type="spellEnd"/>
      <w:r w:rsidR="00EB22B8">
        <w:rPr>
          <w:rFonts w:hint="cs"/>
          <w:rtl/>
        </w:rPr>
        <w:t xml:space="preserve"> </w:t>
      </w:r>
      <w:r w:rsidR="007616CD">
        <w:rPr>
          <w:rFonts w:hint="cs"/>
          <w:rtl/>
        </w:rPr>
        <w:t>-</w:t>
      </w:r>
      <w:r w:rsidR="00EB22B8">
        <w:rPr>
          <w:rFonts w:hint="cs"/>
          <w:rtl/>
        </w:rPr>
        <w:t xml:space="preserve"> 1981</w:t>
      </w:r>
      <w:r w:rsidR="005E5BCE">
        <w:rPr>
          <w:rFonts w:hint="cs"/>
          <w:rtl/>
        </w:rPr>
        <w:t>.</w:t>
      </w:r>
      <w:r w:rsidR="00EB22B8">
        <w:rPr>
          <w:rFonts w:hint="cs"/>
          <w:rtl/>
        </w:rPr>
        <w:t xml:space="preserve"> </w:t>
      </w:r>
      <w:r w:rsidR="00E20D1E">
        <w:rPr>
          <w:rFonts w:hint="cs"/>
          <w:rtl/>
        </w:rPr>
        <w:t xml:space="preserve">ביום </w:t>
      </w:r>
      <w:r w:rsidR="00F26CC1">
        <w:rPr>
          <w:rFonts w:hint="cs"/>
          <w:rtl/>
        </w:rPr>
        <w:t>22 בנובמבר 2015</w:t>
      </w:r>
      <w:r w:rsidR="00E20D1E">
        <w:rPr>
          <w:rFonts w:hint="cs"/>
          <w:rtl/>
        </w:rPr>
        <w:t xml:space="preserve"> </w:t>
      </w:r>
      <w:r w:rsidR="00EB22B8">
        <w:rPr>
          <w:rFonts w:hint="cs"/>
          <w:rtl/>
        </w:rPr>
        <w:t xml:space="preserve">נגזר עליה, בדעת רוב, עונש </w:t>
      </w:r>
      <w:r w:rsidR="00197121">
        <w:rPr>
          <w:rFonts w:hint="cs"/>
          <w:rtl/>
        </w:rPr>
        <w:t xml:space="preserve">מאסר בפועל, בכליאה ממשית, למשך </w:t>
      </w:r>
      <w:r w:rsidR="00EB22B8">
        <w:rPr>
          <w:rFonts w:hint="cs"/>
          <w:rtl/>
        </w:rPr>
        <w:t>30 ימי</w:t>
      </w:r>
      <w:r w:rsidR="00197121">
        <w:rPr>
          <w:rFonts w:hint="cs"/>
          <w:rtl/>
        </w:rPr>
        <w:t xml:space="preserve">ם, </w:t>
      </w:r>
      <w:r w:rsidR="007616CD">
        <w:rPr>
          <w:rFonts w:hint="cs"/>
          <w:rtl/>
        </w:rPr>
        <w:t xml:space="preserve">לצד </w:t>
      </w:r>
      <w:r w:rsidR="00EB22B8">
        <w:rPr>
          <w:rFonts w:hint="cs"/>
          <w:rtl/>
        </w:rPr>
        <w:t>עונשי מאסר מותנה</w:t>
      </w:r>
      <w:r w:rsidR="00197121">
        <w:rPr>
          <w:rFonts w:hint="cs"/>
          <w:rtl/>
        </w:rPr>
        <w:t xml:space="preserve"> ו</w:t>
      </w:r>
      <w:r w:rsidR="00EB22B8">
        <w:rPr>
          <w:rFonts w:hint="cs"/>
          <w:rtl/>
        </w:rPr>
        <w:t>הורדה לדרגת טוראי</w:t>
      </w:r>
      <w:r w:rsidR="00197121">
        <w:rPr>
          <w:rFonts w:hint="cs"/>
          <w:rtl/>
        </w:rPr>
        <w:t>. לנפגעת העבירה נפסקו</w:t>
      </w:r>
      <w:r w:rsidR="00EB22B8">
        <w:rPr>
          <w:rFonts w:hint="cs"/>
          <w:rtl/>
        </w:rPr>
        <w:t xml:space="preserve"> פיצויים בסך 3,000 ש"ח. </w:t>
      </w:r>
    </w:p>
    <w:p w14:paraId="1C1667F8" w14:textId="5E2581BA" w:rsidR="00AA30EA" w:rsidRDefault="006127FD" w:rsidP="007A09D7">
      <w:pPr>
        <w:numPr>
          <w:ilvl w:val="0"/>
          <w:numId w:val="21"/>
        </w:numPr>
        <w:ind w:left="0" w:hanging="2"/>
      </w:pPr>
      <w:r>
        <w:rPr>
          <w:rFonts w:hint="cs"/>
          <w:rtl/>
        </w:rPr>
        <w:t xml:space="preserve">איש </w:t>
      </w:r>
      <w:r w:rsidR="003B42A5">
        <w:rPr>
          <w:rFonts w:hint="cs"/>
          <w:rtl/>
        </w:rPr>
        <w:t>מ</w:t>
      </w:r>
      <w:r w:rsidR="00EB22B8">
        <w:rPr>
          <w:rFonts w:hint="cs"/>
          <w:rtl/>
        </w:rPr>
        <w:t>הצדדים לא השלי</w:t>
      </w:r>
      <w:r>
        <w:rPr>
          <w:rFonts w:hint="cs"/>
          <w:rtl/>
        </w:rPr>
        <w:t>ם</w:t>
      </w:r>
      <w:r w:rsidR="00EB22B8">
        <w:rPr>
          <w:rFonts w:hint="cs"/>
          <w:rtl/>
        </w:rPr>
        <w:t xml:space="preserve"> עם גזר דינ</w:t>
      </w:r>
      <w:r w:rsidR="007616CD">
        <w:rPr>
          <w:rFonts w:hint="cs"/>
          <w:rtl/>
        </w:rPr>
        <w:t>ו של בית הדין קמא.</w:t>
      </w:r>
      <w:r w:rsidR="00EB22B8">
        <w:rPr>
          <w:rFonts w:hint="cs"/>
          <w:rtl/>
        </w:rPr>
        <w:t xml:space="preserve"> </w:t>
      </w:r>
      <w:r w:rsidR="004D7F1C">
        <w:rPr>
          <w:rFonts w:hint="cs"/>
          <w:rtl/>
        </w:rPr>
        <w:t>המערערת (שיוצגה באותו מועד על ידי הסניגוריה הצבאית)</w:t>
      </w:r>
      <w:r w:rsidR="00EB22B8">
        <w:rPr>
          <w:rFonts w:hint="cs"/>
          <w:rtl/>
        </w:rPr>
        <w:t xml:space="preserve"> עתרה </w:t>
      </w:r>
      <w:r w:rsidR="00197121">
        <w:rPr>
          <w:rFonts w:hint="cs"/>
          <w:rtl/>
        </w:rPr>
        <w:t>לביטולו של רכיב המאסר בפועל</w:t>
      </w:r>
      <w:r w:rsidR="00682BDC">
        <w:rPr>
          <w:rFonts w:hint="cs"/>
          <w:rtl/>
        </w:rPr>
        <w:t xml:space="preserve">, ואילו </w:t>
      </w:r>
      <w:r w:rsidR="00EB22B8">
        <w:rPr>
          <w:rFonts w:hint="cs"/>
          <w:rtl/>
        </w:rPr>
        <w:t xml:space="preserve">התביעה עתרה </w:t>
      </w:r>
      <w:r w:rsidR="00A837BE">
        <w:rPr>
          <w:rFonts w:hint="cs"/>
          <w:rtl/>
        </w:rPr>
        <w:t>להחמרתו</w:t>
      </w:r>
      <w:r w:rsidR="00EB22B8">
        <w:rPr>
          <w:rFonts w:hint="cs"/>
          <w:rtl/>
        </w:rPr>
        <w:t>. הדיון בערעור</w:t>
      </w:r>
      <w:r w:rsidR="00A837BE">
        <w:rPr>
          <w:rFonts w:hint="cs"/>
          <w:rtl/>
        </w:rPr>
        <w:t>ים</w:t>
      </w:r>
      <w:r w:rsidR="00EB22B8">
        <w:rPr>
          <w:rFonts w:hint="cs"/>
          <w:rtl/>
        </w:rPr>
        <w:t xml:space="preserve"> התקיים </w:t>
      </w:r>
      <w:r w:rsidR="00A837BE">
        <w:rPr>
          <w:rFonts w:hint="cs"/>
          <w:rtl/>
        </w:rPr>
        <w:t xml:space="preserve">בחודש </w:t>
      </w:r>
      <w:r w:rsidR="00214D0B">
        <w:rPr>
          <w:rFonts w:hint="cs"/>
          <w:rtl/>
        </w:rPr>
        <w:t xml:space="preserve">מארס </w:t>
      </w:r>
      <w:r w:rsidR="00EB22B8">
        <w:rPr>
          <w:rFonts w:hint="cs"/>
          <w:rtl/>
        </w:rPr>
        <w:t>2016</w:t>
      </w:r>
      <w:r w:rsidR="007616CD">
        <w:rPr>
          <w:rFonts w:hint="cs"/>
          <w:rtl/>
        </w:rPr>
        <w:t>.</w:t>
      </w:r>
      <w:r w:rsidR="00EB22B8">
        <w:rPr>
          <w:rFonts w:hint="cs"/>
          <w:rtl/>
        </w:rPr>
        <w:t xml:space="preserve"> </w:t>
      </w:r>
      <w:r w:rsidR="00047310">
        <w:rPr>
          <w:rFonts w:hint="cs"/>
          <w:rtl/>
        </w:rPr>
        <w:t>נשמעו טיעוני הצדדים</w:t>
      </w:r>
      <w:r w:rsidR="007616CD">
        <w:rPr>
          <w:rFonts w:hint="cs"/>
          <w:rtl/>
        </w:rPr>
        <w:t>,</w:t>
      </w:r>
      <w:r w:rsidR="00047310">
        <w:rPr>
          <w:rFonts w:hint="cs"/>
          <w:rtl/>
        </w:rPr>
        <w:t xml:space="preserve"> </w:t>
      </w:r>
      <w:r w:rsidR="00AE5BC1">
        <w:rPr>
          <w:rFonts w:hint="cs"/>
          <w:rtl/>
        </w:rPr>
        <w:t xml:space="preserve">המערערת נשלחה לראיון במשרדה של רמ"ד שיקום </w:t>
      </w:r>
      <w:proofErr w:type="spellStart"/>
      <w:r w:rsidR="00AE5BC1">
        <w:rPr>
          <w:rFonts w:hint="cs"/>
          <w:rtl/>
        </w:rPr>
        <w:t>במקמצ"ר</w:t>
      </w:r>
      <w:proofErr w:type="spellEnd"/>
      <w:r w:rsidR="00AE5BC1">
        <w:rPr>
          <w:rFonts w:hint="cs"/>
          <w:rtl/>
        </w:rPr>
        <w:t xml:space="preserve"> </w:t>
      </w:r>
      <w:r w:rsidR="007616CD">
        <w:rPr>
          <w:rFonts w:hint="cs"/>
          <w:rtl/>
        </w:rPr>
        <w:t>ו</w:t>
      </w:r>
      <w:r w:rsidR="00047310">
        <w:rPr>
          <w:rFonts w:hint="cs"/>
          <w:rtl/>
        </w:rPr>
        <w:t xml:space="preserve">נבחנה האפשרות </w:t>
      </w:r>
      <w:r w:rsidR="004D7F1C">
        <w:rPr>
          <w:rFonts w:hint="cs"/>
          <w:rtl/>
        </w:rPr>
        <w:t>לסיום התיק בהסכמה</w:t>
      </w:r>
      <w:r w:rsidR="008D71D1">
        <w:rPr>
          <w:rFonts w:hint="cs"/>
          <w:rtl/>
        </w:rPr>
        <w:t xml:space="preserve">, כך שעונש המאסר בפועל ירוצה בדרך </w:t>
      </w:r>
      <w:r w:rsidR="00047310">
        <w:rPr>
          <w:rFonts w:hint="cs"/>
          <w:rtl/>
        </w:rPr>
        <w:t>של עבודה צבאית</w:t>
      </w:r>
      <w:r w:rsidR="007616CD">
        <w:rPr>
          <w:rFonts w:hint="cs"/>
          <w:rtl/>
        </w:rPr>
        <w:t>;</w:t>
      </w:r>
      <w:r w:rsidR="004D7F1C">
        <w:rPr>
          <w:rFonts w:hint="cs"/>
          <w:rtl/>
        </w:rPr>
        <w:t xml:space="preserve"> אולם לבסוף</w:t>
      </w:r>
      <w:r w:rsidR="00A837BE">
        <w:rPr>
          <w:rFonts w:hint="cs"/>
          <w:rtl/>
        </w:rPr>
        <w:t>, ביום</w:t>
      </w:r>
      <w:r w:rsidR="00F26CC1">
        <w:rPr>
          <w:rFonts w:hint="cs"/>
          <w:rtl/>
        </w:rPr>
        <w:t xml:space="preserve"> 17  </w:t>
      </w:r>
      <w:r w:rsidR="00214D0B">
        <w:rPr>
          <w:rFonts w:hint="cs"/>
          <w:rtl/>
        </w:rPr>
        <w:t xml:space="preserve"> באוגוסט 2016 </w:t>
      </w:r>
      <w:r w:rsidR="004D7F1C">
        <w:rPr>
          <w:rFonts w:hint="cs"/>
          <w:rtl/>
        </w:rPr>
        <w:t xml:space="preserve">הודיעה התביעה כי לא הושגו הסכמות בין הצדדים וכי היא עומדת על ערעורה. </w:t>
      </w:r>
      <w:r w:rsidR="00A837BE">
        <w:rPr>
          <w:rFonts w:hint="cs"/>
          <w:rtl/>
        </w:rPr>
        <w:t xml:space="preserve">מאז, </w:t>
      </w:r>
      <w:r w:rsidR="004D7F1C">
        <w:rPr>
          <w:rFonts w:hint="cs"/>
          <w:rtl/>
        </w:rPr>
        <w:t xml:space="preserve">לא ניתן פסק דין.  </w:t>
      </w:r>
      <w:r w:rsidR="00EB22B8">
        <w:rPr>
          <w:rFonts w:hint="cs"/>
          <w:rtl/>
        </w:rPr>
        <w:t xml:space="preserve"> </w:t>
      </w:r>
    </w:p>
    <w:p w14:paraId="229F6771" w14:textId="77777777" w:rsidR="00F26CC1" w:rsidRDefault="006127FD" w:rsidP="007A09D7">
      <w:pPr>
        <w:numPr>
          <w:ilvl w:val="0"/>
          <w:numId w:val="21"/>
        </w:numPr>
        <w:ind w:left="0" w:hanging="2"/>
      </w:pPr>
      <w:r>
        <w:rPr>
          <w:rFonts w:hint="cs"/>
          <w:rtl/>
        </w:rPr>
        <w:t>ב</w:t>
      </w:r>
      <w:r w:rsidR="00E20D1E">
        <w:rPr>
          <w:rFonts w:hint="cs"/>
          <w:rtl/>
        </w:rPr>
        <w:t xml:space="preserve">ימים </w:t>
      </w:r>
      <w:r w:rsidR="00214D0B">
        <w:rPr>
          <w:rFonts w:hint="cs"/>
          <w:rtl/>
        </w:rPr>
        <w:t>13 במאי 2022 ו-19 ביוני 2022</w:t>
      </w:r>
      <w:r w:rsidR="00E20D1E">
        <w:rPr>
          <w:rFonts w:hint="cs"/>
          <w:rtl/>
        </w:rPr>
        <w:t xml:space="preserve"> התקיימו בתיק </w:t>
      </w:r>
      <w:r w:rsidR="008D71D1">
        <w:rPr>
          <w:rFonts w:hint="cs"/>
          <w:rtl/>
        </w:rPr>
        <w:t xml:space="preserve">ישיבות </w:t>
      </w:r>
      <w:r w:rsidR="00E20D1E">
        <w:rPr>
          <w:rFonts w:hint="cs"/>
          <w:rtl/>
        </w:rPr>
        <w:t>תזכורת במעמד הצדדים, אך נמסר כי לא עלה בידיהם להגיע להסכמות ביחס לערעורים התלויים ועומדים. משכך, ב</w:t>
      </w:r>
      <w:r>
        <w:rPr>
          <w:rFonts w:hint="cs"/>
          <w:rtl/>
        </w:rPr>
        <w:t>יום 30 ביוני 2022</w:t>
      </w:r>
      <w:r w:rsidR="008D71D1">
        <w:rPr>
          <w:rFonts w:hint="cs"/>
          <w:rtl/>
        </w:rPr>
        <w:t>,</w:t>
      </w:r>
      <w:r w:rsidR="00E20D1E">
        <w:rPr>
          <w:rFonts w:hint="cs"/>
          <w:rtl/>
        </w:rPr>
        <w:t xml:space="preserve"> </w:t>
      </w:r>
      <w:r w:rsidR="002B0678">
        <w:rPr>
          <w:rFonts w:hint="cs"/>
          <w:rtl/>
        </w:rPr>
        <w:t>הורתה</w:t>
      </w:r>
      <w:r>
        <w:rPr>
          <w:rFonts w:hint="cs"/>
          <w:rtl/>
        </w:rPr>
        <w:t xml:space="preserve"> </w:t>
      </w:r>
      <w:r w:rsidR="002B0678">
        <w:rPr>
          <w:rFonts w:hint="cs"/>
          <w:rtl/>
        </w:rPr>
        <w:t xml:space="preserve">נשיאת בית הדין הצבאי לערעורים על חידוש </w:t>
      </w:r>
      <w:r w:rsidR="00E20D1E">
        <w:rPr>
          <w:rFonts w:hint="cs"/>
          <w:rtl/>
        </w:rPr>
        <w:t>הדיון ב</w:t>
      </w:r>
      <w:r w:rsidR="002B0678">
        <w:rPr>
          <w:rFonts w:hint="cs"/>
          <w:rtl/>
        </w:rPr>
        <w:t>ערעור</w:t>
      </w:r>
      <w:r w:rsidR="00E20D1E">
        <w:rPr>
          <w:rFonts w:hint="cs"/>
          <w:rtl/>
        </w:rPr>
        <w:t>ים</w:t>
      </w:r>
      <w:r w:rsidR="002B0678">
        <w:rPr>
          <w:rFonts w:hint="cs"/>
          <w:rtl/>
        </w:rPr>
        <w:t xml:space="preserve">, והדיון </w:t>
      </w:r>
      <w:r w:rsidR="00E20D1E">
        <w:rPr>
          <w:rFonts w:hint="cs"/>
          <w:rtl/>
        </w:rPr>
        <w:t xml:space="preserve">בהם </w:t>
      </w:r>
      <w:r w:rsidR="002B0678">
        <w:rPr>
          <w:rFonts w:hint="cs"/>
          <w:rtl/>
        </w:rPr>
        <w:t xml:space="preserve">נקבע </w:t>
      </w:r>
      <w:r w:rsidR="00E20D1E">
        <w:rPr>
          <w:rFonts w:hint="cs"/>
          <w:rtl/>
        </w:rPr>
        <w:t>ל</w:t>
      </w:r>
      <w:r w:rsidR="002B0678">
        <w:rPr>
          <w:rFonts w:hint="cs"/>
          <w:rtl/>
        </w:rPr>
        <w:t>פני מותב חדש.</w:t>
      </w:r>
    </w:p>
    <w:p w14:paraId="5850256D" w14:textId="776961F7" w:rsidR="002B0678" w:rsidRDefault="00E20D1E" w:rsidP="007A09D7">
      <w:pPr>
        <w:numPr>
          <w:ilvl w:val="0"/>
          <w:numId w:val="21"/>
        </w:numPr>
        <w:ind w:left="0" w:hanging="2"/>
      </w:pPr>
      <w:r>
        <w:rPr>
          <w:rFonts w:hint="cs"/>
          <w:rtl/>
        </w:rPr>
        <w:t>בפתח הדיון</w:t>
      </w:r>
      <w:r w:rsidR="006127FD">
        <w:rPr>
          <w:rFonts w:hint="cs"/>
          <w:rtl/>
        </w:rPr>
        <w:t xml:space="preserve">, הודיעה </w:t>
      </w:r>
      <w:r w:rsidR="00327CDE">
        <w:rPr>
          <w:rFonts w:hint="cs"/>
          <w:rtl/>
        </w:rPr>
        <w:t>המערערת</w:t>
      </w:r>
      <w:r>
        <w:rPr>
          <w:rFonts w:hint="cs"/>
          <w:rtl/>
        </w:rPr>
        <w:t>,</w:t>
      </w:r>
      <w:r w:rsidR="00327CDE">
        <w:rPr>
          <w:rFonts w:hint="cs"/>
          <w:rtl/>
        </w:rPr>
        <w:t xml:space="preserve"> באמצעות בא כוחה החדש (עו"ד אלון ארז)</w:t>
      </w:r>
      <w:r w:rsidR="00327CDE">
        <w:rPr>
          <w:rFonts w:hint="cs"/>
        </w:rPr>
        <w:t xml:space="preserve"> </w:t>
      </w:r>
      <w:r w:rsidR="006127FD">
        <w:rPr>
          <w:rFonts w:hint="cs"/>
          <w:rtl/>
        </w:rPr>
        <w:t xml:space="preserve">כי בכוונתה </w:t>
      </w:r>
      <w:r w:rsidR="008D71D1">
        <w:rPr>
          <w:rFonts w:hint="cs"/>
          <w:rtl/>
        </w:rPr>
        <w:t xml:space="preserve">להשיג על הכרעת הדין ולהעלות </w:t>
      </w:r>
      <w:r w:rsidR="006127FD">
        <w:rPr>
          <w:rFonts w:hint="cs"/>
          <w:rtl/>
        </w:rPr>
        <w:t>טענות של הגנה מן הצדק, המבוסס</w:t>
      </w:r>
      <w:r w:rsidR="00327CDE">
        <w:rPr>
          <w:rFonts w:hint="cs"/>
          <w:rtl/>
        </w:rPr>
        <w:t>ות</w:t>
      </w:r>
      <w:r w:rsidR="006127FD">
        <w:rPr>
          <w:rFonts w:hint="cs"/>
          <w:rtl/>
        </w:rPr>
        <w:t xml:space="preserve"> על השיהוי שחל בשמיעת הערעור</w:t>
      </w:r>
      <w:r w:rsidR="008D71D1">
        <w:rPr>
          <w:rFonts w:hint="cs"/>
          <w:rtl/>
        </w:rPr>
        <w:t xml:space="preserve">. ההגנה </w:t>
      </w:r>
      <w:r w:rsidR="006127FD">
        <w:rPr>
          <w:rFonts w:hint="cs"/>
          <w:rtl/>
        </w:rPr>
        <w:t xml:space="preserve">ביקשה לתקן בהתאם את הודעת הערעור. התביעה התנגדה </w:t>
      </w:r>
      <w:r>
        <w:rPr>
          <w:rFonts w:hint="cs"/>
          <w:rtl/>
        </w:rPr>
        <w:t>ל</w:t>
      </w:r>
      <w:r w:rsidR="008D71D1">
        <w:rPr>
          <w:rFonts w:hint="cs"/>
          <w:rtl/>
        </w:rPr>
        <w:t>בקשה</w:t>
      </w:r>
      <w:r w:rsidR="006127FD">
        <w:rPr>
          <w:rFonts w:hint="cs"/>
          <w:rtl/>
        </w:rPr>
        <w:t>. לאחר קבלת נימוקיהם הכתובים של הצדדים</w:t>
      </w:r>
      <w:r>
        <w:rPr>
          <w:rFonts w:hint="cs"/>
          <w:rtl/>
        </w:rPr>
        <w:t>,</w:t>
      </w:r>
      <w:r w:rsidR="006127FD">
        <w:rPr>
          <w:rFonts w:hint="cs"/>
          <w:rtl/>
        </w:rPr>
        <w:t xml:space="preserve"> מצאנו להיעתר לבקשת ההגנה, </w:t>
      </w:r>
      <w:r w:rsidR="00327CDE">
        <w:rPr>
          <w:rFonts w:hint="cs"/>
          <w:rtl/>
        </w:rPr>
        <w:t>וזו</w:t>
      </w:r>
      <w:r w:rsidR="006127FD">
        <w:rPr>
          <w:rFonts w:hint="cs"/>
          <w:rtl/>
        </w:rPr>
        <w:t xml:space="preserve"> הגישה כתב ערעור מתוקן. בהתאם לכתב הערעור המתוקן נערך דיון נוסף בערעור</w:t>
      </w:r>
      <w:r w:rsidR="008D71D1">
        <w:rPr>
          <w:rFonts w:hint="cs"/>
          <w:rtl/>
        </w:rPr>
        <w:t>י</w:t>
      </w:r>
      <w:r w:rsidR="006127FD">
        <w:rPr>
          <w:rFonts w:hint="cs"/>
          <w:rtl/>
        </w:rPr>
        <w:t xml:space="preserve">ם של הצדדים, וכעת בשלה העת למתן פסק דיננו. </w:t>
      </w:r>
    </w:p>
    <w:p w14:paraId="19541031" w14:textId="253513E5" w:rsidR="00A909F3" w:rsidRDefault="00A909F3" w:rsidP="007A09D7">
      <w:pPr>
        <w:ind w:hanging="2"/>
        <w:rPr>
          <w:b/>
          <w:bCs/>
          <w:u w:val="single"/>
          <w:rtl/>
        </w:rPr>
      </w:pPr>
    </w:p>
    <w:p w14:paraId="5FAB87FA" w14:textId="2DA4F4F6" w:rsidR="007A09D7" w:rsidRDefault="006127FD" w:rsidP="007A09D7">
      <w:pPr>
        <w:ind w:hanging="2"/>
        <w:rPr>
          <w:b/>
          <w:bCs/>
          <w:u w:val="single"/>
          <w:rtl/>
        </w:rPr>
      </w:pPr>
      <w:r>
        <w:rPr>
          <w:rFonts w:hint="cs"/>
          <w:b/>
          <w:bCs/>
          <w:u w:val="single"/>
          <w:rtl/>
        </w:rPr>
        <w:t>נסיבות ההרשעה</w:t>
      </w:r>
    </w:p>
    <w:p w14:paraId="5255907A" w14:textId="77777777" w:rsidR="00A909F3" w:rsidRPr="002B0678" w:rsidRDefault="00A909F3" w:rsidP="007A09D7">
      <w:pPr>
        <w:ind w:hanging="2"/>
        <w:rPr>
          <w:b/>
          <w:bCs/>
          <w:u w:val="single"/>
          <w:rtl/>
        </w:rPr>
      </w:pPr>
    </w:p>
    <w:p w14:paraId="731F5F33" w14:textId="77777777" w:rsidR="00E73CEA" w:rsidRDefault="006127FD" w:rsidP="007A09D7">
      <w:pPr>
        <w:numPr>
          <w:ilvl w:val="0"/>
          <w:numId w:val="21"/>
        </w:numPr>
        <w:ind w:left="0" w:hanging="2"/>
      </w:pPr>
      <w:r>
        <w:rPr>
          <w:rFonts w:hint="cs"/>
          <w:rtl/>
        </w:rPr>
        <w:t xml:space="preserve">כתב האישום שהוגש כנגד המערערת ייחס לה שני סעיפים של פגיעה בפרטיות, בגין אירועים משנת 2014, אז שירתה המערערת </w:t>
      </w:r>
      <w:r w:rsidR="00327CDE">
        <w:rPr>
          <w:rFonts w:hint="cs"/>
          <w:rtl/>
        </w:rPr>
        <w:t>ב</w:t>
      </w:r>
      <w:r>
        <w:rPr>
          <w:rFonts w:hint="cs"/>
          <w:rtl/>
        </w:rPr>
        <w:t>פיקוד העורף</w:t>
      </w:r>
      <w:r w:rsidR="007C7456">
        <w:rPr>
          <w:rFonts w:hint="cs"/>
          <w:rtl/>
        </w:rPr>
        <w:t xml:space="preserve"> בתפקיד בודקת ציוד אלקטרוני</w:t>
      </w:r>
      <w:r>
        <w:rPr>
          <w:rFonts w:hint="cs"/>
          <w:rtl/>
        </w:rPr>
        <w:t>.</w:t>
      </w:r>
    </w:p>
    <w:p w14:paraId="15942629" w14:textId="77777777" w:rsidR="00293048" w:rsidRDefault="006127FD" w:rsidP="007A09D7">
      <w:pPr>
        <w:numPr>
          <w:ilvl w:val="0"/>
          <w:numId w:val="21"/>
        </w:numPr>
        <w:ind w:left="0" w:hanging="2"/>
      </w:pPr>
      <w:r>
        <w:rPr>
          <w:rFonts w:hint="cs"/>
          <w:rtl/>
        </w:rPr>
        <w:t xml:space="preserve">המערערת </w:t>
      </w:r>
      <w:r w:rsidR="00E20D1E">
        <w:rPr>
          <w:rFonts w:hint="cs"/>
          <w:rtl/>
        </w:rPr>
        <w:t xml:space="preserve">כפרה במיוחס לה. לאחר שמיעת ראיות, </w:t>
      </w:r>
      <w:r>
        <w:rPr>
          <w:rFonts w:hint="cs"/>
          <w:rtl/>
        </w:rPr>
        <w:t>זוכתה</w:t>
      </w:r>
      <w:r w:rsidR="0087292F">
        <w:rPr>
          <w:rFonts w:hint="cs"/>
          <w:rtl/>
        </w:rPr>
        <w:t>, מחמת הספק,</w:t>
      </w:r>
      <w:r>
        <w:rPr>
          <w:rFonts w:hint="cs"/>
          <w:rtl/>
        </w:rPr>
        <w:t xml:space="preserve"> מ</w:t>
      </w:r>
      <w:r w:rsidR="00327CDE">
        <w:rPr>
          <w:rFonts w:hint="cs"/>
          <w:rtl/>
        </w:rPr>
        <w:t>פרט האישום הראשון</w:t>
      </w:r>
      <w:r w:rsidR="00DF4C1B">
        <w:rPr>
          <w:rFonts w:hint="cs"/>
          <w:rtl/>
        </w:rPr>
        <w:t>,</w:t>
      </w:r>
      <w:r>
        <w:rPr>
          <w:rFonts w:hint="cs"/>
          <w:rtl/>
        </w:rPr>
        <w:t xml:space="preserve"> ש</w:t>
      </w:r>
      <w:r w:rsidR="00842803">
        <w:rPr>
          <w:rFonts w:hint="cs"/>
          <w:rtl/>
        </w:rPr>
        <w:t xml:space="preserve">ייחס לה שליחת תמונה של נפגעת העבירה (אף היא חיילת ביחידה), </w:t>
      </w:r>
      <w:r w:rsidR="00DF4C1B">
        <w:rPr>
          <w:rFonts w:hint="cs"/>
          <w:rtl/>
        </w:rPr>
        <w:t>ש</w:t>
      </w:r>
      <w:r w:rsidR="00842803">
        <w:rPr>
          <w:rFonts w:hint="cs"/>
          <w:rtl/>
        </w:rPr>
        <w:t xml:space="preserve">בה מצולמת </w:t>
      </w:r>
      <w:r w:rsidR="00327CDE">
        <w:rPr>
          <w:rFonts w:hint="cs"/>
          <w:rtl/>
        </w:rPr>
        <w:lastRenderedPageBreak/>
        <w:t xml:space="preserve">האחרונה </w:t>
      </w:r>
      <w:r w:rsidR="00842803">
        <w:rPr>
          <w:rFonts w:hint="cs"/>
          <w:rtl/>
        </w:rPr>
        <w:t>בעירום מלא</w:t>
      </w:r>
      <w:r w:rsidR="00327CDE">
        <w:rPr>
          <w:rFonts w:hint="cs"/>
          <w:rtl/>
        </w:rPr>
        <w:t>,</w:t>
      </w:r>
      <w:r w:rsidR="00842803">
        <w:rPr>
          <w:rFonts w:hint="cs"/>
          <w:rtl/>
        </w:rPr>
        <w:t xml:space="preserve"> ממכשיר הטלפון הסלולארי של נפגעת העבירה אליה, ללא הסכמתה וידיעתה של </w:t>
      </w:r>
      <w:r w:rsidR="00DF4C1B">
        <w:rPr>
          <w:rFonts w:hint="cs"/>
          <w:rtl/>
        </w:rPr>
        <w:t>ה</w:t>
      </w:r>
      <w:r w:rsidR="00842803">
        <w:rPr>
          <w:rFonts w:hint="cs"/>
          <w:rtl/>
        </w:rPr>
        <w:t xml:space="preserve">נפגעת. </w:t>
      </w:r>
      <w:r w:rsidR="0087292F">
        <w:rPr>
          <w:rFonts w:hint="cs"/>
          <w:rtl/>
        </w:rPr>
        <w:t xml:space="preserve">נקבע כי </w:t>
      </w:r>
      <w:r w:rsidR="00327CDE">
        <w:rPr>
          <w:rFonts w:hint="cs"/>
          <w:rtl/>
        </w:rPr>
        <w:t>על אף ש</w:t>
      </w:r>
      <w:r w:rsidR="0087292F">
        <w:rPr>
          <w:rFonts w:hint="cs"/>
          <w:rtl/>
        </w:rPr>
        <w:t>התמונה האמורה אכן נשלחה ממכשירה של נפגעת העבירה אל מכשירה הסלולארי של המערערת, קיים ספק סביר בשאלה האם המערערת היא שעשתה כן.</w:t>
      </w:r>
      <w:r w:rsidR="004D7F1C">
        <w:rPr>
          <w:rFonts w:hint="cs"/>
          <w:rtl/>
        </w:rPr>
        <w:t xml:space="preserve"> כן זוכתה </w:t>
      </w:r>
      <w:r w:rsidR="00327CDE">
        <w:rPr>
          <w:rFonts w:hint="cs"/>
          <w:rtl/>
        </w:rPr>
        <w:t>המערערת</w:t>
      </w:r>
      <w:r w:rsidR="00DF4C1B">
        <w:rPr>
          <w:rFonts w:hint="cs"/>
          <w:rtl/>
        </w:rPr>
        <w:t>,</w:t>
      </w:r>
      <w:r w:rsidR="00327CDE">
        <w:rPr>
          <w:rFonts w:hint="cs"/>
          <w:rtl/>
        </w:rPr>
        <w:t xml:space="preserve"> </w:t>
      </w:r>
      <w:r w:rsidR="004D7F1C">
        <w:rPr>
          <w:rFonts w:hint="cs"/>
          <w:rtl/>
        </w:rPr>
        <w:t xml:space="preserve">משני </w:t>
      </w:r>
      <w:r w:rsidR="00DF4C1B">
        <w:rPr>
          <w:rFonts w:hint="cs"/>
          <w:rtl/>
        </w:rPr>
        <w:t>תת-</w:t>
      </w:r>
      <w:r w:rsidR="004D7F1C">
        <w:rPr>
          <w:rFonts w:hint="cs"/>
          <w:rtl/>
        </w:rPr>
        <w:t>סעיפי אישום בפרט האישום השני, שייחסו לה את הצגת התמונה לחיילים אחרים</w:t>
      </w:r>
      <w:r w:rsidR="00AE5BC1">
        <w:rPr>
          <w:rFonts w:hint="cs"/>
          <w:rtl/>
        </w:rPr>
        <w:t xml:space="preserve"> (מאחד מהם זוכתה לאור עמדת התביעה, שלא עתרה להרשיעה בתת סעיף זה)</w:t>
      </w:r>
      <w:r w:rsidR="00F26CC1">
        <w:rPr>
          <w:rFonts w:hint="cs"/>
          <w:rtl/>
        </w:rPr>
        <w:t>.</w:t>
      </w:r>
    </w:p>
    <w:p w14:paraId="6F88A578" w14:textId="77777777" w:rsidR="00E73CEA" w:rsidRDefault="006127FD" w:rsidP="007A09D7">
      <w:pPr>
        <w:numPr>
          <w:ilvl w:val="0"/>
          <w:numId w:val="21"/>
        </w:numPr>
        <w:ind w:left="0" w:hanging="2"/>
      </w:pPr>
      <w:r>
        <w:rPr>
          <w:rFonts w:hint="cs"/>
          <w:rtl/>
        </w:rPr>
        <w:t>לצד זאת הורשעה המערערת ב</w:t>
      </w:r>
      <w:r w:rsidR="00DF4C1B">
        <w:rPr>
          <w:rFonts w:hint="cs"/>
          <w:rtl/>
        </w:rPr>
        <w:t>תתי סעיפים אחרים ב</w:t>
      </w:r>
      <w:r w:rsidR="004D7F1C">
        <w:rPr>
          <w:rFonts w:hint="cs"/>
          <w:rtl/>
        </w:rPr>
        <w:t>פרט</w:t>
      </w:r>
      <w:r>
        <w:rPr>
          <w:rFonts w:hint="cs"/>
          <w:rtl/>
        </w:rPr>
        <w:t xml:space="preserve"> </w:t>
      </w:r>
      <w:r w:rsidR="00327CDE">
        <w:rPr>
          <w:rFonts w:hint="cs"/>
          <w:rtl/>
        </w:rPr>
        <w:t>ה</w:t>
      </w:r>
      <w:r>
        <w:rPr>
          <w:rFonts w:hint="cs"/>
          <w:rtl/>
        </w:rPr>
        <w:t xml:space="preserve">אישום </w:t>
      </w:r>
      <w:r w:rsidR="00327CDE">
        <w:rPr>
          <w:rFonts w:hint="cs"/>
          <w:rtl/>
        </w:rPr>
        <w:t>השני</w:t>
      </w:r>
      <w:r w:rsidR="00DF4C1B">
        <w:rPr>
          <w:rFonts w:hint="cs"/>
          <w:rtl/>
        </w:rPr>
        <w:t>,</w:t>
      </w:r>
      <w:r w:rsidR="00327CDE">
        <w:rPr>
          <w:rFonts w:hint="cs"/>
          <w:rtl/>
        </w:rPr>
        <w:t xml:space="preserve"> </w:t>
      </w:r>
      <w:r>
        <w:rPr>
          <w:rFonts w:hint="cs"/>
          <w:rtl/>
        </w:rPr>
        <w:t>שייחס</w:t>
      </w:r>
      <w:r w:rsidR="00DF4C1B">
        <w:rPr>
          <w:rFonts w:hint="cs"/>
          <w:rtl/>
        </w:rPr>
        <w:t>ו</w:t>
      </w:r>
      <w:r>
        <w:rPr>
          <w:rFonts w:hint="cs"/>
          <w:rtl/>
        </w:rPr>
        <w:t xml:space="preserve"> ל</w:t>
      </w:r>
      <w:r w:rsidR="003311E6">
        <w:rPr>
          <w:rFonts w:hint="cs"/>
          <w:rtl/>
        </w:rPr>
        <w:t>ה הפצה של התמונה האמורה, במספר הזדמנויות</w:t>
      </w:r>
      <w:r w:rsidR="00327CDE">
        <w:rPr>
          <w:rFonts w:hint="cs"/>
          <w:rtl/>
        </w:rPr>
        <w:t xml:space="preserve"> נוספות</w:t>
      </w:r>
      <w:r w:rsidR="003311E6">
        <w:rPr>
          <w:rFonts w:hint="cs"/>
          <w:rtl/>
        </w:rPr>
        <w:t xml:space="preserve">: </w:t>
      </w:r>
    </w:p>
    <w:p w14:paraId="6840DDBC" w14:textId="77777777" w:rsidR="003311E6" w:rsidRDefault="006127FD" w:rsidP="007A09D7">
      <w:pPr>
        <w:pStyle w:val="a9"/>
        <w:numPr>
          <w:ilvl w:val="0"/>
          <w:numId w:val="22"/>
        </w:numPr>
        <w:ind w:left="0" w:hanging="2"/>
      </w:pPr>
      <w:r>
        <w:rPr>
          <w:rFonts w:hint="cs"/>
          <w:rtl/>
        </w:rPr>
        <w:t>בכך שבינואר 2014 שלחה את התמונה ממכשירה הסלולארי אל מכשירי הטלפון הסלולאריים של שני חיילים, סמל חן ורב"ט רות</w:t>
      </w:r>
      <w:r w:rsidR="009578C5">
        <w:rPr>
          <w:rFonts w:hint="cs"/>
          <w:rtl/>
        </w:rPr>
        <w:t xml:space="preserve"> (המערערת הודתה לבסוף בעדותה </w:t>
      </w:r>
      <w:r w:rsidR="008D71D1">
        <w:rPr>
          <w:rFonts w:hint="cs"/>
          <w:rtl/>
        </w:rPr>
        <w:t>ב</w:t>
      </w:r>
      <w:r w:rsidR="009578C5">
        <w:rPr>
          <w:rFonts w:hint="cs"/>
          <w:rtl/>
        </w:rPr>
        <w:t>בית הדין בפרט זה, על אף שכפרה בו בתחילה)</w:t>
      </w:r>
      <w:r>
        <w:rPr>
          <w:rFonts w:hint="cs"/>
          <w:rtl/>
        </w:rPr>
        <w:t xml:space="preserve">. </w:t>
      </w:r>
    </w:p>
    <w:p w14:paraId="1B8759EE" w14:textId="77777777" w:rsidR="003311E6" w:rsidRDefault="006127FD" w:rsidP="007A09D7">
      <w:pPr>
        <w:pStyle w:val="a9"/>
        <w:numPr>
          <w:ilvl w:val="0"/>
          <w:numId w:val="22"/>
        </w:numPr>
        <w:ind w:left="0" w:hanging="2"/>
      </w:pPr>
      <w:r>
        <w:rPr>
          <w:rFonts w:hint="cs"/>
          <w:rtl/>
        </w:rPr>
        <w:t>בכך שבמהלך חודש אפריל 2014 ישבה עם חייל נוסף, סמל משה, בפינת העישון ביחידה, והר</w:t>
      </w:r>
      <w:r w:rsidR="00C92F52">
        <w:rPr>
          <w:rFonts w:hint="cs"/>
          <w:rtl/>
        </w:rPr>
        <w:t>א</w:t>
      </w:r>
      <w:r>
        <w:rPr>
          <w:rFonts w:hint="cs"/>
          <w:rtl/>
        </w:rPr>
        <w:t xml:space="preserve">תה לו את התמונה באמצעות מכשירה הסלולארי, תוך שביקשה ממנו לא לספר על כך לאיש. </w:t>
      </w:r>
    </w:p>
    <w:p w14:paraId="3291B0C4" w14:textId="77777777" w:rsidR="003311E6" w:rsidRDefault="006127FD" w:rsidP="007A09D7">
      <w:pPr>
        <w:pStyle w:val="a9"/>
        <w:numPr>
          <w:ilvl w:val="0"/>
          <w:numId w:val="22"/>
        </w:numPr>
        <w:ind w:left="0" w:hanging="2"/>
      </w:pPr>
      <w:r>
        <w:rPr>
          <w:rFonts w:hint="cs"/>
          <w:rtl/>
        </w:rPr>
        <w:t>בכך שבמהלך חודש אפריל 2014 הראתה המערערת לטור' אלירן, חייל ביחידה, את התמונה, באמצעות מכשירה הסלולארי (פרט שאף בו הודתה המערערת</w:t>
      </w:r>
      <w:r w:rsidR="008D71D1">
        <w:rPr>
          <w:rFonts w:hint="cs"/>
          <w:rtl/>
        </w:rPr>
        <w:t xml:space="preserve"> בעדותה</w:t>
      </w:r>
      <w:r>
        <w:rPr>
          <w:rFonts w:hint="cs"/>
          <w:rtl/>
        </w:rPr>
        <w:t xml:space="preserve">). </w:t>
      </w:r>
    </w:p>
    <w:p w14:paraId="1A37169D" w14:textId="77777777" w:rsidR="00A10355" w:rsidRDefault="006127FD" w:rsidP="007A09D7">
      <w:pPr>
        <w:numPr>
          <w:ilvl w:val="0"/>
          <w:numId w:val="21"/>
        </w:numPr>
        <w:ind w:left="0" w:hanging="2"/>
      </w:pPr>
      <w:r>
        <w:rPr>
          <w:rFonts w:hint="cs"/>
          <w:rtl/>
        </w:rPr>
        <w:t xml:space="preserve">בגזר דינו עמד בית הדין הצבאי המחוזי הנכבד על נסיבותיה של המערערת: מדובר במי שהשלימה שירות צבאי מלא, </w:t>
      </w:r>
      <w:r w:rsidR="00DF4C1B">
        <w:rPr>
          <w:rFonts w:hint="cs"/>
          <w:rtl/>
        </w:rPr>
        <w:t>ש</w:t>
      </w:r>
      <w:r>
        <w:rPr>
          <w:rFonts w:hint="cs"/>
          <w:rtl/>
        </w:rPr>
        <w:t xml:space="preserve">במהלכו התמודדה עם בעיות רפואיות, לרבות </w:t>
      </w:r>
      <w:r w:rsidR="008D71D1">
        <w:rPr>
          <w:rFonts w:hint="cs"/>
          <w:rtl/>
        </w:rPr>
        <w:t>כאלו שהתעורר</w:t>
      </w:r>
      <w:r w:rsidR="00214D0B">
        <w:rPr>
          <w:rFonts w:hint="cs"/>
          <w:rtl/>
        </w:rPr>
        <w:t>ו</w:t>
      </w:r>
      <w:r w:rsidR="008D71D1">
        <w:rPr>
          <w:rFonts w:hint="cs"/>
          <w:rtl/>
        </w:rPr>
        <w:t xml:space="preserve"> </w:t>
      </w:r>
      <w:r>
        <w:rPr>
          <w:rFonts w:hint="cs"/>
          <w:rtl/>
        </w:rPr>
        <w:t>בעקבות תאונת דרכים שעברה. אביה חלה בסרטן והוכר כנכה על ידי המוסד לביטוח לאומי. בעת מתן גזר הדין עבדה המערערת כמזכירה במשרד עו</w:t>
      </w:r>
      <w:r w:rsidR="00DF4C1B">
        <w:rPr>
          <w:rFonts w:hint="cs"/>
          <w:rtl/>
        </w:rPr>
        <w:t xml:space="preserve">רכי דין, </w:t>
      </w:r>
      <w:r>
        <w:rPr>
          <w:rFonts w:hint="cs"/>
          <w:rtl/>
        </w:rPr>
        <w:t xml:space="preserve">ומצבה הכלכלי לא היה שפיר. צוין, כי המערערת </w:t>
      </w:r>
      <w:r w:rsidR="00C15F03">
        <w:rPr>
          <w:rFonts w:hint="cs"/>
          <w:rtl/>
        </w:rPr>
        <w:t>מסרה שלמדה את לקחה מהאירוע ו</w:t>
      </w:r>
      <w:r>
        <w:rPr>
          <w:rFonts w:hint="cs"/>
          <w:rtl/>
        </w:rPr>
        <w:t xml:space="preserve">התנצלה "בחצי פה", </w:t>
      </w:r>
      <w:r w:rsidR="00C15F03">
        <w:rPr>
          <w:rFonts w:hint="cs"/>
          <w:rtl/>
        </w:rPr>
        <w:t>ביחס ל"דברים שבית המשפט אמר שהורשעתי בה</w:t>
      </w:r>
      <w:r w:rsidR="005D4BDE">
        <w:rPr>
          <w:rFonts w:hint="cs"/>
          <w:rtl/>
        </w:rPr>
        <w:t>ם". עוד התחשב בית הדין המחוזי בכך ש</w:t>
      </w:r>
      <w:r w:rsidR="009B03DA">
        <w:rPr>
          <w:rFonts w:hint="cs"/>
          <w:rtl/>
        </w:rPr>
        <w:t xml:space="preserve">המערערת זוכתה מחלק מפרטי האישום שיוחסו לה, לרבות </w:t>
      </w:r>
      <w:r w:rsidR="00DF4C1B">
        <w:rPr>
          <w:rFonts w:hint="cs"/>
          <w:rtl/>
        </w:rPr>
        <w:t xml:space="preserve">מן הנטען, כאילו </w:t>
      </w:r>
      <w:r w:rsidR="009B03DA">
        <w:rPr>
          <w:rFonts w:hint="cs"/>
          <w:rtl/>
        </w:rPr>
        <w:t xml:space="preserve">חדרה למכשיר הטלפון של נפגעת העבירה ושלחה לעצמה את התמונה. </w:t>
      </w:r>
    </w:p>
    <w:p w14:paraId="4E6B3C7B" w14:textId="77777777" w:rsidR="00C15F03" w:rsidRDefault="006127FD" w:rsidP="007A09D7">
      <w:pPr>
        <w:numPr>
          <w:ilvl w:val="0"/>
          <w:numId w:val="21"/>
        </w:numPr>
        <w:ind w:left="0" w:hanging="2"/>
      </w:pPr>
      <w:r>
        <w:rPr>
          <w:rFonts w:hint="cs"/>
          <w:rtl/>
        </w:rPr>
        <w:t>לצד זאת</w:t>
      </w:r>
      <w:r w:rsidR="00DF4C1B">
        <w:rPr>
          <w:rFonts w:hint="cs"/>
          <w:rtl/>
        </w:rPr>
        <w:t>,</w:t>
      </w:r>
      <w:r>
        <w:rPr>
          <w:rFonts w:hint="cs"/>
          <w:rtl/>
        </w:rPr>
        <w:t xml:space="preserve"> </w:t>
      </w:r>
      <w:r w:rsidR="005D4BDE">
        <w:rPr>
          <w:rFonts w:hint="cs"/>
          <w:rtl/>
        </w:rPr>
        <w:t xml:space="preserve">ציין </w:t>
      </w:r>
      <w:r>
        <w:rPr>
          <w:rFonts w:hint="cs"/>
          <w:rtl/>
        </w:rPr>
        <w:t xml:space="preserve">בית הדין המחוזי </w:t>
      </w:r>
      <w:r w:rsidR="005D4BDE">
        <w:rPr>
          <w:rFonts w:hint="cs"/>
          <w:rtl/>
        </w:rPr>
        <w:t>את</w:t>
      </w:r>
      <w:r>
        <w:rPr>
          <w:rFonts w:hint="cs"/>
          <w:rtl/>
        </w:rPr>
        <w:t xml:space="preserve"> הפגיעה הקשה שנגרמה עקב מעשיה של המערערת, אשר הפיצה תמונה אינטימית של נפגעת העבירה, ללא הסכמ</w:t>
      </w:r>
      <w:r w:rsidR="005D4BDE">
        <w:rPr>
          <w:rFonts w:hint="cs"/>
          <w:rtl/>
        </w:rPr>
        <w:t>ת</w:t>
      </w:r>
      <w:r>
        <w:rPr>
          <w:rFonts w:hint="cs"/>
          <w:rtl/>
        </w:rPr>
        <w:t>ה, באופן הפוגע באוטונומיה שלה ומחלל את כבודה</w:t>
      </w:r>
      <w:r w:rsidR="005D4BDE">
        <w:rPr>
          <w:rFonts w:hint="cs"/>
          <w:rtl/>
        </w:rPr>
        <w:t>; וכל זאת בשל מערכת יחסים עכורה ששררה בינה לבין נפגעת העבירה</w:t>
      </w:r>
      <w:r>
        <w:rPr>
          <w:rFonts w:hint="cs"/>
          <w:rtl/>
        </w:rPr>
        <w:t xml:space="preserve">. </w:t>
      </w:r>
      <w:r w:rsidR="009B03DA">
        <w:rPr>
          <w:rFonts w:hint="cs"/>
          <w:rtl/>
        </w:rPr>
        <w:t xml:space="preserve">צוין, כי הנזק שנגרם לנפגעת העבירה היה ממשי, ועדותה בפני בית הדין הדגימה היטב את סערת הרוחות </w:t>
      </w:r>
      <w:r w:rsidR="001113FE">
        <w:rPr>
          <w:rFonts w:hint="cs"/>
          <w:rtl/>
        </w:rPr>
        <w:t>ש</w:t>
      </w:r>
      <w:r w:rsidR="009B03DA">
        <w:rPr>
          <w:rFonts w:hint="cs"/>
          <w:rtl/>
        </w:rPr>
        <w:t xml:space="preserve">בה </w:t>
      </w:r>
      <w:proofErr w:type="spellStart"/>
      <w:r w:rsidR="009B03DA">
        <w:rPr>
          <w:rFonts w:hint="cs"/>
          <w:rtl/>
        </w:rPr>
        <w:t>היתה</w:t>
      </w:r>
      <w:proofErr w:type="spellEnd"/>
      <w:r w:rsidR="009B03DA">
        <w:rPr>
          <w:rFonts w:hint="cs"/>
          <w:rtl/>
        </w:rPr>
        <w:t xml:space="preserve"> נתונה, ו</w:t>
      </w:r>
      <w:r w:rsidR="001113FE">
        <w:rPr>
          <w:rFonts w:hint="cs"/>
          <w:rtl/>
        </w:rPr>
        <w:t xml:space="preserve">את </w:t>
      </w:r>
      <w:r w:rsidR="009B03DA">
        <w:rPr>
          <w:rFonts w:hint="cs"/>
          <w:rtl/>
        </w:rPr>
        <w:t xml:space="preserve">הכאב והסבל שחוותה עקב מעשי המערערת. </w:t>
      </w:r>
      <w:r w:rsidR="005D4BDE">
        <w:rPr>
          <w:rFonts w:hint="cs"/>
          <w:rtl/>
        </w:rPr>
        <w:t xml:space="preserve">עוד עמד בית הדין על כך שנוכח </w:t>
      </w:r>
      <w:r w:rsidR="009B03DA">
        <w:rPr>
          <w:rFonts w:hint="cs"/>
          <w:rtl/>
        </w:rPr>
        <w:t>ההתפתחות הטכנולוגית</w:t>
      </w:r>
      <w:r w:rsidR="005D4BDE">
        <w:rPr>
          <w:rFonts w:hint="cs"/>
          <w:rtl/>
        </w:rPr>
        <w:t>,</w:t>
      </w:r>
      <w:r w:rsidR="009B03DA">
        <w:rPr>
          <w:rFonts w:hint="cs"/>
          <w:rtl/>
        </w:rPr>
        <w:t xml:space="preserve"> המאפשרת הפצה חוזרת ונשנית של מידע ותמונות, באופן הגורם לנזק לאו בר תיקון, מתחדדת עוד יותר החשיבות בהגנה על כבודו ופרטיותו של האדם; והדבר</w:t>
      </w:r>
      <w:r w:rsidR="005D4BDE">
        <w:rPr>
          <w:rFonts w:hint="cs"/>
          <w:rtl/>
        </w:rPr>
        <w:t xml:space="preserve"> נכון ביתר שאת </w:t>
      </w:r>
      <w:r w:rsidR="001113FE">
        <w:rPr>
          <w:rFonts w:hint="cs"/>
          <w:rtl/>
        </w:rPr>
        <w:t xml:space="preserve">ביחס </w:t>
      </w:r>
      <w:r w:rsidR="005D4BDE">
        <w:rPr>
          <w:rFonts w:hint="cs"/>
          <w:rtl/>
        </w:rPr>
        <w:t>ל</w:t>
      </w:r>
      <w:r w:rsidR="009B03DA">
        <w:rPr>
          <w:rFonts w:hint="cs"/>
          <w:rtl/>
        </w:rPr>
        <w:t xml:space="preserve">חיילי צה"ל, </w:t>
      </w:r>
      <w:r w:rsidR="005D4BDE">
        <w:rPr>
          <w:rFonts w:hint="cs"/>
          <w:rtl/>
        </w:rPr>
        <w:t>ה</w:t>
      </w:r>
      <w:r w:rsidR="009B03DA">
        <w:rPr>
          <w:rFonts w:hint="cs"/>
          <w:rtl/>
        </w:rPr>
        <w:t xml:space="preserve">משרתים מכוח חוק, ואינם יכולים לבחור את </w:t>
      </w:r>
      <w:r w:rsidR="001113FE">
        <w:rPr>
          <w:rFonts w:hint="cs"/>
          <w:rtl/>
        </w:rPr>
        <w:t xml:space="preserve">מקום </w:t>
      </w:r>
      <w:r w:rsidR="009B03DA">
        <w:rPr>
          <w:rFonts w:hint="cs"/>
          <w:rtl/>
        </w:rPr>
        <w:t>שירותם ו</w:t>
      </w:r>
      <w:r w:rsidR="001113FE">
        <w:rPr>
          <w:rFonts w:hint="cs"/>
          <w:rtl/>
        </w:rPr>
        <w:t xml:space="preserve">את </w:t>
      </w:r>
      <w:r w:rsidR="009B03DA">
        <w:rPr>
          <w:rFonts w:hint="cs"/>
          <w:rtl/>
        </w:rPr>
        <w:t xml:space="preserve">החיילים המשרתים עמם. </w:t>
      </w:r>
    </w:p>
    <w:p w14:paraId="02FC2469" w14:textId="77777777" w:rsidR="00273ADA" w:rsidRDefault="006127FD" w:rsidP="007A09D7">
      <w:pPr>
        <w:numPr>
          <w:ilvl w:val="0"/>
          <w:numId w:val="21"/>
        </w:numPr>
        <w:ind w:left="0" w:hanging="2"/>
      </w:pPr>
      <w:r>
        <w:rPr>
          <w:rFonts w:hint="cs"/>
          <w:rtl/>
        </w:rPr>
        <w:lastRenderedPageBreak/>
        <w:t>בקביעת מתחם העונש ההולם נחלקו דעות השופטים בבית הדין המחוזי.</w:t>
      </w:r>
      <w:r w:rsidR="00E21088">
        <w:rPr>
          <w:rFonts w:hint="cs"/>
          <w:rtl/>
        </w:rPr>
        <w:t xml:space="preserve"> דעת הרוב סברה, כי </w:t>
      </w:r>
      <w:r>
        <w:rPr>
          <w:rFonts w:hint="cs"/>
          <w:rtl/>
        </w:rPr>
        <w:t>ה</w:t>
      </w:r>
      <w:r w:rsidR="00E21088">
        <w:rPr>
          <w:rFonts w:hint="cs"/>
          <w:rtl/>
        </w:rPr>
        <w:t>מתחם נע בין 30 ל-90 ימי מאסר בפועל, בדרך של כליאה ממשית או עבודה צבאית. שופט המיעוט סבר, כי יש לקבוע מתחם ע</w:t>
      </w:r>
      <w:r w:rsidR="005D4BDE">
        <w:rPr>
          <w:rFonts w:hint="cs"/>
          <w:rtl/>
        </w:rPr>
        <w:t>ונש</w:t>
      </w:r>
      <w:r w:rsidR="00E21088">
        <w:rPr>
          <w:rFonts w:hint="cs"/>
          <w:rtl/>
        </w:rPr>
        <w:t xml:space="preserve"> הנע בין מאסר מותנה ל-60 ימי מאסר בדרך של עבודה צבאית. </w:t>
      </w:r>
      <w:r>
        <w:rPr>
          <w:rFonts w:hint="cs"/>
          <w:rtl/>
        </w:rPr>
        <w:t xml:space="preserve">עם זאת, נוכח קביעתה של </w:t>
      </w:r>
      <w:r w:rsidR="00E21088">
        <w:rPr>
          <w:rFonts w:hint="cs"/>
          <w:rtl/>
        </w:rPr>
        <w:t xml:space="preserve">רמ"ד שיקום </w:t>
      </w:r>
      <w:proofErr w:type="spellStart"/>
      <w:r w:rsidR="00E21088">
        <w:rPr>
          <w:rFonts w:hint="cs"/>
          <w:rtl/>
        </w:rPr>
        <w:t>במקמצ"ר</w:t>
      </w:r>
      <w:proofErr w:type="spellEnd"/>
      <w:r w:rsidR="00E21088">
        <w:rPr>
          <w:rFonts w:hint="cs"/>
          <w:rtl/>
        </w:rPr>
        <w:t xml:space="preserve">, </w:t>
      </w:r>
      <w:r>
        <w:rPr>
          <w:rFonts w:hint="cs"/>
          <w:rtl/>
        </w:rPr>
        <w:t xml:space="preserve">לאחר ראיון עימה, שלפיה המערערת </w:t>
      </w:r>
      <w:r w:rsidR="00E21088">
        <w:rPr>
          <w:rFonts w:hint="cs"/>
          <w:rtl/>
        </w:rPr>
        <w:t>אינה מתאימה לריצוי עונש בדרך של עבודה צבאית, מצא</w:t>
      </w:r>
      <w:r>
        <w:rPr>
          <w:rFonts w:hint="cs"/>
          <w:rtl/>
        </w:rPr>
        <w:t>ה</w:t>
      </w:r>
      <w:r w:rsidR="00E21088">
        <w:rPr>
          <w:rFonts w:hint="cs"/>
          <w:rtl/>
        </w:rPr>
        <w:t xml:space="preserve"> </w:t>
      </w:r>
      <w:r>
        <w:rPr>
          <w:rFonts w:hint="cs"/>
          <w:rtl/>
        </w:rPr>
        <w:t xml:space="preserve">דעת הרוב </w:t>
      </w:r>
      <w:r w:rsidR="00E21088">
        <w:rPr>
          <w:rFonts w:hint="cs"/>
          <w:rtl/>
        </w:rPr>
        <w:t xml:space="preserve">לגזור </w:t>
      </w:r>
      <w:r>
        <w:rPr>
          <w:rFonts w:hint="cs"/>
          <w:rtl/>
        </w:rPr>
        <w:t>ל</w:t>
      </w:r>
      <w:r w:rsidR="00E21088">
        <w:rPr>
          <w:rFonts w:hint="cs"/>
          <w:rtl/>
        </w:rPr>
        <w:t>מערערת עונש של 30 ימי מאסר</w:t>
      </w:r>
      <w:r w:rsidR="005D4BDE">
        <w:rPr>
          <w:rFonts w:hint="cs"/>
          <w:rtl/>
        </w:rPr>
        <w:t xml:space="preserve"> בכליאה ממשית</w:t>
      </w:r>
      <w:r w:rsidR="00E21088">
        <w:rPr>
          <w:rFonts w:hint="cs"/>
          <w:rtl/>
        </w:rPr>
        <w:t xml:space="preserve">, ברף התחתון של מתחם </w:t>
      </w:r>
      <w:r w:rsidR="005D4BDE">
        <w:rPr>
          <w:rFonts w:hint="cs"/>
          <w:rtl/>
        </w:rPr>
        <w:t>ה</w:t>
      </w:r>
      <w:r w:rsidR="00E21088">
        <w:rPr>
          <w:rFonts w:hint="cs"/>
          <w:rtl/>
        </w:rPr>
        <w:t>ע</w:t>
      </w:r>
      <w:r w:rsidR="005D4BDE">
        <w:rPr>
          <w:rFonts w:hint="cs"/>
          <w:rtl/>
        </w:rPr>
        <w:t>ונש</w:t>
      </w:r>
      <w:r w:rsidR="00E21088">
        <w:rPr>
          <w:rFonts w:hint="cs"/>
          <w:rtl/>
        </w:rPr>
        <w:t xml:space="preserve">, בעוד ששופט המיעוט סבר כי ניתן להסתפק בעונש מאסר מותנה בלבד. בנוסף לעונש המאסר בפועל </w:t>
      </w:r>
      <w:r w:rsidR="008D71D1">
        <w:rPr>
          <w:rFonts w:hint="cs"/>
          <w:rtl/>
        </w:rPr>
        <w:t>הוטלו על ה</w:t>
      </w:r>
      <w:r>
        <w:rPr>
          <w:rFonts w:hint="cs"/>
          <w:rtl/>
        </w:rPr>
        <w:t xml:space="preserve">מערערת, פה אחד, </w:t>
      </w:r>
      <w:r w:rsidR="00E21088">
        <w:rPr>
          <w:rFonts w:hint="cs"/>
          <w:rtl/>
        </w:rPr>
        <w:t>עונשי מאסר מותנה</w:t>
      </w:r>
      <w:r w:rsidR="008D71D1">
        <w:rPr>
          <w:rFonts w:hint="cs"/>
          <w:rtl/>
        </w:rPr>
        <w:t xml:space="preserve"> ו</w:t>
      </w:r>
      <w:r w:rsidR="00E21088">
        <w:rPr>
          <w:rFonts w:hint="cs"/>
          <w:rtl/>
        </w:rPr>
        <w:t>הורדה לדרגת טוראי</w:t>
      </w:r>
      <w:r w:rsidR="008D71D1">
        <w:rPr>
          <w:rFonts w:hint="cs"/>
          <w:rtl/>
        </w:rPr>
        <w:t xml:space="preserve">. כמו נקבע, כי עליה לשלם </w:t>
      </w:r>
      <w:r w:rsidR="00E21088">
        <w:rPr>
          <w:rFonts w:hint="cs"/>
          <w:rtl/>
        </w:rPr>
        <w:t xml:space="preserve">פיצויים בסך 3,000 ש"ח למתלוננת. </w:t>
      </w:r>
    </w:p>
    <w:p w14:paraId="1E0D8EF0" w14:textId="77777777" w:rsidR="00A17953" w:rsidRPr="00A909F3" w:rsidRDefault="00A17953" w:rsidP="007A09D7">
      <w:pPr>
        <w:ind w:hanging="2"/>
        <w:rPr>
          <w:rtl/>
        </w:rPr>
      </w:pPr>
    </w:p>
    <w:p w14:paraId="093148E9" w14:textId="77777777" w:rsidR="00A17953" w:rsidRDefault="006127FD" w:rsidP="007A09D7">
      <w:pPr>
        <w:ind w:hanging="2"/>
        <w:rPr>
          <w:b/>
          <w:bCs/>
          <w:u w:val="single"/>
          <w:rtl/>
        </w:rPr>
      </w:pPr>
      <w:r>
        <w:rPr>
          <w:rFonts w:hint="cs"/>
          <w:b/>
          <w:bCs/>
          <w:u w:val="single"/>
          <w:rtl/>
        </w:rPr>
        <w:t xml:space="preserve">טענות הצדדים בערעור </w:t>
      </w:r>
    </w:p>
    <w:p w14:paraId="42C6D435" w14:textId="77777777" w:rsidR="00A17953" w:rsidRDefault="00A17953" w:rsidP="007A09D7">
      <w:pPr>
        <w:ind w:hanging="2"/>
      </w:pPr>
    </w:p>
    <w:p w14:paraId="60C7CC9E" w14:textId="77777777" w:rsidR="00C66F23" w:rsidRDefault="006127FD" w:rsidP="007A09D7">
      <w:pPr>
        <w:numPr>
          <w:ilvl w:val="0"/>
          <w:numId w:val="21"/>
        </w:numPr>
        <w:ind w:left="0" w:hanging="2"/>
      </w:pPr>
      <w:r>
        <w:rPr>
          <w:rFonts w:hint="cs"/>
          <w:rtl/>
        </w:rPr>
        <w:t xml:space="preserve"> </w:t>
      </w:r>
      <w:r w:rsidRPr="00A25911">
        <w:rPr>
          <w:rFonts w:hint="cs"/>
          <w:rtl/>
        </w:rPr>
        <w:t>התביעה</w:t>
      </w:r>
      <w:r w:rsidRPr="00842803">
        <w:rPr>
          <w:rFonts w:hint="cs"/>
          <w:b/>
          <w:bCs/>
          <w:rtl/>
        </w:rPr>
        <w:t xml:space="preserve"> </w:t>
      </w:r>
      <w:r w:rsidR="00842803">
        <w:rPr>
          <w:rFonts w:hint="cs"/>
          <w:rtl/>
        </w:rPr>
        <w:t xml:space="preserve">עתרה בערעורה הכתוב </w:t>
      </w:r>
      <w:r w:rsidR="00264737">
        <w:rPr>
          <w:rFonts w:hint="cs"/>
          <w:rtl/>
        </w:rPr>
        <w:t>להחמיר ברכיב המאסר</w:t>
      </w:r>
      <w:r w:rsidR="008D71D1">
        <w:rPr>
          <w:rFonts w:hint="cs"/>
          <w:rtl/>
        </w:rPr>
        <w:t xml:space="preserve"> בפועל</w:t>
      </w:r>
      <w:r w:rsidR="00842803">
        <w:rPr>
          <w:rFonts w:hint="cs"/>
          <w:rtl/>
        </w:rPr>
        <w:t>, לאור מידת הפגיעה בכבודה ובפרטיותה של נפגעת העבירה</w:t>
      </w:r>
      <w:r w:rsidR="001113FE">
        <w:rPr>
          <w:rFonts w:hint="cs"/>
          <w:rtl/>
        </w:rPr>
        <w:t xml:space="preserve"> ולאור </w:t>
      </w:r>
      <w:r w:rsidR="00C92F52">
        <w:rPr>
          <w:rFonts w:hint="cs"/>
          <w:rtl/>
        </w:rPr>
        <w:t>מדיניות הענישה בגין עבירות אלה</w:t>
      </w:r>
      <w:r w:rsidR="001113FE">
        <w:rPr>
          <w:rFonts w:hint="cs"/>
          <w:rtl/>
        </w:rPr>
        <w:t>, שהיא</w:t>
      </w:r>
      <w:r w:rsidR="00C92F52">
        <w:rPr>
          <w:rFonts w:hint="cs"/>
          <w:rtl/>
        </w:rPr>
        <w:t xml:space="preserve"> מחמירה יותר </w:t>
      </w:r>
      <w:r w:rsidR="007E4602">
        <w:rPr>
          <w:rFonts w:hint="cs"/>
          <w:rtl/>
        </w:rPr>
        <w:t xml:space="preserve">לטעמה </w:t>
      </w:r>
      <w:r w:rsidR="00C92F52">
        <w:rPr>
          <w:rFonts w:hint="cs"/>
          <w:rtl/>
        </w:rPr>
        <w:t>מזו שקבע בית הדין קמא</w:t>
      </w:r>
      <w:r w:rsidR="00842803">
        <w:rPr>
          <w:rFonts w:hint="cs"/>
          <w:rtl/>
        </w:rPr>
        <w:t xml:space="preserve">. </w:t>
      </w:r>
      <w:r w:rsidR="00557DF9">
        <w:rPr>
          <w:rFonts w:hint="cs"/>
          <w:rtl/>
        </w:rPr>
        <w:t>עם זאת, בדיון שהתקיים בפנינו, הסכימה התביעה, כי נוכח חלוף הזמן והשיהוי שחל ב</w:t>
      </w:r>
      <w:r w:rsidR="007E4602">
        <w:rPr>
          <w:rFonts w:hint="cs"/>
          <w:rtl/>
        </w:rPr>
        <w:t>הכרעה בערעורים</w:t>
      </w:r>
      <w:r w:rsidR="00557DF9">
        <w:rPr>
          <w:rFonts w:hint="cs"/>
          <w:rtl/>
        </w:rPr>
        <w:t xml:space="preserve">, </w:t>
      </w:r>
      <w:r w:rsidR="00A25911">
        <w:rPr>
          <w:rFonts w:hint="cs"/>
          <w:rtl/>
        </w:rPr>
        <w:t>הרי ש</w:t>
      </w:r>
      <w:r w:rsidR="00557DF9">
        <w:rPr>
          <w:rFonts w:hint="cs"/>
          <w:rtl/>
        </w:rPr>
        <w:t>אין עוד מקום להחמרה בעונשה של המערערת</w:t>
      </w:r>
      <w:r>
        <w:rPr>
          <w:rFonts w:hint="cs"/>
          <w:rtl/>
        </w:rPr>
        <w:t xml:space="preserve">, בדרך של הוספת מאסר </w:t>
      </w:r>
      <w:r w:rsidR="008D71D1">
        <w:rPr>
          <w:rFonts w:hint="cs"/>
          <w:rtl/>
        </w:rPr>
        <w:t xml:space="preserve">בפועל </w:t>
      </w:r>
      <w:r>
        <w:rPr>
          <w:rFonts w:hint="cs"/>
          <w:rtl/>
        </w:rPr>
        <w:t>בכליאה, כעתירתה המקורית</w:t>
      </w:r>
      <w:r w:rsidR="00842803">
        <w:rPr>
          <w:rFonts w:hint="cs"/>
          <w:rtl/>
        </w:rPr>
        <w:t xml:space="preserve">. </w:t>
      </w:r>
      <w:r>
        <w:rPr>
          <w:rFonts w:hint="cs"/>
          <w:rtl/>
        </w:rPr>
        <w:t xml:space="preserve">הודגש, כי מאז ננקטו ההליכים בעניינה של המערערת, חל שינוי בהתייחסות הציבורית והמשפטית לעבירות שבהן הורשעה המערערת, בין השאר גם באמצעות תיקון החוק למניעת הטרדה מינית, </w:t>
      </w:r>
      <w:proofErr w:type="spellStart"/>
      <w:r>
        <w:rPr>
          <w:rFonts w:hint="cs"/>
          <w:rtl/>
        </w:rPr>
        <w:t>התשנ"ח</w:t>
      </w:r>
      <w:proofErr w:type="spellEnd"/>
      <w:r>
        <w:rPr>
          <w:rFonts w:hint="cs"/>
          <w:rtl/>
        </w:rPr>
        <w:t xml:space="preserve"> - 1998, והוספת סעיף 3(א)(5א) הקובע כי פרסום תצלומו של אדם המתמקד במיניותו, בנסיבות שבהן הוא עלול לבזותו ולהשפילו, עולה כדי הטרדה מינית. הוטעם, כי בהמשך לכך, חלה החמרה גם במדיניות הענישה בגין עבירות אלה, ומכאן שהעונש שהוטל על המערערת אינו מחמיר כלל בנסיבות העניין. עם זאת, מתוך התחשבות בזמן שחלף, סבורה התביעה כי האיזון הראוי הוא בדרך של זניחת עתירתה להחמרה ברכיב המאסר </w:t>
      </w:r>
      <w:r w:rsidR="008D71D1">
        <w:rPr>
          <w:rFonts w:hint="cs"/>
          <w:rtl/>
        </w:rPr>
        <w:t xml:space="preserve">בפועל </w:t>
      </w:r>
      <w:r>
        <w:rPr>
          <w:rFonts w:hint="cs"/>
          <w:rtl/>
        </w:rPr>
        <w:t xml:space="preserve">ובמתן הסכמה לכך שעונש המאסר שהוטל ירוצה בדרך של עבודה צבאית ולא בכליאה ממשית.  </w:t>
      </w:r>
    </w:p>
    <w:p w14:paraId="6C01C1A8" w14:textId="2CA62471" w:rsidR="007C7456" w:rsidRDefault="006127FD" w:rsidP="007A09D7">
      <w:pPr>
        <w:numPr>
          <w:ilvl w:val="0"/>
          <w:numId w:val="21"/>
        </w:numPr>
        <w:ind w:left="0" w:hanging="2"/>
      </w:pPr>
      <w:r w:rsidRPr="00A25911">
        <w:rPr>
          <w:rFonts w:hint="cs"/>
          <w:rtl/>
        </w:rPr>
        <w:t>ההגנה</w:t>
      </w:r>
      <w:r>
        <w:rPr>
          <w:rFonts w:hint="cs"/>
          <w:rtl/>
        </w:rPr>
        <w:t xml:space="preserve"> </w:t>
      </w:r>
      <w:r w:rsidR="00842803">
        <w:rPr>
          <w:rFonts w:hint="cs"/>
          <w:rtl/>
        </w:rPr>
        <w:t xml:space="preserve">עתרה </w:t>
      </w:r>
      <w:r>
        <w:rPr>
          <w:rFonts w:hint="cs"/>
          <w:rtl/>
        </w:rPr>
        <w:t>בערעורה המקורי</w:t>
      </w:r>
      <w:r w:rsidR="00842803">
        <w:rPr>
          <w:rFonts w:hint="cs"/>
          <w:rtl/>
        </w:rPr>
        <w:t xml:space="preserve"> </w:t>
      </w:r>
      <w:r>
        <w:rPr>
          <w:rFonts w:hint="cs"/>
          <w:rtl/>
        </w:rPr>
        <w:t>לאמץ את דעת המיעוט</w:t>
      </w:r>
      <w:r w:rsidR="00A25911">
        <w:rPr>
          <w:rFonts w:hint="cs"/>
          <w:rtl/>
        </w:rPr>
        <w:t xml:space="preserve"> של בית הדין קמא</w:t>
      </w:r>
      <w:r>
        <w:rPr>
          <w:rFonts w:hint="cs"/>
          <w:rtl/>
        </w:rPr>
        <w:t xml:space="preserve"> ולבטל את </w:t>
      </w:r>
      <w:r w:rsidR="007E4602">
        <w:rPr>
          <w:rFonts w:hint="cs"/>
          <w:rtl/>
        </w:rPr>
        <w:t xml:space="preserve">רכיב </w:t>
      </w:r>
      <w:r>
        <w:rPr>
          <w:rFonts w:hint="cs"/>
          <w:rtl/>
        </w:rPr>
        <w:t xml:space="preserve">המאסר </w:t>
      </w:r>
      <w:r w:rsidR="007E4602">
        <w:rPr>
          <w:rFonts w:hint="cs"/>
          <w:rtl/>
        </w:rPr>
        <w:t xml:space="preserve">בפועל </w:t>
      </w:r>
      <w:r>
        <w:rPr>
          <w:rFonts w:hint="cs"/>
          <w:rtl/>
        </w:rPr>
        <w:t xml:space="preserve">שנגזר </w:t>
      </w:r>
      <w:r w:rsidR="007E4602">
        <w:rPr>
          <w:rFonts w:hint="cs"/>
          <w:rtl/>
        </w:rPr>
        <w:t>ל</w:t>
      </w:r>
      <w:r>
        <w:rPr>
          <w:rFonts w:hint="cs"/>
          <w:rtl/>
        </w:rPr>
        <w:t>מערערת</w:t>
      </w:r>
      <w:r w:rsidR="00842803">
        <w:rPr>
          <w:rFonts w:hint="cs"/>
          <w:rtl/>
        </w:rPr>
        <w:t xml:space="preserve">, תוך שטענה כי </w:t>
      </w:r>
      <w:r>
        <w:rPr>
          <w:rFonts w:hint="cs"/>
          <w:rtl/>
        </w:rPr>
        <w:t xml:space="preserve">מעשיה לא נעשו על רקע מיני, </w:t>
      </w:r>
      <w:r w:rsidR="007E4602">
        <w:rPr>
          <w:rFonts w:hint="cs"/>
          <w:rtl/>
        </w:rPr>
        <w:t>כמו המקרים ש</w:t>
      </w:r>
      <w:r>
        <w:rPr>
          <w:rFonts w:hint="cs"/>
          <w:rtl/>
        </w:rPr>
        <w:t>בהם עסקה הפסיקה</w:t>
      </w:r>
      <w:r w:rsidR="007E4602">
        <w:rPr>
          <w:rFonts w:hint="cs"/>
          <w:rtl/>
        </w:rPr>
        <w:t>,</w:t>
      </w:r>
      <w:r w:rsidR="00557DF9">
        <w:rPr>
          <w:rFonts w:hint="cs"/>
          <w:rtl/>
        </w:rPr>
        <w:t xml:space="preserve"> </w:t>
      </w:r>
      <w:r w:rsidR="007E4602">
        <w:rPr>
          <w:rFonts w:hint="cs"/>
          <w:rtl/>
        </w:rPr>
        <w:t xml:space="preserve">אלא כי </w:t>
      </w:r>
      <w:r w:rsidR="00557DF9">
        <w:rPr>
          <w:rFonts w:hint="cs"/>
          <w:rtl/>
        </w:rPr>
        <w:t>מדובר ב"מעשה פסול במסגרת סכסוך אישי שיצא משליטה"</w:t>
      </w:r>
      <w:r w:rsidR="007E4602">
        <w:rPr>
          <w:rFonts w:hint="cs"/>
          <w:rtl/>
        </w:rPr>
        <w:t>. עוד נטען,</w:t>
      </w:r>
      <w:r w:rsidR="00842803">
        <w:rPr>
          <w:rFonts w:hint="cs"/>
          <w:rtl/>
        </w:rPr>
        <w:t xml:space="preserve"> כי הנזק שנגרם לנפגעת העבירה, על פי עדותה </w:t>
      </w:r>
      <w:r w:rsidR="007E4602">
        <w:rPr>
          <w:rFonts w:hint="cs"/>
          <w:rtl/>
        </w:rPr>
        <w:t xml:space="preserve">שלה </w:t>
      </w:r>
      <w:r w:rsidR="00842803">
        <w:rPr>
          <w:rFonts w:hint="cs"/>
          <w:rtl/>
        </w:rPr>
        <w:t xml:space="preserve">בבית הדין, אינו מן </w:t>
      </w:r>
      <w:r>
        <w:rPr>
          <w:rFonts w:hint="cs"/>
          <w:rtl/>
        </w:rPr>
        <w:t>החמורים בנסיבות העניין</w:t>
      </w:r>
      <w:r w:rsidR="00842803">
        <w:rPr>
          <w:rFonts w:hint="cs"/>
          <w:rtl/>
        </w:rPr>
        <w:t>.</w:t>
      </w:r>
      <w:r>
        <w:rPr>
          <w:rFonts w:hint="cs"/>
          <w:rtl/>
        </w:rPr>
        <w:t xml:space="preserve"> </w:t>
      </w:r>
      <w:r w:rsidR="007E4602">
        <w:rPr>
          <w:rFonts w:hint="cs"/>
          <w:rtl/>
        </w:rPr>
        <w:t xml:space="preserve">לבסוף, </w:t>
      </w:r>
      <w:r w:rsidR="00842803">
        <w:rPr>
          <w:rFonts w:hint="cs"/>
          <w:rtl/>
        </w:rPr>
        <w:t xml:space="preserve">עמדה ההגנה על נסיבותיה האישיות של המערערת, וציינה כי </w:t>
      </w:r>
      <w:r w:rsidR="00557DF9">
        <w:rPr>
          <w:rFonts w:hint="cs"/>
          <w:rtl/>
        </w:rPr>
        <w:t xml:space="preserve">בכוונתה לשלם את סכום הפיצוי לנפגעת העבירה בהקדם, על אף קשייה הכלכליים. </w:t>
      </w:r>
      <w:r w:rsidR="004C4F75">
        <w:rPr>
          <w:rFonts w:hint="cs"/>
          <w:rtl/>
        </w:rPr>
        <w:t xml:space="preserve">יש לציין בהקשר זה, כי המערערת לא שילמה </w:t>
      </w:r>
      <w:r w:rsidR="00E632C7">
        <w:rPr>
          <w:rFonts w:hint="cs"/>
          <w:rtl/>
        </w:rPr>
        <w:t xml:space="preserve">עד עתה </w:t>
      </w:r>
      <w:r w:rsidR="004C4F75">
        <w:rPr>
          <w:rFonts w:hint="cs"/>
          <w:rtl/>
        </w:rPr>
        <w:t>לנפגעת העבירה את סכום הפיצויים שהוטל עליה.</w:t>
      </w:r>
    </w:p>
    <w:p w14:paraId="1A6F3854" w14:textId="77777777" w:rsidR="00314D25" w:rsidRDefault="006127FD" w:rsidP="007A09D7">
      <w:pPr>
        <w:numPr>
          <w:ilvl w:val="0"/>
          <w:numId w:val="21"/>
        </w:numPr>
        <w:ind w:left="0" w:hanging="2"/>
      </w:pPr>
      <w:r>
        <w:rPr>
          <w:rFonts w:hint="cs"/>
          <w:rtl/>
        </w:rPr>
        <w:lastRenderedPageBreak/>
        <w:t xml:space="preserve">בערעורה </w:t>
      </w:r>
      <w:r w:rsidRPr="00A25911">
        <w:rPr>
          <w:rFonts w:hint="cs"/>
          <w:b/>
          <w:bCs/>
          <w:rtl/>
        </w:rPr>
        <w:t>המתוקן</w:t>
      </w:r>
      <w:r>
        <w:rPr>
          <w:rFonts w:hint="cs"/>
          <w:rtl/>
        </w:rPr>
        <w:t xml:space="preserve">, טענה ההגנה כי יש לבטל את </w:t>
      </w:r>
      <w:r w:rsidR="008D71D1">
        <w:rPr>
          <w:rFonts w:hint="cs"/>
          <w:rtl/>
        </w:rPr>
        <w:t xml:space="preserve">ההרשעה כולה </w:t>
      </w:r>
      <w:r w:rsidR="004C4F75">
        <w:rPr>
          <w:rFonts w:hint="cs"/>
          <w:rtl/>
        </w:rPr>
        <w:t xml:space="preserve">והאשמות שיוחסו לה </w:t>
      </w:r>
      <w:r>
        <w:rPr>
          <w:rFonts w:hint="cs"/>
          <w:rtl/>
        </w:rPr>
        <w:t>מטעמי הגנה מן הצדק</w:t>
      </w:r>
      <w:r w:rsidR="007E4602">
        <w:rPr>
          <w:rFonts w:hint="cs"/>
          <w:rtl/>
        </w:rPr>
        <w:t>,</w:t>
      </w:r>
      <w:r w:rsidR="00A25911">
        <w:rPr>
          <w:rFonts w:hint="cs"/>
          <w:rtl/>
        </w:rPr>
        <w:t xml:space="preserve"> ולחלופין להורות על המרת סעיף האישום, לכזה שאינו נושא רישום פלילי</w:t>
      </w:r>
      <w:r>
        <w:rPr>
          <w:rFonts w:hint="cs"/>
          <w:rtl/>
        </w:rPr>
        <w:t>.</w:t>
      </w:r>
      <w:r w:rsidR="0017309F">
        <w:t xml:space="preserve"> </w:t>
      </w:r>
      <w:r w:rsidR="0017309F">
        <w:rPr>
          <w:rFonts w:hint="cs"/>
          <w:rtl/>
        </w:rPr>
        <w:t xml:space="preserve"> בתמצית טוענת ההגנה בערעורה, כי השיהוי שחל בשמיעת התיק, </w:t>
      </w:r>
      <w:r w:rsidR="00A25911">
        <w:rPr>
          <w:rFonts w:hint="cs"/>
          <w:rtl/>
        </w:rPr>
        <w:t xml:space="preserve">אשר </w:t>
      </w:r>
      <w:r w:rsidR="007E4602">
        <w:rPr>
          <w:rFonts w:hint="cs"/>
          <w:rtl/>
        </w:rPr>
        <w:t xml:space="preserve">אינו מונח </w:t>
      </w:r>
      <w:r w:rsidR="00A25911">
        <w:rPr>
          <w:rFonts w:hint="cs"/>
          <w:rtl/>
        </w:rPr>
        <w:t xml:space="preserve">לפתחה של המערערת, </w:t>
      </w:r>
      <w:r w:rsidR="0017309F">
        <w:rPr>
          <w:rFonts w:hint="cs"/>
          <w:rtl/>
        </w:rPr>
        <w:t>פוגע בתחושת הצדק וההגינות</w:t>
      </w:r>
      <w:r w:rsidR="00A25911">
        <w:rPr>
          <w:rFonts w:hint="cs"/>
          <w:rtl/>
        </w:rPr>
        <w:t xml:space="preserve">, וכי עינוי הדין שנגרם </w:t>
      </w:r>
      <w:r w:rsidR="007E4602">
        <w:rPr>
          <w:rFonts w:hint="cs"/>
          <w:rtl/>
        </w:rPr>
        <w:t xml:space="preserve">לה </w:t>
      </w:r>
      <w:r w:rsidR="00A25911">
        <w:rPr>
          <w:rFonts w:hint="cs"/>
          <w:rtl/>
        </w:rPr>
        <w:t xml:space="preserve">בשל התמשכות ההליך הוא </w:t>
      </w:r>
      <w:r w:rsidR="0017309F">
        <w:rPr>
          <w:rFonts w:hint="cs"/>
          <w:rtl/>
        </w:rPr>
        <w:t>בבחינת פגם משמעותי</w:t>
      </w:r>
      <w:r w:rsidR="007E4602">
        <w:rPr>
          <w:rFonts w:hint="cs"/>
          <w:rtl/>
        </w:rPr>
        <w:t xml:space="preserve"> בהליך</w:t>
      </w:r>
      <w:r w:rsidR="0017309F">
        <w:rPr>
          <w:rFonts w:hint="cs"/>
          <w:rtl/>
        </w:rPr>
        <w:t xml:space="preserve">. </w:t>
      </w:r>
      <w:r w:rsidR="00A25911">
        <w:rPr>
          <w:rFonts w:hint="cs"/>
          <w:rtl/>
        </w:rPr>
        <w:t xml:space="preserve">נטען, כי </w:t>
      </w:r>
      <w:r w:rsidR="0017309F">
        <w:rPr>
          <w:rFonts w:hint="cs"/>
          <w:rtl/>
        </w:rPr>
        <w:t xml:space="preserve">המערערת היא היום בת 28, </w:t>
      </w:r>
      <w:r w:rsidR="007E4602">
        <w:rPr>
          <w:rFonts w:hint="cs"/>
          <w:rtl/>
        </w:rPr>
        <w:t xml:space="preserve">ועברה במהלך השנים שחלפו  </w:t>
      </w:r>
      <w:r w:rsidR="0017309F">
        <w:rPr>
          <w:rFonts w:hint="cs"/>
          <w:rtl/>
        </w:rPr>
        <w:t>הליך שיקום נפשי ממושך</w:t>
      </w:r>
      <w:r w:rsidR="007E4602">
        <w:rPr>
          <w:rFonts w:hint="cs"/>
          <w:rtl/>
        </w:rPr>
        <w:t>,</w:t>
      </w:r>
      <w:r w:rsidR="0017309F">
        <w:rPr>
          <w:rFonts w:hint="cs"/>
          <w:rtl/>
        </w:rPr>
        <w:t xml:space="preserve"> שעלה יפה; אולם מאז </w:t>
      </w:r>
      <w:r w:rsidR="007E4602">
        <w:rPr>
          <w:rFonts w:hint="cs"/>
          <w:rtl/>
        </w:rPr>
        <w:t xml:space="preserve">חידוש </w:t>
      </w:r>
      <w:r w:rsidR="0017309F">
        <w:rPr>
          <w:rFonts w:hint="cs"/>
          <w:rtl/>
        </w:rPr>
        <w:t xml:space="preserve">ההליכים בעניינה, </w:t>
      </w:r>
      <w:r w:rsidR="007E4602">
        <w:rPr>
          <w:rFonts w:hint="cs"/>
          <w:rtl/>
        </w:rPr>
        <w:t xml:space="preserve">החמיר </w:t>
      </w:r>
      <w:r w:rsidR="0017309F">
        <w:rPr>
          <w:rFonts w:hint="cs"/>
          <w:rtl/>
        </w:rPr>
        <w:t>מצבה הנפשי באופן משמעותי</w:t>
      </w:r>
      <w:r w:rsidR="00A5773C">
        <w:rPr>
          <w:rFonts w:hint="cs"/>
          <w:rtl/>
        </w:rPr>
        <w:t xml:space="preserve">. </w:t>
      </w:r>
      <w:r w:rsidR="007E4602">
        <w:rPr>
          <w:rFonts w:hint="cs"/>
          <w:rtl/>
        </w:rPr>
        <w:t>בהסכמת התביעה, הוגשו מסמכים עדכניים בעניין זה.</w:t>
      </w:r>
      <w:r w:rsidR="004C166E">
        <w:rPr>
          <w:rFonts w:hint="cs"/>
          <w:rtl/>
        </w:rPr>
        <w:t xml:space="preserve"> </w:t>
      </w:r>
    </w:p>
    <w:p w14:paraId="37D0B061" w14:textId="04D6A619" w:rsidR="00557DF9" w:rsidRDefault="006127FD" w:rsidP="007A09D7">
      <w:pPr>
        <w:numPr>
          <w:ilvl w:val="0"/>
          <w:numId w:val="21"/>
        </w:numPr>
        <w:ind w:left="0" w:hanging="2"/>
      </w:pPr>
      <w:r>
        <w:rPr>
          <w:rFonts w:hint="cs"/>
          <w:rtl/>
        </w:rPr>
        <w:t xml:space="preserve">ההגנה סבורה, כי מבחינה משפטית גם התיישן </w:t>
      </w:r>
      <w:r w:rsidR="00A25911">
        <w:rPr>
          <w:rFonts w:hint="cs"/>
          <w:rtl/>
        </w:rPr>
        <w:t>תוקפו של הרכיב שעניינו תשלום</w:t>
      </w:r>
      <w:r>
        <w:rPr>
          <w:rFonts w:hint="cs"/>
          <w:rtl/>
        </w:rPr>
        <w:t xml:space="preserve"> הפיצויים</w:t>
      </w:r>
      <w:r w:rsidR="00A25911">
        <w:rPr>
          <w:rFonts w:hint="cs"/>
          <w:rtl/>
        </w:rPr>
        <w:t xml:space="preserve"> לנפגעת העבירה. זאת </w:t>
      </w:r>
      <w:r>
        <w:rPr>
          <w:rFonts w:hint="cs"/>
          <w:rtl/>
        </w:rPr>
        <w:t xml:space="preserve">נוכח לשון סעיף 498 לחוק השיפוט הצבאי, תשט"ו </w:t>
      </w:r>
      <w:r w:rsidR="00A25911">
        <w:rPr>
          <w:rtl/>
        </w:rPr>
        <w:t>–</w:t>
      </w:r>
      <w:r>
        <w:rPr>
          <w:rFonts w:hint="cs"/>
          <w:rtl/>
        </w:rPr>
        <w:t xml:space="preserve"> 1955</w:t>
      </w:r>
      <w:r w:rsidR="00A25911">
        <w:rPr>
          <w:rFonts w:hint="cs"/>
          <w:rtl/>
        </w:rPr>
        <w:t>, המורה כי</w:t>
      </w:r>
      <w:r>
        <w:rPr>
          <w:rFonts w:hint="cs"/>
          <w:rtl/>
        </w:rPr>
        <w:t xml:space="preserve"> דין הפיצויים</w:t>
      </w:r>
      <w:r w:rsidR="00A25911">
        <w:rPr>
          <w:rFonts w:hint="cs"/>
          <w:rtl/>
        </w:rPr>
        <w:t xml:space="preserve"> שנפסקו בפסק דין פלילי</w:t>
      </w:r>
      <w:r>
        <w:rPr>
          <w:rFonts w:hint="cs"/>
          <w:rtl/>
        </w:rPr>
        <w:t xml:space="preserve"> כדין תובענה אזרחית</w:t>
      </w:r>
      <w:r w:rsidR="00A25911">
        <w:rPr>
          <w:rFonts w:hint="cs"/>
          <w:rtl/>
        </w:rPr>
        <w:t>.</w:t>
      </w:r>
      <w:r>
        <w:rPr>
          <w:rFonts w:hint="cs"/>
          <w:rtl/>
        </w:rPr>
        <w:t xml:space="preserve"> </w:t>
      </w:r>
      <w:r w:rsidR="00A25911">
        <w:rPr>
          <w:rFonts w:hint="cs"/>
          <w:rtl/>
        </w:rPr>
        <w:t>נטען אפוא, כי חלה בעניין זה התיישנות</w:t>
      </w:r>
      <w:r w:rsidR="007E4602">
        <w:rPr>
          <w:rFonts w:hint="cs"/>
          <w:rtl/>
        </w:rPr>
        <w:t>,</w:t>
      </w:r>
      <w:r w:rsidR="00A25911">
        <w:rPr>
          <w:rFonts w:hint="cs"/>
          <w:rtl/>
        </w:rPr>
        <w:t xml:space="preserve"> </w:t>
      </w:r>
      <w:r>
        <w:rPr>
          <w:rFonts w:hint="cs"/>
          <w:rtl/>
        </w:rPr>
        <w:t>משחלפו למעלה משבע שנים מאז נפסקו</w:t>
      </w:r>
      <w:r w:rsidR="00A25911">
        <w:rPr>
          <w:rFonts w:hint="cs"/>
          <w:rtl/>
        </w:rPr>
        <w:t xml:space="preserve"> הפיצויים</w:t>
      </w:r>
      <w:r>
        <w:rPr>
          <w:rFonts w:hint="cs"/>
          <w:rtl/>
        </w:rPr>
        <w:t xml:space="preserve"> ונפגעת העבירה לא פעלה כדי לקבלם (וזאת לאחר שגם הצהירה בעדותה בפני בית הדין המחוזי כי אינה מעוניינת בפיצוי)</w:t>
      </w:r>
      <w:r w:rsidR="00A25911">
        <w:rPr>
          <w:rFonts w:hint="cs"/>
          <w:rtl/>
        </w:rPr>
        <w:t>.</w:t>
      </w:r>
      <w:r>
        <w:rPr>
          <w:rFonts w:hint="cs"/>
          <w:rtl/>
        </w:rPr>
        <w:t xml:space="preserve"> עוד הפנתה ההגנה להשלכות הרישום הפלילי באם תורשע המערערת; </w:t>
      </w:r>
      <w:r w:rsidR="00A25911">
        <w:rPr>
          <w:rFonts w:hint="cs"/>
          <w:rtl/>
        </w:rPr>
        <w:t>ומכאן עתירתה העדכנית כאמור לביטול ה</w:t>
      </w:r>
      <w:r w:rsidR="004C4F75">
        <w:rPr>
          <w:rFonts w:hint="cs"/>
          <w:rtl/>
        </w:rPr>
        <w:t>הרשעה והאשמות שיוחסו לה</w:t>
      </w:r>
      <w:r w:rsidR="00E632C7">
        <w:rPr>
          <w:rFonts w:hint="cs"/>
          <w:rtl/>
        </w:rPr>
        <w:t xml:space="preserve"> </w:t>
      </w:r>
      <w:r w:rsidR="00A25911">
        <w:rPr>
          <w:rFonts w:hint="cs"/>
          <w:rtl/>
        </w:rPr>
        <w:t>כול</w:t>
      </w:r>
      <w:r w:rsidR="00E632C7">
        <w:rPr>
          <w:rFonts w:hint="cs"/>
          <w:rtl/>
        </w:rPr>
        <w:t>ן</w:t>
      </w:r>
      <w:r w:rsidR="00A25911">
        <w:rPr>
          <w:rFonts w:hint="cs"/>
          <w:rtl/>
        </w:rPr>
        <w:t xml:space="preserve"> ולמצער </w:t>
      </w:r>
      <w:r w:rsidR="00A25911">
        <w:rPr>
          <w:rtl/>
        </w:rPr>
        <w:t>–</w:t>
      </w:r>
      <w:r w:rsidR="00A25911">
        <w:rPr>
          <w:rFonts w:hint="cs"/>
          <w:rtl/>
        </w:rPr>
        <w:t xml:space="preserve"> להמרת סעיף האישום לכזה </w:t>
      </w:r>
      <w:r w:rsidR="007E4602">
        <w:rPr>
          <w:rFonts w:hint="cs"/>
          <w:rtl/>
        </w:rPr>
        <w:t>ש</w:t>
      </w:r>
      <w:r w:rsidR="00A25911">
        <w:rPr>
          <w:rFonts w:hint="cs"/>
          <w:rtl/>
        </w:rPr>
        <w:t xml:space="preserve">אינו נושא רישום פלילי. </w:t>
      </w:r>
    </w:p>
    <w:p w14:paraId="5C0B461D" w14:textId="39AEBDDC" w:rsidR="00A10355" w:rsidRDefault="006127FD" w:rsidP="007A09D7">
      <w:pPr>
        <w:numPr>
          <w:ilvl w:val="0"/>
          <w:numId w:val="21"/>
        </w:numPr>
        <w:ind w:left="0" w:hanging="2"/>
      </w:pPr>
      <w:r>
        <w:rPr>
          <w:rFonts w:hint="cs"/>
          <w:rtl/>
        </w:rPr>
        <w:t>התביעה התנגדה</w:t>
      </w:r>
      <w:r w:rsidR="00D3451A">
        <w:rPr>
          <w:rFonts w:hint="cs"/>
          <w:rtl/>
        </w:rPr>
        <w:t xml:space="preserve"> לקבלת ערעור ההגנה</w:t>
      </w:r>
      <w:r w:rsidR="00C7536C">
        <w:rPr>
          <w:rFonts w:hint="cs"/>
          <w:rtl/>
        </w:rPr>
        <w:t xml:space="preserve">, תוך שהפנתה להלכה הפסוקה, המורה </w:t>
      </w:r>
      <w:r w:rsidR="007E4602">
        <w:rPr>
          <w:rFonts w:hint="cs"/>
          <w:rtl/>
        </w:rPr>
        <w:t>ש</w:t>
      </w:r>
      <w:r w:rsidR="00C7536C">
        <w:rPr>
          <w:rFonts w:hint="cs"/>
          <w:rtl/>
        </w:rPr>
        <w:t>אין בהתמשכות הליכים כדי להוביל לביטול כתב אישום או לזיכוי</w:t>
      </w:r>
      <w:r w:rsidR="00FB51D0">
        <w:rPr>
          <w:rFonts w:hint="cs"/>
          <w:rtl/>
        </w:rPr>
        <w:t>. נטען</w:t>
      </w:r>
      <w:r w:rsidR="007E4602">
        <w:rPr>
          <w:rFonts w:hint="cs"/>
          <w:rtl/>
        </w:rPr>
        <w:t>,</w:t>
      </w:r>
      <w:r w:rsidR="00FB51D0">
        <w:rPr>
          <w:rFonts w:hint="cs"/>
          <w:rtl/>
        </w:rPr>
        <w:t xml:space="preserve"> כי הדברים אמורים על אחת כמה וכמה מקום </w:t>
      </w:r>
      <w:r w:rsidR="007E4602">
        <w:rPr>
          <w:rFonts w:hint="cs"/>
          <w:rtl/>
        </w:rPr>
        <w:t>ש</w:t>
      </w:r>
      <w:r w:rsidR="00FB51D0">
        <w:rPr>
          <w:rFonts w:hint="cs"/>
          <w:rtl/>
        </w:rPr>
        <w:t xml:space="preserve">בו נסב </w:t>
      </w:r>
      <w:r w:rsidR="00C7536C">
        <w:rPr>
          <w:rFonts w:hint="cs"/>
          <w:rtl/>
        </w:rPr>
        <w:t xml:space="preserve">הערעור </w:t>
      </w:r>
      <w:r w:rsidR="007E4602">
        <w:rPr>
          <w:rFonts w:hint="cs"/>
          <w:rtl/>
        </w:rPr>
        <w:t xml:space="preserve">על </w:t>
      </w:r>
      <w:r w:rsidR="00C7536C">
        <w:rPr>
          <w:rFonts w:hint="cs"/>
          <w:rtl/>
        </w:rPr>
        <w:t xml:space="preserve">אודות </w:t>
      </w:r>
      <w:r w:rsidR="00FB51D0">
        <w:rPr>
          <w:rFonts w:hint="cs"/>
          <w:rtl/>
        </w:rPr>
        <w:t xml:space="preserve">רכיב המאסר בלבד, </w:t>
      </w:r>
      <w:r w:rsidR="00C7536C">
        <w:rPr>
          <w:rFonts w:hint="cs"/>
          <w:rtl/>
        </w:rPr>
        <w:t xml:space="preserve">בעוד שהמערערת השלימה עם </w:t>
      </w:r>
      <w:r w:rsidR="007E4602">
        <w:rPr>
          <w:rFonts w:hint="cs"/>
          <w:rtl/>
        </w:rPr>
        <w:t xml:space="preserve">עצם </w:t>
      </w:r>
      <w:r w:rsidR="00C7536C">
        <w:rPr>
          <w:rFonts w:hint="cs"/>
          <w:rtl/>
        </w:rPr>
        <w:t>הרשעתה</w:t>
      </w:r>
      <w:r w:rsidR="007E4602">
        <w:rPr>
          <w:rFonts w:hint="cs"/>
          <w:rtl/>
        </w:rPr>
        <w:t xml:space="preserve"> בדין</w:t>
      </w:r>
      <w:r w:rsidR="00C7536C">
        <w:rPr>
          <w:rFonts w:hint="cs"/>
          <w:rtl/>
        </w:rPr>
        <w:t xml:space="preserve">. </w:t>
      </w:r>
      <w:r w:rsidR="00FB51D0">
        <w:rPr>
          <w:rFonts w:hint="cs"/>
          <w:rtl/>
        </w:rPr>
        <w:t xml:space="preserve">התביעה סבורה, כי מסמכי ההגנה מלמדים על כך שהמערערת </w:t>
      </w:r>
      <w:r w:rsidR="00C7536C">
        <w:rPr>
          <w:rFonts w:hint="cs"/>
          <w:rtl/>
        </w:rPr>
        <w:t xml:space="preserve">לא סבלה מעינוי דין בתקופה </w:t>
      </w:r>
      <w:r w:rsidR="00FB51D0">
        <w:rPr>
          <w:rFonts w:hint="cs"/>
          <w:rtl/>
        </w:rPr>
        <w:t>שחלפה</w:t>
      </w:r>
      <w:r w:rsidR="00C7536C">
        <w:rPr>
          <w:rFonts w:hint="cs"/>
          <w:rtl/>
        </w:rPr>
        <w:t>, אלא עבדה, למדה וניהלה חיים תקינים; וכי ה</w:t>
      </w:r>
      <w:r w:rsidR="00A5773C">
        <w:rPr>
          <w:rFonts w:hint="cs"/>
          <w:rtl/>
        </w:rPr>
        <w:t xml:space="preserve">שיהוי בניהול ההליך רובץ </w:t>
      </w:r>
      <w:r w:rsidR="00C7536C">
        <w:rPr>
          <w:rFonts w:hint="cs"/>
          <w:rtl/>
        </w:rPr>
        <w:t>באופן חלקי גם</w:t>
      </w:r>
      <w:r w:rsidR="00A5773C">
        <w:rPr>
          <w:rFonts w:hint="cs"/>
          <w:rtl/>
        </w:rPr>
        <w:t xml:space="preserve"> לפתחה</w:t>
      </w:r>
      <w:r w:rsidR="00FB51D0">
        <w:rPr>
          <w:rFonts w:hint="cs"/>
          <w:rtl/>
        </w:rPr>
        <w:t>, בשים לב לכך שאף היא הגישה ערעור מטעמה</w:t>
      </w:r>
      <w:r w:rsidR="007E4602">
        <w:rPr>
          <w:rFonts w:hint="cs"/>
          <w:rtl/>
        </w:rPr>
        <w:t>, ו</w:t>
      </w:r>
      <w:r w:rsidR="00FB51D0">
        <w:rPr>
          <w:rFonts w:hint="cs"/>
          <w:rtl/>
        </w:rPr>
        <w:t xml:space="preserve">לא </w:t>
      </w:r>
      <w:r w:rsidR="007E4602">
        <w:rPr>
          <w:rFonts w:hint="cs"/>
          <w:rtl/>
        </w:rPr>
        <w:t>פנתה כדי להחיש את קבלת ההכרעה בו</w:t>
      </w:r>
      <w:r w:rsidR="00FB51D0">
        <w:rPr>
          <w:rFonts w:hint="cs"/>
          <w:rtl/>
        </w:rPr>
        <w:t xml:space="preserve">. </w:t>
      </w:r>
      <w:r w:rsidR="00314D25">
        <w:rPr>
          <w:rFonts w:hint="cs"/>
          <w:rtl/>
        </w:rPr>
        <w:t xml:space="preserve">עוד טענה התביעה, כי </w:t>
      </w:r>
      <w:r w:rsidR="00DF6048">
        <w:rPr>
          <w:rFonts w:hint="cs"/>
          <w:rtl/>
        </w:rPr>
        <w:t xml:space="preserve">טענתה של המערערת לביטול ההליך בשל הגנה מן הצדק דינה להידחות ולו גם בשל אי ניקיון כפיה, עקב כך שלא שילמה עד כה את הפיצויים שנפסקו </w:t>
      </w:r>
      <w:r w:rsidR="00E632C7">
        <w:rPr>
          <w:rFonts w:hint="cs"/>
          <w:rtl/>
        </w:rPr>
        <w:t>(</w:t>
      </w:r>
      <w:r w:rsidR="00314D25">
        <w:rPr>
          <w:rFonts w:hint="cs"/>
          <w:rtl/>
        </w:rPr>
        <w:t xml:space="preserve">על אף </w:t>
      </w:r>
      <w:r w:rsidR="00FB51D0">
        <w:rPr>
          <w:rFonts w:hint="cs"/>
          <w:rtl/>
        </w:rPr>
        <w:t xml:space="preserve">הצהרתה בערעור </w:t>
      </w:r>
      <w:r w:rsidR="00DF6048">
        <w:rPr>
          <w:rFonts w:hint="cs"/>
          <w:rtl/>
        </w:rPr>
        <w:t>המקורי כי תעשה זאת בהקדם), ואף טענה כי רכיב זה התיישן</w:t>
      </w:r>
      <w:r w:rsidR="00314D25">
        <w:rPr>
          <w:rFonts w:hint="cs"/>
          <w:rtl/>
        </w:rPr>
        <w:t xml:space="preserve">. </w:t>
      </w:r>
    </w:p>
    <w:p w14:paraId="378DAE50" w14:textId="77777777" w:rsidR="00FB51D0" w:rsidRDefault="00FB51D0" w:rsidP="007A09D7">
      <w:pPr>
        <w:ind w:hanging="2"/>
      </w:pPr>
    </w:p>
    <w:p w14:paraId="5164FC7E" w14:textId="77777777" w:rsidR="00293048" w:rsidRDefault="006127FD" w:rsidP="007A09D7">
      <w:pPr>
        <w:ind w:hanging="2"/>
        <w:rPr>
          <w:b/>
          <w:bCs/>
          <w:u w:val="single"/>
          <w:rtl/>
        </w:rPr>
      </w:pPr>
      <w:r>
        <w:rPr>
          <w:rFonts w:hint="cs"/>
          <w:b/>
          <w:bCs/>
          <w:u w:val="single"/>
          <w:rtl/>
        </w:rPr>
        <w:t xml:space="preserve">דיון והכרעה </w:t>
      </w:r>
    </w:p>
    <w:p w14:paraId="2A3747EA" w14:textId="77777777" w:rsidR="004C166E" w:rsidRDefault="004C166E" w:rsidP="007A09D7">
      <w:pPr>
        <w:ind w:hanging="2"/>
        <w:rPr>
          <w:b/>
          <w:bCs/>
          <w:u w:val="single"/>
          <w:rtl/>
        </w:rPr>
      </w:pPr>
    </w:p>
    <w:p w14:paraId="25CEA331" w14:textId="77777777" w:rsidR="00093867" w:rsidRDefault="006127FD" w:rsidP="007A09D7">
      <w:pPr>
        <w:numPr>
          <w:ilvl w:val="0"/>
          <w:numId w:val="21"/>
        </w:numPr>
        <w:ind w:left="0" w:hanging="2"/>
      </w:pPr>
      <w:r>
        <w:rPr>
          <w:rFonts w:hint="cs"/>
          <w:rtl/>
        </w:rPr>
        <w:t xml:space="preserve">לאור תיקון הודעת הערעור מטעם ההגנה ובשים לב לעמדתה העדכנית של התביעה, אשר למעשה אינה עומדת עוד על </w:t>
      </w:r>
      <w:r w:rsidR="00870E9D">
        <w:rPr>
          <w:rFonts w:hint="cs"/>
          <w:rtl/>
        </w:rPr>
        <w:t>העתירה להחמיר במאסר שהושת על המערערת</w:t>
      </w:r>
      <w:r w:rsidR="004C4F75">
        <w:rPr>
          <w:rFonts w:hint="cs"/>
          <w:rtl/>
        </w:rPr>
        <w:t xml:space="preserve"> ואף אינה מתנגדת להמירו במאסר שירוצה בדרך של עבודה צבאית</w:t>
      </w:r>
      <w:r>
        <w:rPr>
          <w:rFonts w:hint="cs"/>
          <w:rtl/>
        </w:rPr>
        <w:t xml:space="preserve">, הרי שהשאלה המרכזית הניצבת </w:t>
      </w:r>
      <w:r>
        <w:rPr>
          <w:rFonts w:hint="cs"/>
          <w:rtl/>
        </w:rPr>
        <w:lastRenderedPageBreak/>
        <w:t xml:space="preserve">בפנינו, היא האם עומדת למערערת, בנסיבות העניין, טענת "הגנה מן הצדק" </w:t>
      </w:r>
      <w:r w:rsidR="00870E9D">
        <w:rPr>
          <w:rFonts w:hint="cs"/>
          <w:rtl/>
        </w:rPr>
        <w:t xml:space="preserve">שתוצאתה </w:t>
      </w:r>
      <w:r>
        <w:rPr>
          <w:rFonts w:hint="cs"/>
          <w:rtl/>
        </w:rPr>
        <w:t xml:space="preserve">ביטול ההליך ולמצער </w:t>
      </w:r>
      <w:r w:rsidR="00DE7837">
        <w:rPr>
          <w:rFonts w:hint="cs"/>
          <w:rtl/>
        </w:rPr>
        <w:t xml:space="preserve"> </w:t>
      </w:r>
      <w:r w:rsidR="000007B1">
        <w:rPr>
          <w:rFonts w:hint="cs"/>
          <w:rtl/>
        </w:rPr>
        <w:t>-</w:t>
      </w:r>
      <w:r>
        <w:rPr>
          <w:rFonts w:hint="cs"/>
          <w:rtl/>
        </w:rPr>
        <w:t xml:space="preserve"> המרת סעיף האישום בו הורשעה לכזה שאינו נושא רישום פלילי. </w:t>
      </w:r>
    </w:p>
    <w:p w14:paraId="035757B6" w14:textId="77777777" w:rsidR="008C5152" w:rsidRDefault="006127FD" w:rsidP="007A09D7">
      <w:pPr>
        <w:numPr>
          <w:ilvl w:val="0"/>
          <w:numId w:val="21"/>
        </w:numPr>
        <w:ind w:left="0" w:hanging="2"/>
      </w:pPr>
      <w:r>
        <w:rPr>
          <w:rFonts w:hint="cs"/>
          <w:rtl/>
        </w:rPr>
        <w:t>רבות נכתב על</w:t>
      </w:r>
      <w:r w:rsidR="00093867">
        <w:rPr>
          <w:rFonts w:hint="cs"/>
          <w:rtl/>
        </w:rPr>
        <w:t xml:space="preserve"> </w:t>
      </w:r>
      <w:r>
        <w:rPr>
          <w:rFonts w:hint="cs"/>
          <w:rtl/>
        </w:rPr>
        <w:t>דוקטרינת ה</w:t>
      </w:r>
      <w:r w:rsidR="00FB51D0">
        <w:rPr>
          <w:rFonts w:hint="cs"/>
          <w:rtl/>
        </w:rPr>
        <w:t>"</w:t>
      </w:r>
      <w:r w:rsidR="00093867">
        <w:rPr>
          <w:rFonts w:hint="cs"/>
          <w:rtl/>
        </w:rPr>
        <w:t>הגנה מן הצדק</w:t>
      </w:r>
      <w:r w:rsidR="00FB51D0">
        <w:rPr>
          <w:rFonts w:hint="cs"/>
          <w:rtl/>
        </w:rPr>
        <w:t>";</w:t>
      </w:r>
      <w:r w:rsidR="00093867">
        <w:rPr>
          <w:rFonts w:hint="cs"/>
          <w:rtl/>
        </w:rPr>
        <w:t xml:space="preserve"> ועל כן יוזכר אך בקצרה, כי מדובר בדוקטרינה שעברה גלגולים רבים במשפטנו, החל מעניין </w:t>
      </w:r>
      <w:r w:rsidR="00093867">
        <w:rPr>
          <w:rFonts w:hint="cs"/>
          <w:b/>
          <w:bCs/>
          <w:rtl/>
        </w:rPr>
        <w:t xml:space="preserve">יפת </w:t>
      </w:r>
      <w:r w:rsidR="00093867">
        <w:rPr>
          <w:rFonts w:hint="cs"/>
          <w:rtl/>
        </w:rPr>
        <w:t xml:space="preserve">(ע"פ 2910/94 </w:t>
      </w:r>
      <w:r w:rsidR="00093867">
        <w:rPr>
          <w:rFonts w:hint="cs"/>
          <w:b/>
          <w:bCs/>
          <w:rtl/>
        </w:rPr>
        <w:t xml:space="preserve">יפת נ' מדינת ישראל, </w:t>
      </w:r>
      <w:r w:rsidR="00093867">
        <w:rPr>
          <w:rFonts w:hint="cs"/>
          <w:rtl/>
        </w:rPr>
        <w:t xml:space="preserve">פ"ד נ(2) 221 (1996)), שם נקבע לראשונה כי לבית המשפט סמכות טבועה לבטל כתב אישום </w:t>
      </w:r>
      <w:r>
        <w:rPr>
          <w:rFonts w:hint="cs"/>
          <w:rtl/>
        </w:rPr>
        <w:t xml:space="preserve">העומד </w:t>
      </w:r>
      <w:r w:rsidR="00093867">
        <w:rPr>
          <w:rFonts w:hint="cs"/>
          <w:rtl/>
        </w:rPr>
        <w:t>בסתירה לעקרונות של צדק והגינות משפטית, תוך אימוץ מבחן מחמיר שעניינו "התנהגות בלתי נסבלת של הרשות"</w:t>
      </w:r>
      <w:r>
        <w:rPr>
          <w:rFonts w:hint="cs"/>
          <w:rtl/>
        </w:rPr>
        <w:t xml:space="preserve">. </w:t>
      </w:r>
      <w:r w:rsidR="00093867">
        <w:rPr>
          <w:rFonts w:hint="cs"/>
          <w:rtl/>
        </w:rPr>
        <w:t>המש</w:t>
      </w:r>
      <w:r w:rsidR="00FB51D0">
        <w:rPr>
          <w:rFonts w:hint="cs"/>
          <w:rtl/>
        </w:rPr>
        <w:t>כם של דברים</w:t>
      </w:r>
      <w:r w:rsidR="00093867">
        <w:rPr>
          <w:rFonts w:hint="cs"/>
          <w:rtl/>
        </w:rPr>
        <w:t xml:space="preserve"> בפסיקה שהרחיבה והגמישה את הדוקטרינה, בעיקר בעניין </w:t>
      </w:r>
      <w:proofErr w:type="spellStart"/>
      <w:r w:rsidR="00093867">
        <w:rPr>
          <w:rFonts w:hint="cs"/>
          <w:b/>
          <w:bCs/>
          <w:rtl/>
        </w:rPr>
        <w:t>בורוביץ</w:t>
      </w:r>
      <w:proofErr w:type="spellEnd"/>
      <w:r w:rsidR="00093867">
        <w:rPr>
          <w:rFonts w:hint="cs"/>
          <w:rtl/>
        </w:rPr>
        <w:t xml:space="preserve"> (ע"פ 4855/02 </w:t>
      </w:r>
      <w:r w:rsidR="00093867">
        <w:rPr>
          <w:rFonts w:hint="cs"/>
          <w:b/>
          <w:bCs/>
          <w:rtl/>
        </w:rPr>
        <w:t xml:space="preserve">מדינת ישראל נ' </w:t>
      </w:r>
      <w:proofErr w:type="spellStart"/>
      <w:r w:rsidR="00093867">
        <w:rPr>
          <w:rFonts w:hint="cs"/>
          <w:b/>
          <w:bCs/>
          <w:rtl/>
        </w:rPr>
        <w:t>בורוביץ</w:t>
      </w:r>
      <w:proofErr w:type="spellEnd"/>
      <w:r w:rsidR="00093867">
        <w:rPr>
          <w:rFonts w:hint="cs"/>
          <w:rtl/>
        </w:rPr>
        <w:t>, פ"ד נט(6)</w:t>
      </w:r>
      <w:r w:rsidR="00093867">
        <w:rPr>
          <w:rFonts w:hint="cs"/>
        </w:rPr>
        <w:t xml:space="preserve"> </w:t>
      </w:r>
      <w:r w:rsidR="00093867">
        <w:rPr>
          <w:rFonts w:hint="cs"/>
          <w:rtl/>
        </w:rPr>
        <w:t xml:space="preserve"> 776 (2005)), שם נקבע מבחן שעניינו "הפגיעה הממשית בתחושת הצדק וההגינות"</w:t>
      </w:r>
      <w:r w:rsidR="00FB51D0">
        <w:rPr>
          <w:rFonts w:hint="cs"/>
          <w:rtl/>
        </w:rPr>
        <w:t>.</w:t>
      </w:r>
      <w:r w:rsidR="00093867">
        <w:rPr>
          <w:rFonts w:hint="cs"/>
          <w:rtl/>
        </w:rPr>
        <w:t xml:space="preserve"> היינו</w:t>
      </w:r>
      <w:r>
        <w:rPr>
          <w:rFonts w:hint="cs"/>
          <w:rtl/>
        </w:rPr>
        <w:t>,</w:t>
      </w:r>
      <w:r w:rsidR="00093867">
        <w:rPr>
          <w:rFonts w:hint="cs"/>
          <w:rtl/>
        </w:rPr>
        <w:t xml:space="preserve"> נקודת המבט המשפטית הופנתה מהתנהגותה הבלתי נסבלת של הרשות אל </w:t>
      </w:r>
      <w:r w:rsidR="004C71FA">
        <w:rPr>
          <w:rFonts w:hint="cs"/>
          <w:rtl/>
        </w:rPr>
        <w:t>הצורך להבטיח הליך פלילי ראוי, צודק והוגן (</w:t>
      </w:r>
      <w:proofErr w:type="spellStart"/>
      <w:r w:rsidR="004C71FA">
        <w:rPr>
          <w:rFonts w:hint="cs"/>
          <w:rtl/>
        </w:rPr>
        <w:t>דנ"פ</w:t>
      </w:r>
      <w:proofErr w:type="spellEnd"/>
      <w:r w:rsidR="004C71FA">
        <w:rPr>
          <w:rFonts w:hint="cs"/>
          <w:rtl/>
        </w:rPr>
        <w:t xml:space="preserve"> 5387/20</w:t>
      </w:r>
      <w:r w:rsidR="004C71FA">
        <w:rPr>
          <w:rFonts w:hint="cs"/>
          <w:b/>
          <w:bCs/>
          <w:rtl/>
        </w:rPr>
        <w:t xml:space="preserve"> רותם נ' מדינת ישראל</w:t>
      </w:r>
      <w:r w:rsidR="004C71FA">
        <w:rPr>
          <w:rFonts w:hint="cs"/>
          <w:rtl/>
        </w:rPr>
        <w:t>,</w:t>
      </w:r>
      <w:r w:rsidR="004C71FA">
        <w:rPr>
          <w:rFonts w:hint="cs"/>
          <w:b/>
          <w:bCs/>
          <w:rtl/>
        </w:rPr>
        <w:t xml:space="preserve"> </w:t>
      </w:r>
      <w:r w:rsidR="004C71FA">
        <w:rPr>
          <w:rFonts w:hint="cs"/>
          <w:rtl/>
        </w:rPr>
        <w:t xml:space="preserve">פסקה 73  לפסק דינו של כב' השופט </w:t>
      </w:r>
      <w:proofErr w:type="spellStart"/>
      <w:r w:rsidR="004C71FA">
        <w:rPr>
          <w:rFonts w:hint="cs"/>
          <w:rtl/>
        </w:rPr>
        <w:t>פוגלמן</w:t>
      </w:r>
      <w:proofErr w:type="spellEnd"/>
      <w:r w:rsidR="004C71FA">
        <w:rPr>
          <w:rFonts w:hint="cs"/>
          <w:rtl/>
        </w:rPr>
        <w:t xml:space="preserve"> (15.12.2021))</w:t>
      </w:r>
      <w:r>
        <w:rPr>
          <w:rFonts w:hint="cs"/>
          <w:rtl/>
        </w:rPr>
        <w:t>.</w:t>
      </w:r>
      <w:r w:rsidR="005B17FE">
        <w:rPr>
          <w:rFonts w:hint="cs"/>
          <w:rtl/>
        </w:rPr>
        <w:t xml:space="preserve"> </w:t>
      </w:r>
    </w:p>
    <w:p w14:paraId="48CC8A7A" w14:textId="77777777" w:rsidR="008C5152" w:rsidRDefault="006127FD" w:rsidP="007A09D7">
      <w:pPr>
        <w:numPr>
          <w:ilvl w:val="0"/>
          <w:numId w:val="21"/>
        </w:numPr>
        <w:ind w:left="0" w:hanging="2"/>
      </w:pPr>
      <w:r>
        <w:rPr>
          <w:rFonts w:hint="cs"/>
          <w:rtl/>
        </w:rPr>
        <w:t>בהמשך לכך הובהר בפסיקה כי ניתן להחיל את הדוקטרינה האמורה (אמנם ביחס לשאלות של הפליה באכיפה הפלילית)</w:t>
      </w:r>
      <w:r>
        <w:rPr>
          <w:rFonts w:hint="cs"/>
        </w:rPr>
        <w:t xml:space="preserve"> </w:t>
      </w:r>
      <w:r>
        <w:rPr>
          <w:rFonts w:hint="cs"/>
          <w:rtl/>
        </w:rPr>
        <w:t xml:space="preserve">גם מקום </w:t>
      </w:r>
      <w:r w:rsidR="00D83553">
        <w:rPr>
          <w:rFonts w:hint="cs"/>
          <w:rtl/>
        </w:rPr>
        <w:t>ש</w:t>
      </w:r>
      <w:r>
        <w:rPr>
          <w:rFonts w:hint="cs"/>
          <w:rtl/>
        </w:rPr>
        <w:t>בו לא עמד מניע פסול בבסיס פעולת הרשות (</w:t>
      </w:r>
      <w:proofErr w:type="spellStart"/>
      <w:r>
        <w:rPr>
          <w:rFonts w:hint="cs"/>
          <w:rtl/>
        </w:rPr>
        <w:t>רע"פ</w:t>
      </w:r>
      <w:proofErr w:type="spellEnd"/>
      <w:r>
        <w:rPr>
          <w:rFonts w:hint="cs"/>
          <w:rtl/>
        </w:rPr>
        <w:t xml:space="preserve"> 1611/16 </w:t>
      </w:r>
      <w:r>
        <w:rPr>
          <w:rFonts w:hint="cs"/>
          <w:b/>
          <w:bCs/>
          <w:rtl/>
        </w:rPr>
        <w:t>ורדי נ' מדינת ישראל</w:t>
      </w:r>
      <w:r>
        <w:rPr>
          <w:rFonts w:hint="cs"/>
          <w:rtl/>
        </w:rPr>
        <w:t>, פסקה 79 לפסק דינו של כב' המשנה לנשיאה (כתוארו אז)</w:t>
      </w:r>
      <w:r>
        <w:rPr>
          <w:rFonts w:hint="cs"/>
        </w:rPr>
        <w:t xml:space="preserve"> </w:t>
      </w:r>
      <w:r>
        <w:rPr>
          <w:rFonts w:hint="cs"/>
          <w:rtl/>
        </w:rPr>
        <w:t>מלצר (31.10.2018))</w:t>
      </w:r>
      <w:r w:rsidR="004F54BE">
        <w:rPr>
          <w:rFonts w:hint="cs"/>
          <w:rtl/>
        </w:rPr>
        <w:t xml:space="preserve">, אך זאת במקרים </w:t>
      </w:r>
      <w:r>
        <w:rPr>
          <w:rFonts w:hint="cs"/>
          <w:rtl/>
        </w:rPr>
        <w:t>נדירים ו</w:t>
      </w:r>
      <w:r w:rsidR="004F54BE">
        <w:rPr>
          <w:rFonts w:hint="cs"/>
          <w:rtl/>
        </w:rPr>
        <w:t xml:space="preserve">חריגים בלבד (פסקאות 99-100 לפסק דין </w:t>
      </w:r>
      <w:r w:rsidR="004F54BE">
        <w:rPr>
          <w:rFonts w:hint="cs"/>
          <w:b/>
          <w:bCs/>
          <w:rtl/>
        </w:rPr>
        <w:t>ורדי</w:t>
      </w:r>
      <w:r w:rsidR="004F54BE">
        <w:rPr>
          <w:rFonts w:hint="cs"/>
          <w:rtl/>
        </w:rPr>
        <w:t xml:space="preserve">; </w:t>
      </w:r>
      <w:proofErr w:type="spellStart"/>
      <w:r w:rsidR="004F54BE">
        <w:rPr>
          <w:rFonts w:hint="cs"/>
          <w:rtl/>
        </w:rPr>
        <w:t>רע"פ</w:t>
      </w:r>
      <w:proofErr w:type="spellEnd"/>
      <w:r w:rsidR="004F54BE">
        <w:rPr>
          <w:rFonts w:hint="cs"/>
          <w:rtl/>
        </w:rPr>
        <w:t xml:space="preserve"> 3432/22 </w:t>
      </w:r>
      <w:r w:rsidR="004F54BE">
        <w:rPr>
          <w:rFonts w:hint="cs"/>
          <w:b/>
          <w:bCs/>
          <w:rtl/>
        </w:rPr>
        <w:t>דן נ' מדינת ישראל</w:t>
      </w:r>
      <w:r w:rsidR="004F54BE">
        <w:rPr>
          <w:rFonts w:hint="cs"/>
          <w:rtl/>
        </w:rPr>
        <w:t>, פסקה 31 (6.7.2022))</w:t>
      </w:r>
      <w:r w:rsidR="004C71FA">
        <w:rPr>
          <w:rFonts w:hint="cs"/>
          <w:rtl/>
        </w:rPr>
        <w:t xml:space="preserve">. </w:t>
      </w:r>
    </w:p>
    <w:p w14:paraId="69E94E59" w14:textId="77777777" w:rsidR="00293048" w:rsidRDefault="006127FD" w:rsidP="007A09D7">
      <w:pPr>
        <w:numPr>
          <w:ilvl w:val="0"/>
          <w:numId w:val="21"/>
        </w:numPr>
        <w:ind w:left="0" w:hanging="2"/>
      </w:pPr>
      <w:r>
        <w:rPr>
          <w:rFonts w:hint="cs"/>
          <w:rtl/>
        </w:rPr>
        <w:t xml:space="preserve">להשלמת התמונה יצוין, כי דוקטרינת ההגנה מן הצדק עוגנה גם </w:t>
      </w:r>
      <w:r w:rsidR="00D83553">
        <w:rPr>
          <w:rFonts w:hint="cs"/>
          <w:rtl/>
        </w:rPr>
        <w:t xml:space="preserve">בחקיקה </w:t>
      </w:r>
      <w:r w:rsidR="00AA7515">
        <w:rPr>
          <w:rFonts w:hint="cs"/>
          <w:rtl/>
        </w:rPr>
        <w:t xml:space="preserve">בשנת 2007, עת התקבל תיקון 51 לחוק סדר הדין הפלילי [נוסח משולב], </w:t>
      </w:r>
      <w:proofErr w:type="spellStart"/>
      <w:r w:rsidR="00AA7515">
        <w:rPr>
          <w:rFonts w:hint="cs"/>
          <w:rtl/>
        </w:rPr>
        <w:t>התשמ"ב</w:t>
      </w:r>
      <w:proofErr w:type="spellEnd"/>
      <w:r w:rsidR="00AA7515">
        <w:rPr>
          <w:rFonts w:hint="cs"/>
          <w:rtl/>
        </w:rPr>
        <w:t xml:space="preserve"> </w:t>
      </w:r>
      <w:r w:rsidR="008C5152">
        <w:rPr>
          <w:rFonts w:hint="cs"/>
          <w:rtl/>
        </w:rPr>
        <w:t>-</w:t>
      </w:r>
      <w:r w:rsidR="00AA7515">
        <w:rPr>
          <w:rFonts w:hint="cs"/>
          <w:rtl/>
        </w:rPr>
        <w:t xml:space="preserve"> 1982, ונקבע בסעיף 149(10) כי נאשם רשאי לטעון כטענה מקדמית כי הגשת כתב האישום או ניהול ההליך הפלילי עומדים בסתירה מהותית לעקרונות של צדק והגינות משפטית</w:t>
      </w:r>
      <w:r w:rsidR="00F73AB7">
        <w:rPr>
          <w:rFonts w:hint="cs"/>
          <w:rtl/>
        </w:rPr>
        <w:t xml:space="preserve"> (בהמשך לכך תוקן גם סעיף 351(ב)(6)</w:t>
      </w:r>
      <w:r w:rsidR="00F73AB7">
        <w:rPr>
          <w:rFonts w:hint="cs"/>
        </w:rPr>
        <w:t xml:space="preserve"> </w:t>
      </w:r>
      <w:r w:rsidR="00F73AB7">
        <w:rPr>
          <w:rFonts w:hint="cs"/>
          <w:rtl/>
        </w:rPr>
        <w:t>לחוק השיפוט הצבאי</w:t>
      </w:r>
      <w:r w:rsidR="000007B1">
        <w:rPr>
          <w:rFonts w:hint="cs"/>
          <w:rtl/>
        </w:rPr>
        <w:t xml:space="preserve"> </w:t>
      </w:r>
      <w:r w:rsidR="00F73AB7">
        <w:rPr>
          <w:rFonts w:hint="cs"/>
          <w:rtl/>
        </w:rPr>
        <w:t>בהתאם)</w:t>
      </w:r>
      <w:r w:rsidR="004C4F75">
        <w:rPr>
          <w:rFonts w:hint="cs"/>
          <w:rtl/>
        </w:rPr>
        <w:t>.</w:t>
      </w:r>
    </w:p>
    <w:p w14:paraId="366F98FB" w14:textId="77777777" w:rsidR="004C71FA" w:rsidRDefault="006127FD" w:rsidP="007A09D7">
      <w:pPr>
        <w:numPr>
          <w:ilvl w:val="0"/>
          <w:numId w:val="21"/>
        </w:numPr>
        <w:ind w:left="0" w:hanging="2"/>
      </w:pPr>
      <w:r>
        <w:rPr>
          <w:rFonts w:hint="cs"/>
          <w:rtl/>
        </w:rPr>
        <w:t xml:space="preserve">גם לאחר תיקון החקיקה, נותר בעינו המבחן התלת שלבי שנקבע בעניין </w:t>
      </w:r>
      <w:proofErr w:type="spellStart"/>
      <w:r>
        <w:rPr>
          <w:rFonts w:hint="cs"/>
          <w:b/>
          <w:bCs/>
          <w:rtl/>
        </w:rPr>
        <w:t>בורוביץ</w:t>
      </w:r>
      <w:proofErr w:type="spellEnd"/>
      <w:r>
        <w:rPr>
          <w:rFonts w:hint="cs"/>
          <w:rtl/>
        </w:rPr>
        <w:t xml:space="preserve">, כמבחן המנחה ביחס לטענות של הגנה מן הצדק. </w:t>
      </w:r>
      <w:r w:rsidR="0006328D">
        <w:rPr>
          <w:rFonts w:hint="cs"/>
          <w:rtl/>
        </w:rPr>
        <w:t>בשלב הראשון</w:t>
      </w:r>
      <w:r w:rsidR="00D83553">
        <w:rPr>
          <w:rFonts w:hint="cs"/>
          <w:rtl/>
        </w:rPr>
        <w:t>,</w:t>
      </w:r>
      <w:r w:rsidR="0006328D">
        <w:rPr>
          <w:rFonts w:hint="cs"/>
          <w:rtl/>
        </w:rPr>
        <w:t xml:space="preserve"> על בית </w:t>
      </w:r>
      <w:r w:rsidR="00D83553">
        <w:rPr>
          <w:rFonts w:hint="cs"/>
          <w:rtl/>
        </w:rPr>
        <w:t xml:space="preserve">הדין </w:t>
      </w:r>
      <w:r w:rsidR="0006328D">
        <w:rPr>
          <w:rFonts w:hint="cs"/>
          <w:rtl/>
        </w:rPr>
        <w:t>לזהות את הפגם שנפל בהליך ואת עוצמתו; בשלב השני על</w:t>
      </w:r>
      <w:r w:rsidR="00D83553">
        <w:rPr>
          <w:rFonts w:hint="cs"/>
          <w:rtl/>
        </w:rPr>
        <w:t xml:space="preserve">יו </w:t>
      </w:r>
      <w:r w:rsidR="0006328D">
        <w:rPr>
          <w:rFonts w:hint="cs"/>
          <w:rtl/>
        </w:rPr>
        <w:t xml:space="preserve">לבחון </w:t>
      </w:r>
      <w:r w:rsidR="00AA7515">
        <w:rPr>
          <w:rFonts w:hint="cs"/>
          <w:rtl/>
        </w:rPr>
        <w:t>האם בקיומו של ההליך הפלילי</w:t>
      </w:r>
      <w:r w:rsidR="00D83553">
        <w:rPr>
          <w:rFonts w:hint="cs"/>
          <w:rtl/>
        </w:rPr>
        <w:t>,</w:t>
      </w:r>
      <w:r w:rsidR="00AA7515">
        <w:rPr>
          <w:rFonts w:hint="cs"/>
          <w:rtl/>
        </w:rPr>
        <w:t xml:space="preserve"> חרף הפגמים</w:t>
      </w:r>
      <w:r w:rsidR="00D83553">
        <w:rPr>
          <w:rFonts w:hint="cs"/>
          <w:rtl/>
        </w:rPr>
        <w:t>,</w:t>
      </w:r>
      <w:r w:rsidR="00AA7515">
        <w:rPr>
          <w:rFonts w:hint="cs"/>
          <w:rtl/>
        </w:rPr>
        <w:t xml:space="preserve"> יש משום פגיעה חריפה בתחושת הצדק וההגינות; </w:t>
      </w:r>
      <w:r w:rsidR="00D83553">
        <w:rPr>
          <w:rFonts w:hint="cs"/>
          <w:rtl/>
        </w:rPr>
        <w:t>ו</w:t>
      </w:r>
      <w:r w:rsidR="00AA7515">
        <w:rPr>
          <w:rFonts w:hint="cs"/>
          <w:rtl/>
        </w:rPr>
        <w:t>בשלב השלישי</w:t>
      </w:r>
      <w:r w:rsidR="00D83553">
        <w:rPr>
          <w:rFonts w:hint="cs"/>
          <w:rtl/>
        </w:rPr>
        <w:t>,</w:t>
      </w:r>
      <w:r w:rsidR="00AA7515">
        <w:rPr>
          <w:rFonts w:hint="cs"/>
          <w:rtl/>
        </w:rPr>
        <w:t xml:space="preserve"> יש לבחון את הסעד הראוי בנסיבות אותו עניין, והאם ניתן לרפא אותו באמצעי מתון יותר מביטול כתב האישום, כגון הקלה בעונש. </w:t>
      </w:r>
    </w:p>
    <w:p w14:paraId="724C9731" w14:textId="77777777" w:rsidR="0040271C" w:rsidRDefault="006127FD" w:rsidP="007A09D7">
      <w:pPr>
        <w:numPr>
          <w:ilvl w:val="0"/>
          <w:numId w:val="21"/>
        </w:numPr>
        <w:ind w:left="0" w:hanging="2"/>
      </w:pPr>
      <w:r>
        <w:rPr>
          <w:rFonts w:hint="cs"/>
          <w:rtl/>
        </w:rPr>
        <w:t>ביישום לענייננו:</w:t>
      </w:r>
      <w:r w:rsidR="007935E6">
        <w:rPr>
          <w:rFonts w:hint="cs"/>
          <w:rtl/>
        </w:rPr>
        <w:t xml:space="preserve"> בעת בחינת השלב הראשון, מצאנו כי אכן נפל פגם </w:t>
      </w:r>
      <w:r w:rsidR="00842803">
        <w:rPr>
          <w:rFonts w:hint="cs"/>
          <w:rtl/>
        </w:rPr>
        <w:t>בכך ש</w:t>
      </w:r>
      <w:r w:rsidR="005B17FE">
        <w:rPr>
          <w:rFonts w:hint="cs"/>
          <w:rtl/>
        </w:rPr>
        <w:t xml:space="preserve">הליכי הערעור בעניינה של המערערת התמשכו יתר על המידה. </w:t>
      </w:r>
      <w:r w:rsidR="008C5152">
        <w:rPr>
          <w:rFonts w:hint="cs"/>
          <w:rtl/>
        </w:rPr>
        <w:t xml:space="preserve">זכותו של הנאשם כי משפטו </w:t>
      </w:r>
      <w:r w:rsidR="005B17FE">
        <w:rPr>
          <w:rFonts w:hint="cs"/>
          <w:rtl/>
        </w:rPr>
        <w:t xml:space="preserve">יתנהל תוך זמן סביר </w:t>
      </w:r>
      <w:r w:rsidR="008C5152">
        <w:rPr>
          <w:rFonts w:hint="cs"/>
          <w:rtl/>
        </w:rPr>
        <w:t xml:space="preserve">נחשבת לחלק </w:t>
      </w:r>
      <w:r w:rsidR="005B17FE">
        <w:rPr>
          <w:rFonts w:hint="cs"/>
          <w:rtl/>
        </w:rPr>
        <w:t>מ</w:t>
      </w:r>
      <w:r w:rsidR="00D83553">
        <w:rPr>
          <w:rFonts w:hint="cs"/>
          <w:rtl/>
        </w:rPr>
        <w:t xml:space="preserve">ן </w:t>
      </w:r>
      <w:r w:rsidR="005B17FE">
        <w:rPr>
          <w:rFonts w:hint="cs"/>
          <w:rtl/>
        </w:rPr>
        <w:t>הזכות החוקתית להליך הוגן (</w:t>
      </w:r>
      <w:proofErr w:type="spellStart"/>
      <w:r w:rsidR="005B17FE">
        <w:rPr>
          <w:rFonts w:hint="cs"/>
          <w:rtl/>
        </w:rPr>
        <w:t>ישגב</w:t>
      </w:r>
      <w:proofErr w:type="spellEnd"/>
      <w:r w:rsidR="005B17FE">
        <w:rPr>
          <w:rFonts w:hint="cs"/>
          <w:rtl/>
        </w:rPr>
        <w:t xml:space="preserve"> </w:t>
      </w:r>
      <w:proofErr w:type="spellStart"/>
      <w:r w:rsidR="005B17FE">
        <w:rPr>
          <w:rFonts w:hint="cs"/>
          <w:rtl/>
        </w:rPr>
        <w:t>נקדימון</w:t>
      </w:r>
      <w:proofErr w:type="spellEnd"/>
      <w:r w:rsidR="005B17FE">
        <w:rPr>
          <w:rFonts w:hint="cs"/>
          <w:rtl/>
        </w:rPr>
        <w:t xml:space="preserve"> </w:t>
      </w:r>
      <w:r w:rsidR="005B17FE" w:rsidRPr="005F76C5">
        <w:rPr>
          <w:rFonts w:hint="cs"/>
          <w:b/>
          <w:bCs/>
          <w:rtl/>
        </w:rPr>
        <w:t xml:space="preserve">הגנה מן הצדק, </w:t>
      </w:r>
      <w:r w:rsidR="005B17FE">
        <w:rPr>
          <w:rFonts w:hint="cs"/>
          <w:rtl/>
        </w:rPr>
        <w:t xml:space="preserve">318 ו-320 (מהדורה שניה 2009)). </w:t>
      </w:r>
      <w:r w:rsidR="008C5152">
        <w:rPr>
          <w:rFonts w:hint="cs"/>
          <w:rtl/>
        </w:rPr>
        <w:t xml:space="preserve">פסיקת בית המשפט העליון </w:t>
      </w:r>
      <w:r w:rsidR="00D83553">
        <w:rPr>
          <w:rFonts w:hint="cs"/>
          <w:rtl/>
        </w:rPr>
        <w:t xml:space="preserve">אכן </w:t>
      </w:r>
      <w:r w:rsidR="008C5152">
        <w:rPr>
          <w:rFonts w:hint="cs"/>
          <w:rtl/>
        </w:rPr>
        <w:t>עמדה על כך ש</w:t>
      </w:r>
      <w:r w:rsidR="005F76C5">
        <w:rPr>
          <w:rFonts w:hint="cs"/>
          <w:rtl/>
        </w:rPr>
        <w:t>זכות</w:t>
      </w:r>
      <w:r w:rsidR="005B17FE">
        <w:rPr>
          <w:rFonts w:hint="cs"/>
          <w:rtl/>
        </w:rPr>
        <w:t xml:space="preserve">ו של מי שהועמד לדין </w:t>
      </w:r>
      <w:r w:rsidR="00D83553">
        <w:rPr>
          <w:rFonts w:hint="cs"/>
          <w:rtl/>
        </w:rPr>
        <w:t xml:space="preserve">היא </w:t>
      </w:r>
      <w:r w:rsidR="005B17FE">
        <w:rPr>
          <w:rFonts w:hint="cs"/>
          <w:rtl/>
        </w:rPr>
        <w:t xml:space="preserve">כי משפטו יסתיים במהירות, בשל הלחץ והחשש המתמיד שבו </w:t>
      </w:r>
      <w:r w:rsidR="00D83553">
        <w:rPr>
          <w:rFonts w:hint="cs"/>
          <w:rtl/>
        </w:rPr>
        <w:t xml:space="preserve">הוא </w:t>
      </w:r>
      <w:r w:rsidR="005B17FE">
        <w:rPr>
          <w:rFonts w:hint="cs"/>
          <w:rtl/>
        </w:rPr>
        <w:t xml:space="preserve">מצוי, </w:t>
      </w:r>
      <w:r w:rsidR="005B17FE">
        <w:rPr>
          <w:rFonts w:hint="cs"/>
          <w:rtl/>
        </w:rPr>
        <w:lastRenderedPageBreak/>
        <w:t>ו</w:t>
      </w:r>
      <w:r w:rsidR="00D83553">
        <w:rPr>
          <w:rFonts w:hint="cs"/>
          <w:rtl/>
        </w:rPr>
        <w:t xml:space="preserve">עקב </w:t>
      </w:r>
      <w:r w:rsidR="005B17FE">
        <w:rPr>
          <w:rFonts w:hint="cs"/>
          <w:rtl/>
        </w:rPr>
        <w:t>השפעת</w:t>
      </w:r>
      <w:r w:rsidR="00D83553">
        <w:rPr>
          <w:rFonts w:hint="cs"/>
          <w:rtl/>
        </w:rPr>
        <w:t xml:space="preserve">ם של </w:t>
      </w:r>
      <w:r w:rsidR="005B17FE">
        <w:rPr>
          <w:rFonts w:hint="cs"/>
          <w:rtl/>
        </w:rPr>
        <w:t>ההליכים על ניהול תקין של חייו ו</w:t>
      </w:r>
      <w:r w:rsidR="00D83553">
        <w:rPr>
          <w:rFonts w:hint="cs"/>
          <w:rtl/>
        </w:rPr>
        <w:t xml:space="preserve">על </w:t>
      </w:r>
      <w:r w:rsidR="005B17FE">
        <w:rPr>
          <w:rFonts w:hint="cs"/>
          <w:rtl/>
        </w:rPr>
        <w:t xml:space="preserve">יכולתו להשתקם (ע"פ 2103/07 </w:t>
      </w:r>
      <w:r w:rsidR="005B17FE" w:rsidRPr="005F76C5">
        <w:rPr>
          <w:rFonts w:hint="cs"/>
          <w:b/>
          <w:bCs/>
          <w:rtl/>
        </w:rPr>
        <w:t>הורוביץ נ' מדינת ישראל</w:t>
      </w:r>
      <w:r w:rsidR="005B17FE">
        <w:rPr>
          <w:rFonts w:hint="cs"/>
          <w:rtl/>
        </w:rPr>
        <w:t xml:space="preserve">, פסקה 334 לפסק דינו של כב' השופט רובינשטיין (31.12.2008)). </w:t>
      </w:r>
    </w:p>
    <w:p w14:paraId="7F5133F9" w14:textId="77777777" w:rsidR="00027201" w:rsidRDefault="006127FD" w:rsidP="007A09D7">
      <w:pPr>
        <w:numPr>
          <w:ilvl w:val="0"/>
          <w:numId w:val="21"/>
        </w:numPr>
        <w:ind w:left="0" w:hanging="2"/>
      </w:pPr>
      <w:r>
        <w:rPr>
          <w:rFonts w:hint="cs"/>
          <w:rtl/>
        </w:rPr>
        <w:t>לצד זאת</w:t>
      </w:r>
      <w:r w:rsidR="00D83553">
        <w:rPr>
          <w:rFonts w:hint="cs"/>
          <w:rtl/>
        </w:rPr>
        <w:t>,</w:t>
      </w:r>
      <w:r>
        <w:rPr>
          <w:rFonts w:hint="cs"/>
          <w:rtl/>
        </w:rPr>
        <w:t xml:space="preserve"> בעת בחינת </w:t>
      </w:r>
      <w:r>
        <w:rPr>
          <w:rFonts w:hint="cs"/>
          <w:b/>
          <w:bCs/>
          <w:rtl/>
        </w:rPr>
        <w:t xml:space="preserve">עוצמתו </w:t>
      </w:r>
      <w:r>
        <w:rPr>
          <w:rFonts w:hint="cs"/>
          <w:rtl/>
        </w:rPr>
        <w:t>של הפגם, נתנו דעתנו לשיקולים נ</w:t>
      </w:r>
      <w:r w:rsidR="005B17FE">
        <w:rPr>
          <w:rFonts w:hint="cs"/>
          <w:rtl/>
        </w:rPr>
        <w:t>וספים שהוכר</w:t>
      </w:r>
      <w:r>
        <w:rPr>
          <w:rFonts w:hint="cs"/>
          <w:rtl/>
        </w:rPr>
        <w:t>ו</w:t>
      </w:r>
      <w:r w:rsidR="005B17FE">
        <w:rPr>
          <w:rFonts w:hint="cs"/>
          <w:rtl/>
        </w:rPr>
        <w:t xml:space="preserve"> בפסיקה,</w:t>
      </w:r>
      <w:r>
        <w:rPr>
          <w:rFonts w:hint="cs"/>
          <w:rtl/>
        </w:rPr>
        <w:t xml:space="preserve"> שעניינם </w:t>
      </w:r>
      <w:r w:rsidR="008C5152">
        <w:rPr>
          <w:rFonts w:hint="cs"/>
          <w:rtl/>
        </w:rPr>
        <w:t>ה</w:t>
      </w:r>
      <w:r w:rsidR="005B17FE">
        <w:rPr>
          <w:rFonts w:hint="cs"/>
          <w:rtl/>
        </w:rPr>
        <w:t xml:space="preserve">נזק </w:t>
      </w:r>
      <w:r w:rsidR="004167B8">
        <w:rPr>
          <w:rFonts w:hint="cs"/>
          <w:rtl/>
        </w:rPr>
        <w:t>ה</w:t>
      </w:r>
      <w:r w:rsidR="005B17FE">
        <w:rPr>
          <w:rFonts w:hint="cs"/>
          <w:rtl/>
        </w:rPr>
        <w:t>קונקרטי שנגרם לנאשם בשל התמשכות ההליכים, כגון השעי</w:t>
      </w:r>
      <w:r w:rsidR="008C5152">
        <w:rPr>
          <w:rFonts w:hint="cs"/>
          <w:rtl/>
        </w:rPr>
        <w:t>ה</w:t>
      </w:r>
      <w:r w:rsidR="005B17FE">
        <w:rPr>
          <w:rFonts w:hint="cs"/>
          <w:rtl/>
        </w:rPr>
        <w:t xml:space="preserve"> מתפקיד</w:t>
      </w:r>
      <w:r w:rsidR="00E40651">
        <w:rPr>
          <w:rFonts w:hint="cs"/>
          <w:rtl/>
        </w:rPr>
        <w:t xml:space="preserve"> </w:t>
      </w:r>
      <w:r w:rsidR="008C5152">
        <w:rPr>
          <w:rFonts w:hint="cs"/>
          <w:rtl/>
        </w:rPr>
        <w:t>(</w:t>
      </w:r>
      <w:proofErr w:type="spellStart"/>
      <w:r w:rsidR="005B17FE">
        <w:rPr>
          <w:rFonts w:hint="cs"/>
          <w:rtl/>
        </w:rPr>
        <w:t>רע"פ</w:t>
      </w:r>
      <w:proofErr w:type="spellEnd"/>
      <w:r w:rsidR="005B17FE">
        <w:rPr>
          <w:rFonts w:hint="cs"/>
          <w:rtl/>
        </w:rPr>
        <w:t xml:space="preserve"> 223/13 </w:t>
      </w:r>
      <w:r w:rsidR="005B17FE" w:rsidRPr="005F76C5">
        <w:rPr>
          <w:rFonts w:hint="cs"/>
          <w:b/>
          <w:bCs/>
          <w:rtl/>
        </w:rPr>
        <w:t>פלוני נ' מדינת ישראל</w:t>
      </w:r>
      <w:r w:rsidR="005B17FE">
        <w:rPr>
          <w:rFonts w:hint="cs"/>
          <w:rtl/>
        </w:rPr>
        <w:t xml:space="preserve">, פסקאות </w:t>
      </w:r>
      <w:r w:rsidR="00471360">
        <w:rPr>
          <w:rFonts w:hint="cs"/>
          <w:rtl/>
        </w:rPr>
        <w:t>32-30</w:t>
      </w:r>
      <w:r w:rsidR="005B17FE">
        <w:rPr>
          <w:rFonts w:hint="cs"/>
          <w:rtl/>
        </w:rPr>
        <w:t xml:space="preserve"> לפסק דינו של כב' השופט </w:t>
      </w:r>
      <w:proofErr w:type="spellStart"/>
      <w:r w:rsidR="005B17FE">
        <w:rPr>
          <w:rFonts w:hint="cs"/>
          <w:rtl/>
        </w:rPr>
        <w:t>דנציגר</w:t>
      </w:r>
      <w:proofErr w:type="spellEnd"/>
      <w:r w:rsidR="005B17FE">
        <w:rPr>
          <w:rFonts w:hint="cs"/>
          <w:rtl/>
        </w:rPr>
        <w:t xml:space="preserve"> (13.11.2013)</w:t>
      </w:r>
      <w:r w:rsidR="008C5152">
        <w:rPr>
          <w:rFonts w:hint="cs"/>
          <w:rtl/>
        </w:rPr>
        <w:t xml:space="preserve"> - שם דובר על רופא שהושעה מעבודתו במשך </w:t>
      </w:r>
      <w:r w:rsidR="00471360">
        <w:rPr>
          <w:rFonts w:hint="cs"/>
          <w:rtl/>
        </w:rPr>
        <w:t xml:space="preserve">תשע שנות ניהול </w:t>
      </w:r>
      <w:r w:rsidR="008C5152">
        <w:rPr>
          <w:rFonts w:hint="cs"/>
          <w:rtl/>
        </w:rPr>
        <w:t>ההליך)</w:t>
      </w:r>
      <w:r w:rsidR="00E40651">
        <w:rPr>
          <w:rFonts w:hint="cs"/>
          <w:rtl/>
        </w:rPr>
        <w:t>,</w:t>
      </w:r>
      <w:r w:rsidR="005B17FE" w:rsidRPr="005F76C5">
        <w:rPr>
          <w:rFonts w:hint="cs"/>
          <w:b/>
          <w:bCs/>
          <w:rtl/>
        </w:rPr>
        <w:t xml:space="preserve">  </w:t>
      </w:r>
      <w:r w:rsidR="005B17FE">
        <w:rPr>
          <w:rFonts w:hint="cs"/>
          <w:rtl/>
        </w:rPr>
        <w:t xml:space="preserve">או </w:t>
      </w:r>
      <w:r w:rsidR="004167B8">
        <w:rPr>
          <w:rFonts w:hint="cs"/>
          <w:rtl/>
        </w:rPr>
        <w:t xml:space="preserve">אי-קבלה </w:t>
      </w:r>
      <w:r w:rsidR="005B17FE">
        <w:rPr>
          <w:rFonts w:hint="cs"/>
          <w:rtl/>
        </w:rPr>
        <w:t xml:space="preserve">לעבודה (ע"פ 4735/03 </w:t>
      </w:r>
      <w:r w:rsidR="005B17FE" w:rsidRPr="005F76C5">
        <w:rPr>
          <w:rFonts w:hint="cs"/>
          <w:b/>
          <w:bCs/>
          <w:rtl/>
        </w:rPr>
        <w:t>צברי נ' מדינת ישראל</w:t>
      </w:r>
      <w:r w:rsidR="005B17FE">
        <w:rPr>
          <w:rFonts w:hint="cs"/>
          <w:rtl/>
        </w:rPr>
        <w:t xml:space="preserve">, פ"ד נח(1) 681, </w:t>
      </w:r>
      <w:r w:rsidR="004167B8">
        <w:rPr>
          <w:rFonts w:hint="cs"/>
          <w:rtl/>
        </w:rPr>
        <w:t xml:space="preserve">690-689 </w:t>
      </w:r>
      <w:r w:rsidR="005B17FE">
        <w:rPr>
          <w:rFonts w:hint="cs"/>
          <w:rtl/>
        </w:rPr>
        <w:t xml:space="preserve">(2003)). </w:t>
      </w:r>
      <w:r w:rsidR="004167B8">
        <w:rPr>
          <w:rFonts w:hint="cs"/>
          <w:rtl/>
        </w:rPr>
        <w:t>בענייננו, לא נטען, ו</w:t>
      </w:r>
      <w:r w:rsidR="005B17FE">
        <w:rPr>
          <w:rFonts w:hint="cs"/>
          <w:rtl/>
        </w:rPr>
        <w:t>לא הובאה כל ראיה</w:t>
      </w:r>
      <w:r w:rsidR="004167B8">
        <w:rPr>
          <w:rFonts w:hint="cs"/>
          <w:rtl/>
        </w:rPr>
        <w:t xml:space="preserve">, בדבר </w:t>
      </w:r>
      <w:r w:rsidR="005B17FE">
        <w:rPr>
          <w:rFonts w:hint="cs"/>
          <w:rtl/>
        </w:rPr>
        <w:t>כך ש</w:t>
      </w:r>
      <w:r w:rsidR="004167B8">
        <w:rPr>
          <w:rFonts w:hint="cs"/>
          <w:rtl/>
        </w:rPr>
        <w:t>המערער</w:t>
      </w:r>
      <w:r w:rsidR="00F73AB7">
        <w:rPr>
          <w:rFonts w:hint="cs"/>
          <w:rtl/>
        </w:rPr>
        <w:t>ת</w:t>
      </w:r>
      <w:r w:rsidR="004167B8">
        <w:rPr>
          <w:rFonts w:hint="cs"/>
          <w:rtl/>
        </w:rPr>
        <w:t xml:space="preserve"> </w:t>
      </w:r>
      <w:r w:rsidR="005B17FE">
        <w:rPr>
          <w:rFonts w:hint="cs"/>
          <w:rtl/>
        </w:rPr>
        <w:t>ניזוקה</w:t>
      </w:r>
      <w:r w:rsidR="004167B8">
        <w:rPr>
          <w:rFonts w:hint="cs"/>
          <w:rtl/>
        </w:rPr>
        <w:t>,</w:t>
      </w:r>
      <w:r w:rsidR="005B17FE">
        <w:rPr>
          <w:rFonts w:hint="cs"/>
          <w:rtl/>
        </w:rPr>
        <w:t xml:space="preserve"> במישור התעסוקתי</w:t>
      </w:r>
      <w:r w:rsidR="004167B8">
        <w:rPr>
          <w:rFonts w:hint="cs"/>
          <w:rtl/>
        </w:rPr>
        <w:t>,</w:t>
      </w:r>
      <w:r w:rsidR="005B17FE">
        <w:rPr>
          <w:rFonts w:hint="cs"/>
          <w:rtl/>
        </w:rPr>
        <w:t xml:space="preserve"> בשל התמשכות ההליכים</w:t>
      </w:r>
      <w:r w:rsidR="008C5152">
        <w:rPr>
          <w:rFonts w:hint="cs"/>
          <w:rtl/>
        </w:rPr>
        <w:t>. למעשה מטיעוני ההגנה עלה כי הה</w:t>
      </w:r>
      <w:r w:rsidR="0040271C">
        <w:rPr>
          <w:rFonts w:hint="cs"/>
          <w:rtl/>
        </w:rPr>
        <w:t xml:space="preserve">פך הוא הנכון </w:t>
      </w:r>
      <w:r w:rsidR="00544D0B">
        <w:rPr>
          <w:rFonts w:hint="cs"/>
          <w:rtl/>
        </w:rPr>
        <w:t>-</w:t>
      </w:r>
      <w:r w:rsidR="0040271C">
        <w:rPr>
          <w:rFonts w:hint="cs"/>
          <w:rtl/>
        </w:rPr>
        <w:t xml:space="preserve"> המערערת ניהלה את חייה </w:t>
      </w:r>
      <w:r w:rsidR="00544D0B">
        <w:rPr>
          <w:rFonts w:hint="cs"/>
          <w:rtl/>
        </w:rPr>
        <w:t xml:space="preserve">בשנים האחרונות </w:t>
      </w:r>
      <w:r w:rsidR="0040271C">
        <w:rPr>
          <w:rFonts w:hint="cs"/>
          <w:rtl/>
        </w:rPr>
        <w:t xml:space="preserve">באופן תקין לחלוטין, גם במישור התעסוקתי. </w:t>
      </w:r>
    </w:p>
    <w:p w14:paraId="6943DD5A" w14:textId="31E904B9" w:rsidR="005B17FE" w:rsidRDefault="006127FD" w:rsidP="007A09D7">
      <w:pPr>
        <w:numPr>
          <w:ilvl w:val="0"/>
          <w:numId w:val="21"/>
        </w:numPr>
        <w:ind w:left="0" w:hanging="2"/>
      </w:pPr>
      <w:r>
        <w:rPr>
          <w:rFonts w:hint="cs"/>
          <w:rtl/>
        </w:rPr>
        <w:t xml:space="preserve">עוד </w:t>
      </w:r>
      <w:r w:rsidR="008C5152">
        <w:rPr>
          <w:rFonts w:hint="cs"/>
          <w:rtl/>
        </w:rPr>
        <w:t xml:space="preserve">שקלנו, </w:t>
      </w:r>
      <w:r>
        <w:rPr>
          <w:rFonts w:hint="cs"/>
          <w:rtl/>
        </w:rPr>
        <w:t xml:space="preserve">בעת בחינת עוצמת הפגם, כי אף </w:t>
      </w:r>
      <w:r w:rsidR="00E3320E">
        <w:rPr>
          <w:rFonts w:hint="cs"/>
          <w:rtl/>
        </w:rPr>
        <w:t xml:space="preserve">שהאשם העיקרי  </w:t>
      </w:r>
      <w:r>
        <w:rPr>
          <w:rFonts w:hint="cs"/>
          <w:rtl/>
        </w:rPr>
        <w:t>להתמשכות ההליכים אינ</w:t>
      </w:r>
      <w:r w:rsidR="00E3320E">
        <w:rPr>
          <w:rFonts w:hint="cs"/>
          <w:rtl/>
        </w:rPr>
        <w:t>נו</w:t>
      </w:r>
      <w:r>
        <w:rPr>
          <w:rFonts w:hint="cs"/>
          <w:rtl/>
        </w:rPr>
        <w:t xml:space="preserve"> </w:t>
      </w:r>
      <w:r w:rsidR="004167B8">
        <w:rPr>
          <w:rFonts w:hint="cs"/>
          <w:rtl/>
        </w:rPr>
        <w:t>רוב</w:t>
      </w:r>
      <w:r w:rsidR="00E3320E">
        <w:rPr>
          <w:rFonts w:hint="cs"/>
          <w:rtl/>
        </w:rPr>
        <w:t>ץ</w:t>
      </w:r>
      <w:r w:rsidR="004167B8">
        <w:rPr>
          <w:rFonts w:hint="cs"/>
          <w:rtl/>
        </w:rPr>
        <w:t xml:space="preserve"> </w:t>
      </w:r>
      <w:r>
        <w:rPr>
          <w:rFonts w:hint="cs"/>
          <w:rtl/>
        </w:rPr>
        <w:t>לפתחה של המערערת</w:t>
      </w:r>
      <w:r w:rsidR="00E3320E">
        <w:rPr>
          <w:rFonts w:hint="cs"/>
          <w:rtl/>
        </w:rPr>
        <w:t xml:space="preserve"> (אלא של התביעה ובית הדין)</w:t>
      </w:r>
      <w:r>
        <w:rPr>
          <w:rFonts w:hint="cs"/>
          <w:rtl/>
        </w:rPr>
        <w:t xml:space="preserve">, הרי שגם היא עצמה לא עשתה דבר על מנת לקדם את הדיון בערעור שהוגש </w:t>
      </w:r>
      <w:r>
        <w:rPr>
          <w:rFonts w:hint="cs"/>
          <w:b/>
          <w:bCs/>
          <w:rtl/>
        </w:rPr>
        <w:t>מטעמה</w:t>
      </w:r>
      <w:r w:rsidR="00027201">
        <w:rPr>
          <w:rFonts w:hint="cs"/>
          <w:rtl/>
        </w:rPr>
        <w:t>; ולבסוף נתנו דעתנו גם לכך ש</w:t>
      </w:r>
      <w:r>
        <w:rPr>
          <w:rFonts w:hint="cs"/>
          <w:rtl/>
        </w:rPr>
        <w:t>התמשכות ההליכים</w:t>
      </w:r>
      <w:r w:rsidR="004167B8">
        <w:rPr>
          <w:rFonts w:hint="cs"/>
          <w:rtl/>
        </w:rPr>
        <w:t xml:space="preserve">, </w:t>
      </w:r>
      <w:r>
        <w:rPr>
          <w:rFonts w:hint="cs"/>
          <w:rtl/>
        </w:rPr>
        <w:t>בהליך הערעור</w:t>
      </w:r>
      <w:r w:rsidR="00027201">
        <w:rPr>
          <w:rFonts w:hint="cs"/>
          <w:rtl/>
        </w:rPr>
        <w:t xml:space="preserve">, </w:t>
      </w:r>
      <w:r w:rsidR="004167B8">
        <w:rPr>
          <w:rFonts w:hint="cs"/>
          <w:rtl/>
        </w:rPr>
        <w:t xml:space="preserve">אינה נוגעת להכרעת הדין, שעליה לא חלקו הצדדים, </w:t>
      </w:r>
      <w:r w:rsidR="004167B8" w:rsidRPr="00DE7837">
        <w:rPr>
          <w:rFonts w:hint="eastAsia"/>
          <w:rtl/>
        </w:rPr>
        <w:t>אלא</w:t>
      </w:r>
      <w:r w:rsidR="004167B8" w:rsidRPr="00DE7837">
        <w:rPr>
          <w:rtl/>
        </w:rPr>
        <w:t xml:space="preserve"> </w:t>
      </w:r>
      <w:r w:rsidR="004167B8" w:rsidRPr="00DE7837">
        <w:rPr>
          <w:rFonts w:hint="eastAsia"/>
          <w:rtl/>
        </w:rPr>
        <w:t>ל</w:t>
      </w:r>
      <w:r w:rsidR="0035731C">
        <w:rPr>
          <w:rFonts w:hint="cs"/>
          <w:rtl/>
        </w:rPr>
        <w:t>סוגיית העונש</w:t>
      </w:r>
      <w:r w:rsidR="004167B8">
        <w:rPr>
          <w:rFonts w:hint="cs"/>
          <w:rtl/>
        </w:rPr>
        <w:t xml:space="preserve"> בלבד</w:t>
      </w:r>
      <w:r w:rsidR="008C5152">
        <w:rPr>
          <w:rFonts w:hint="cs"/>
          <w:rtl/>
        </w:rPr>
        <w:t>;</w:t>
      </w:r>
      <w:r w:rsidR="00D24111">
        <w:rPr>
          <w:rFonts w:hint="cs"/>
          <w:rtl/>
        </w:rPr>
        <w:t xml:space="preserve"> </w:t>
      </w:r>
      <w:r w:rsidR="00027201">
        <w:rPr>
          <w:rFonts w:hint="cs"/>
          <w:rtl/>
        </w:rPr>
        <w:t xml:space="preserve">ואף בכך יש כדי לצמצם את הקושי ומידת חוסר הוודאות </w:t>
      </w:r>
      <w:r w:rsidR="004167B8">
        <w:rPr>
          <w:rFonts w:hint="cs"/>
          <w:rtl/>
        </w:rPr>
        <w:t>ש</w:t>
      </w:r>
      <w:r w:rsidR="00027201">
        <w:rPr>
          <w:rFonts w:hint="cs"/>
          <w:rtl/>
        </w:rPr>
        <w:t>עמם נדרשה המערערת להתמודד</w:t>
      </w:r>
      <w:r w:rsidR="008C5152">
        <w:rPr>
          <w:rFonts w:hint="cs"/>
          <w:rtl/>
        </w:rPr>
        <w:t>.</w:t>
      </w:r>
      <w:r w:rsidR="00E3320E">
        <w:rPr>
          <w:rFonts w:hint="cs"/>
          <w:rtl/>
        </w:rPr>
        <w:t xml:space="preserve"> בשים לב לכל האמור, מצאנו כי הפגם שנפל במקרה זה אינו מן החמורים</w:t>
      </w:r>
      <w:r w:rsidR="0035731C">
        <w:rPr>
          <w:rFonts w:hint="cs"/>
          <w:rtl/>
        </w:rPr>
        <w:t xml:space="preserve">. </w:t>
      </w:r>
    </w:p>
    <w:p w14:paraId="6B8FB64F" w14:textId="77777777" w:rsidR="0040271C" w:rsidRDefault="006127FD" w:rsidP="007A09D7">
      <w:pPr>
        <w:numPr>
          <w:ilvl w:val="0"/>
          <w:numId w:val="21"/>
        </w:numPr>
        <w:ind w:left="0" w:hanging="2"/>
      </w:pPr>
      <w:r>
        <w:rPr>
          <w:rFonts w:hint="cs"/>
          <w:rtl/>
        </w:rPr>
        <w:t xml:space="preserve">באשר לבחינת השלב השני, נקבע </w:t>
      </w:r>
      <w:r w:rsidR="00D24111">
        <w:rPr>
          <w:rFonts w:hint="cs"/>
          <w:rtl/>
        </w:rPr>
        <w:t xml:space="preserve">בעניין </w:t>
      </w:r>
      <w:proofErr w:type="spellStart"/>
      <w:r w:rsidR="00D24111">
        <w:rPr>
          <w:rFonts w:hint="cs"/>
          <w:b/>
          <w:bCs/>
          <w:rtl/>
        </w:rPr>
        <w:t>בורוביץ</w:t>
      </w:r>
      <w:proofErr w:type="spellEnd"/>
      <w:r w:rsidR="00D24111">
        <w:rPr>
          <w:rFonts w:hint="cs"/>
          <w:b/>
          <w:bCs/>
          <w:rtl/>
        </w:rPr>
        <w:t>'</w:t>
      </w:r>
      <w:r>
        <w:rPr>
          <w:rFonts w:hint="cs"/>
          <w:b/>
          <w:bCs/>
          <w:rtl/>
        </w:rPr>
        <w:t>,</w:t>
      </w:r>
      <w:r w:rsidR="00D24111">
        <w:rPr>
          <w:rFonts w:hint="cs"/>
          <w:rtl/>
        </w:rPr>
        <w:t xml:space="preserve"> כי </w:t>
      </w:r>
      <w:r w:rsidR="004167B8">
        <w:rPr>
          <w:rFonts w:hint="cs"/>
          <w:rtl/>
        </w:rPr>
        <w:t xml:space="preserve">את </w:t>
      </w:r>
      <w:r w:rsidR="00D24111">
        <w:rPr>
          <w:rFonts w:hint="cs"/>
          <w:rtl/>
        </w:rPr>
        <w:t xml:space="preserve">השאלה האם </w:t>
      </w:r>
      <w:r w:rsidR="004167B8">
        <w:rPr>
          <w:rFonts w:hint="cs"/>
          <w:rtl/>
        </w:rPr>
        <w:t xml:space="preserve">בקיומו של ההליך הפלילי, חרף הפגם, </w:t>
      </w:r>
      <w:r w:rsidR="00D24111">
        <w:rPr>
          <w:rFonts w:hint="cs"/>
          <w:rtl/>
        </w:rPr>
        <w:t xml:space="preserve">מתקיימת פגיעה חריפה בתחושת הצדק וההגינות </w:t>
      </w:r>
      <w:r w:rsidR="004167B8">
        <w:rPr>
          <w:rFonts w:hint="cs"/>
          <w:rtl/>
        </w:rPr>
        <w:t xml:space="preserve">- יש לבחון </w:t>
      </w:r>
      <w:r w:rsidR="00D24111">
        <w:rPr>
          <w:rFonts w:hint="cs"/>
          <w:rtl/>
        </w:rPr>
        <w:t>בהתחשב במ</w:t>
      </w:r>
      <w:r>
        <w:rPr>
          <w:rFonts w:hint="cs"/>
          <w:rtl/>
        </w:rPr>
        <w:t>כלול נסיבותיו הקונקרטיות של ההליך</w:t>
      </w:r>
      <w:r w:rsidR="00D24111">
        <w:rPr>
          <w:rFonts w:hint="cs"/>
          <w:rtl/>
        </w:rPr>
        <w:t xml:space="preserve">, תוך איזון מספר שיקולים שעניינם בין היתר - </w:t>
      </w:r>
      <w:r>
        <w:rPr>
          <w:rFonts w:hint="cs"/>
          <w:rtl/>
        </w:rPr>
        <w:t>חומרת העבירה, עוצמת הראיות, נסיבותיהם האישיות של הנאשם ושל קרבן העבירה, חומרת הפגיעה בזכויות הנאשם, האשם שרובץ על כתפי הרשות והשאלה אם פעלה בזדון או בתום לב</w:t>
      </w:r>
      <w:r w:rsidR="00D24111">
        <w:rPr>
          <w:rFonts w:hint="cs"/>
          <w:rtl/>
        </w:rPr>
        <w:t xml:space="preserve">. </w:t>
      </w:r>
    </w:p>
    <w:p w14:paraId="0351F521" w14:textId="77777777" w:rsidR="009A7449" w:rsidRDefault="006127FD" w:rsidP="007A09D7">
      <w:pPr>
        <w:numPr>
          <w:ilvl w:val="0"/>
          <w:numId w:val="21"/>
        </w:numPr>
        <w:ind w:left="0" w:hanging="2"/>
      </w:pPr>
      <w:r>
        <w:rPr>
          <w:rFonts w:hint="cs"/>
          <w:rtl/>
        </w:rPr>
        <w:t xml:space="preserve">בעת בחינת השיקולים האמורים, נתנו דעתנו לכך שהמערערת הורשעה </w:t>
      </w:r>
      <w:r w:rsidR="00161275">
        <w:rPr>
          <w:rFonts w:hint="cs"/>
          <w:rtl/>
        </w:rPr>
        <w:t>(הרשעה שכאמור עובדותיה מוסכמות ואינן נתונות לערעור)</w:t>
      </w:r>
      <w:r w:rsidR="00161275">
        <w:rPr>
          <w:rFonts w:hint="cs"/>
        </w:rPr>
        <w:t xml:space="preserve"> </w:t>
      </w:r>
      <w:r>
        <w:rPr>
          <w:rFonts w:hint="cs"/>
          <w:rtl/>
        </w:rPr>
        <w:t>בעבירה חמורה</w:t>
      </w:r>
      <w:r w:rsidR="00161275">
        <w:rPr>
          <w:rFonts w:hint="cs"/>
          <w:rtl/>
        </w:rPr>
        <w:t xml:space="preserve">, שיש בה כדי לפגוע </w:t>
      </w:r>
      <w:r w:rsidR="0035731C">
        <w:rPr>
          <w:rFonts w:hint="cs"/>
          <w:rtl/>
        </w:rPr>
        <w:t xml:space="preserve">בכבודה ובפרטיותה של חברתה ליחידה, </w:t>
      </w:r>
      <w:r w:rsidR="004167B8">
        <w:rPr>
          <w:rFonts w:hint="cs"/>
          <w:rtl/>
        </w:rPr>
        <w:t>ו</w:t>
      </w:r>
      <w:r w:rsidR="0035731C">
        <w:rPr>
          <w:rFonts w:hint="cs"/>
          <w:rtl/>
        </w:rPr>
        <w:t xml:space="preserve">לגרום לה לביזוי ולעוגמת נפש רבה. בכך פגעה גם בערכים המוגנים שעניינם שמירה על </w:t>
      </w:r>
      <w:r w:rsidR="004167B8">
        <w:rPr>
          <w:rFonts w:hint="cs"/>
          <w:rtl/>
        </w:rPr>
        <w:t>ה</w:t>
      </w:r>
      <w:r w:rsidR="0035731C">
        <w:rPr>
          <w:rFonts w:hint="cs"/>
          <w:rtl/>
        </w:rPr>
        <w:t xml:space="preserve">רעות </w:t>
      </w:r>
      <w:r w:rsidR="00043D80">
        <w:rPr>
          <w:rFonts w:hint="cs"/>
          <w:rtl/>
        </w:rPr>
        <w:t xml:space="preserve">ויחסי האמון </w:t>
      </w:r>
      <w:r w:rsidR="0035731C">
        <w:rPr>
          <w:rFonts w:hint="cs"/>
          <w:rtl/>
        </w:rPr>
        <w:t xml:space="preserve">בין חיילים המשרתים יחדיו, </w:t>
      </w:r>
      <w:r w:rsidR="004167B8">
        <w:rPr>
          <w:rFonts w:hint="cs"/>
          <w:rtl/>
        </w:rPr>
        <w:t>מכוח חוק.</w:t>
      </w:r>
    </w:p>
    <w:p w14:paraId="7A35B359" w14:textId="77777777" w:rsidR="00D24111" w:rsidRDefault="006127FD" w:rsidP="007A09D7">
      <w:pPr>
        <w:numPr>
          <w:ilvl w:val="0"/>
          <w:numId w:val="21"/>
        </w:numPr>
        <w:ind w:left="0" w:hanging="2"/>
      </w:pPr>
      <w:r>
        <w:rPr>
          <w:rFonts w:hint="cs"/>
          <w:rtl/>
        </w:rPr>
        <w:t xml:space="preserve">כפי שבואר לעיל, </w:t>
      </w:r>
      <w:r w:rsidR="0035731C">
        <w:rPr>
          <w:rFonts w:hint="cs"/>
          <w:rtl/>
        </w:rPr>
        <w:t>נוכח ההתפתחות הטכנולוגית</w:t>
      </w:r>
      <w:r w:rsidR="00F839AE">
        <w:rPr>
          <w:rFonts w:hint="cs"/>
          <w:rtl/>
        </w:rPr>
        <w:t xml:space="preserve"> וריבוי העבירות </w:t>
      </w:r>
      <w:r w:rsidR="00705C66">
        <w:rPr>
          <w:rFonts w:hint="cs"/>
          <w:rtl/>
        </w:rPr>
        <w:t>הכרוכות בכך</w:t>
      </w:r>
      <w:r w:rsidR="0035731C">
        <w:rPr>
          <w:rFonts w:hint="cs"/>
          <w:rtl/>
        </w:rPr>
        <w:t xml:space="preserve">, </w:t>
      </w:r>
      <w:r w:rsidR="00161275">
        <w:rPr>
          <w:rFonts w:hint="cs"/>
          <w:rtl/>
        </w:rPr>
        <w:t xml:space="preserve">תוקן תיקון מס' 10 לחוק למניעת הטרדה מינית, כך שנקבע בסעיף 3(א)5א לחוק, כי פרסום תצלום של אדם המתמקד במיניותו, בנסיבות שבהן הפרסום עלול להשפיל את האדם או לבזותו הוא בבחינת הטרדה מינית; ואף הפסיקה נתנה דעתה לצורך </w:t>
      </w:r>
      <w:r w:rsidR="00F839AE">
        <w:rPr>
          <w:rFonts w:hint="cs"/>
          <w:rtl/>
        </w:rPr>
        <w:t>בהחמרת הענישה בעבירות אלה</w:t>
      </w:r>
      <w:r w:rsidR="00161275">
        <w:rPr>
          <w:rFonts w:hint="cs"/>
          <w:rtl/>
        </w:rPr>
        <w:t xml:space="preserve">, </w:t>
      </w:r>
      <w:r w:rsidR="00271AC6">
        <w:rPr>
          <w:rFonts w:hint="cs"/>
          <w:rtl/>
        </w:rPr>
        <w:t>לאור  פגיעתן הקשה בנפגעי העבירה וכן לצרכי הרתעת הרבים (</w:t>
      </w:r>
      <w:proofErr w:type="spellStart"/>
      <w:r w:rsidR="00271AC6">
        <w:rPr>
          <w:rFonts w:hint="cs"/>
          <w:rtl/>
        </w:rPr>
        <w:t>רע"פ</w:t>
      </w:r>
      <w:proofErr w:type="spellEnd"/>
      <w:r w:rsidR="00271AC6">
        <w:rPr>
          <w:rFonts w:hint="cs"/>
          <w:rtl/>
        </w:rPr>
        <w:t xml:space="preserve"> 1024/21 </w:t>
      </w:r>
      <w:r w:rsidR="00271AC6" w:rsidRPr="00882F9F">
        <w:rPr>
          <w:rFonts w:hint="cs"/>
          <w:b/>
          <w:bCs/>
          <w:rtl/>
        </w:rPr>
        <w:t>פלוני נ' מדינת ישראל</w:t>
      </w:r>
      <w:r w:rsidR="00271AC6">
        <w:rPr>
          <w:rFonts w:hint="cs"/>
          <w:rtl/>
        </w:rPr>
        <w:t>, פסקה 9 (17.3.2021);</w:t>
      </w:r>
      <w:r w:rsidR="00271AC6" w:rsidRPr="00882F9F">
        <w:rPr>
          <w:rFonts w:hint="cs"/>
          <w:b/>
          <w:bCs/>
          <w:rtl/>
        </w:rPr>
        <w:t xml:space="preserve"> </w:t>
      </w:r>
      <w:r w:rsidR="00271AC6">
        <w:rPr>
          <w:rFonts w:hint="cs"/>
          <w:rtl/>
        </w:rPr>
        <w:t xml:space="preserve">ע/2/21 </w:t>
      </w:r>
      <w:r w:rsidR="00271AC6" w:rsidRPr="00882F9F">
        <w:rPr>
          <w:rFonts w:hint="cs"/>
          <w:b/>
          <w:bCs/>
          <w:rtl/>
        </w:rPr>
        <w:t xml:space="preserve">רב"ט כברה נ' התובע הצבאי הראשי, </w:t>
      </w:r>
      <w:r w:rsidR="00271AC6">
        <w:rPr>
          <w:rFonts w:hint="cs"/>
          <w:rtl/>
        </w:rPr>
        <w:t xml:space="preserve">פסקאות 23-24 </w:t>
      </w:r>
      <w:r w:rsidR="00271AC6">
        <w:rPr>
          <w:rFonts w:hint="cs"/>
          <w:rtl/>
        </w:rPr>
        <w:lastRenderedPageBreak/>
        <w:t>(2021))</w:t>
      </w:r>
      <w:r w:rsidR="00544D0B">
        <w:rPr>
          <w:rFonts w:hint="cs"/>
          <w:rtl/>
        </w:rPr>
        <w:t xml:space="preserve">. מטעם זה גם </w:t>
      </w:r>
      <w:r w:rsidR="00882F9F">
        <w:rPr>
          <w:rFonts w:hint="cs"/>
          <w:rtl/>
        </w:rPr>
        <w:t xml:space="preserve">לא התערב בית המשפט העליון בהחלטה להורות על הרשעתם בדין של </w:t>
      </w:r>
      <w:r w:rsidR="00544D0B">
        <w:rPr>
          <w:rFonts w:hint="cs"/>
          <w:rtl/>
        </w:rPr>
        <w:t>קטינים</w:t>
      </w:r>
      <w:r w:rsidR="00882F9F">
        <w:rPr>
          <w:rFonts w:hint="cs"/>
          <w:rtl/>
        </w:rPr>
        <w:t xml:space="preserve"> בגין עבירות אלה, חלף הימנעות מהרשעה </w:t>
      </w:r>
      <w:r w:rsidR="00544D0B">
        <w:rPr>
          <w:rFonts w:hint="cs"/>
          <w:rtl/>
        </w:rPr>
        <w:t>(</w:t>
      </w:r>
      <w:proofErr w:type="spellStart"/>
      <w:r w:rsidR="00544D0B">
        <w:rPr>
          <w:rFonts w:hint="cs"/>
          <w:rtl/>
        </w:rPr>
        <w:t>רע"פ</w:t>
      </w:r>
      <w:proofErr w:type="spellEnd"/>
      <w:r w:rsidR="00544D0B">
        <w:rPr>
          <w:rFonts w:hint="cs"/>
          <w:rtl/>
        </w:rPr>
        <w:t xml:space="preserve"> 5745/19 </w:t>
      </w:r>
      <w:r w:rsidR="00544D0B" w:rsidRPr="00882F9F">
        <w:rPr>
          <w:rFonts w:hint="cs"/>
          <w:b/>
          <w:bCs/>
          <w:rtl/>
        </w:rPr>
        <w:t>פלוני נ' מדינת ישראל</w:t>
      </w:r>
      <w:r w:rsidR="00544D0B">
        <w:rPr>
          <w:rFonts w:hint="cs"/>
          <w:rtl/>
        </w:rPr>
        <w:t xml:space="preserve">, </w:t>
      </w:r>
      <w:r w:rsidR="00544D0B" w:rsidRPr="00271AC6">
        <w:rPr>
          <w:rFonts w:hint="cs"/>
          <w:rtl/>
        </w:rPr>
        <w:t>פסקה 12 (23.10.2019)</w:t>
      </w:r>
      <w:r w:rsidR="00705C66">
        <w:rPr>
          <w:rFonts w:hint="cs"/>
          <w:rtl/>
        </w:rPr>
        <w:t>)</w:t>
      </w:r>
      <w:r w:rsidR="00271AC6">
        <w:rPr>
          <w:rFonts w:hint="cs"/>
          <w:rtl/>
        </w:rPr>
        <w:t xml:space="preserve">. </w:t>
      </w:r>
    </w:p>
    <w:p w14:paraId="792E5EA8" w14:textId="77777777" w:rsidR="004007BD" w:rsidRDefault="006127FD" w:rsidP="007A09D7">
      <w:pPr>
        <w:numPr>
          <w:ilvl w:val="0"/>
          <w:numId w:val="21"/>
        </w:numPr>
        <w:ind w:left="0" w:hanging="2"/>
      </w:pPr>
      <w:r>
        <w:rPr>
          <w:rFonts w:hint="cs"/>
          <w:rtl/>
        </w:rPr>
        <w:t xml:space="preserve">שקלנו עוד, כי </w:t>
      </w:r>
      <w:r w:rsidR="004C4F75">
        <w:rPr>
          <w:rFonts w:hint="cs"/>
          <w:rtl/>
        </w:rPr>
        <w:t xml:space="preserve">המערערת </w:t>
      </w:r>
      <w:r w:rsidR="00705C66">
        <w:rPr>
          <w:rFonts w:hint="cs"/>
          <w:rtl/>
        </w:rPr>
        <w:t>לא שילמה</w:t>
      </w:r>
      <w:r w:rsidR="001B189D">
        <w:rPr>
          <w:rFonts w:hint="cs"/>
          <w:rtl/>
        </w:rPr>
        <w:t xml:space="preserve"> לנפגעת העבירה </w:t>
      </w:r>
      <w:r w:rsidR="00705C66">
        <w:rPr>
          <w:rFonts w:hint="cs"/>
          <w:rtl/>
        </w:rPr>
        <w:t xml:space="preserve">את סכום הפיצוי </w:t>
      </w:r>
      <w:r w:rsidR="001B189D">
        <w:rPr>
          <w:rFonts w:hint="cs"/>
          <w:rtl/>
        </w:rPr>
        <w:t>שהושת עליה בערכאה הראשונה</w:t>
      </w:r>
      <w:r w:rsidR="00705C66">
        <w:rPr>
          <w:rFonts w:hint="cs"/>
          <w:rtl/>
        </w:rPr>
        <w:t>, ו</w:t>
      </w:r>
      <w:r w:rsidR="00A5375C">
        <w:rPr>
          <w:rFonts w:hint="cs"/>
          <w:rtl/>
        </w:rPr>
        <w:t xml:space="preserve">זאת אף </w:t>
      </w:r>
      <w:r w:rsidR="001847ED">
        <w:rPr>
          <w:rFonts w:hint="cs"/>
          <w:rtl/>
        </w:rPr>
        <w:t>שלא חלקה על רכיב זה בערעור, ו</w:t>
      </w:r>
      <w:r w:rsidR="001B189D">
        <w:rPr>
          <w:rFonts w:hint="cs"/>
          <w:rtl/>
        </w:rPr>
        <w:t>אף הצהירה בעבר כי בכוונתה לשלמו</w:t>
      </w:r>
      <w:r w:rsidR="001847ED">
        <w:rPr>
          <w:rFonts w:hint="cs"/>
          <w:rtl/>
        </w:rPr>
        <w:t xml:space="preserve"> בהקדם</w:t>
      </w:r>
      <w:r w:rsidR="001B189D">
        <w:rPr>
          <w:rFonts w:hint="cs"/>
          <w:rtl/>
        </w:rPr>
        <w:t xml:space="preserve">. כלל ידוע הוא כי על הפונה בבקשה לקבלת סעד מן הצדק לבוא בידיים נקיות (בג"ץ 8582/17 </w:t>
      </w:r>
      <w:r w:rsidR="001B189D" w:rsidRPr="009A7449">
        <w:rPr>
          <w:rFonts w:hint="cs"/>
          <w:b/>
          <w:bCs/>
          <w:rtl/>
        </w:rPr>
        <w:t>אביחיל נ' היועץ המשפטי לממשלה</w:t>
      </w:r>
      <w:r w:rsidR="001B189D">
        <w:rPr>
          <w:rFonts w:hint="cs"/>
          <w:rtl/>
        </w:rPr>
        <w:t xml:space="preserve">, פסקה 6 (18.1.2018)); והימנעותה של המערערת מתשלום הפיצוי </w:t>
      </w:r>
      <w:r w:rsidR="006336B3">
        <w:rPr>
          <w:rFonts w:hint="cs"/>
          <w:rtl/>
        </w:rPr>
        <w:t>(לאחר שכאמור לא ערערה על עצם הרשעתה בדין, ואף לא השיגה בערעורה כנגד חיובה בתשלום פיצויים)</w:t>
      </w:r>
      <w:r w:rsidR="006336B3">
        <w:rPr>
          <w:rFonts w:hint="cs"/>
        </w:rPr>
        <w:t xml:space="preserve"> </w:t>
      </w:r>
      <w:r w:rsidR="001847ED">
        <w:rPr>
          <w:rFonts w:hint="cs"/>
          <w:rtl/>
        </w:rPr>
        <w:t xml:space="preserve">היא </w:t>
      </w:r>
      <w:r w:rsidR="001B189D">
        <w:rPr>
          <w:rFonts w:hint="cs"/>
          <w:rtl/>
        </w:rPr>
        <w:t>בבחינת ההיפך הגמור</w:t>
      </w:r>
      <w:r w:rsidR="00A5375C">
        <w:rPr>
          <w:rFonts w:hint="cs"/>
          <w:rtl/>
        </w:rPr>
        <w:t xml:space="preserve"> מכך</w:t>
      </w:r>
      <w:r w:rsidR="001B189D">
        <w:rPr>
          <w:rFonts w:hint="cs"/>
          <w:rtl/>
        </w:rPr>
        <w:t>. למעלה מן הצורך נציין, כי גם אין כל ממש בטענ</w:t>
      </w:r>
      <w:r w:rsidR="00446075">
        <w:rPr>
          <w:rFonts w:hint="cs"/>
          <w:rtl/>
        </w:rPr>
        <w:t>ת המערערת</w:t>
      </w:r>
      <w:r w:rsidR="001B189D">
        <w:rPr>
          <w:rFonts w:hint="cs"/>
          <w:rtl/>
        </w:rPr>
        <w:t xml:space="preserve"> </w:t>
      </w:r>
      <w:r w:rsidR="001847ED">
        <w:rPr>
          <w:rFonts w:hint="cs"/>
          <w:rtl/>
        </w:rPr>
        <w:t>ש</w:t>
      </w:r>
      <w:r w:rsidR="001B189D">
        <w:rPr>
          <w:rFonts w:hint="cs"/>
          <w:rtl/>
        </w:rPr>
        <w:t xml:space="preserve">לפיה </w:t>
      </w:r>
      <w:r w:rsidR="00446075">
        <w:rPr>
          <w:rFonts w:hint="cs"/>
          <w:rtl/>
        </w:rPr>
        <w:t>נוכח חלוף הזמן התיישן עונש זה</w:t>
      </w:r>
      <w:r w:rsidR="00A5375C">
        <w:rPr>
          <w:rFonts w:hint="cs"/>
          <w:rtl/>
        </w:rPr>
        <w:t xml:space="preserve">. </w:t>
      </w:r>
      <w:r w:rsidR="00446075">
        <w:rPr>
          <w:rFonts w:hint="cs"/>
          <w:rtl/>
        </w:rPr>
        <w:t>בסעיף 498 לחוק השיפוט הצבאי</w:t>
      </w:r>
      <w:r w:rsidR="00A5375C">
        <w:rPr>
          <w:rFonts w:hint="cs"/>
          <w:rtl/>
        </w:rPr>
        <w:t xml:space="preserve"> נקבע כי </w:t>
      </w:r>
      <w:r w:rsidR="00446075">
        <w:rPr>
          <w:rFonts w:hint="cs"/>
          <w:rtl/>
        </w:rPr>
        <w:t>מקום בו נתחייב אדם לשלם פיצויים</w:t>
      </w:r>
      <w:r w:rsidR="001847ED">
        <w:rPr>
          <w:rFonts w:hint="cs"/>
          <w:rtl/>
        </w:rPr>
        <w:t>,</w:t>
      </w:r>
      <w:r w:rsidR="00446075">
        <w:rPr>
          <w:rFonts w:hint="cs"/>
          <w:rtl/>
        </w:rPr>
        <w:t xml:space="preserve"> יהיה דינם כדין סכום שנפסק על ידי פסק דין של בית משפט בתביעה אזרחית. בסעיף 21 לחוק ההתיישנות, תשי"ח </w:t>
      </w:r>
      <w:r w:rsidR="00A5375C">
        <w:rPr>
          <w:rFonts w:hint="cs"/>
          <w:rtl/>
        </w:rPr>
        <w:t>-</w:t>
      </w:r>
      <w:r w:rsidR="00446075">
        <w:rPr>
          <w:rFonts w:hint="cs"/>
          <w:rtl/>
        </w:rPr>
        <w:t xml:space="preserve"> 1958 נקבע כי התיישנות פסק דין </w:t>
      </w:r>
      <w:r w:rsidR="001847ED">
        <w:rPr>
          <w:rFonts w:hint="cs"/>
          <w:rtl/>
        </w:rPr>
        <w:t xml:space="preserve">חלה </w:t>
      </w:r>
      <w:r w:rsidR="00446075">
        <w:rPr>
          <w:rFonts w:hint="cs"/>
          <w:rtl/>
        </w:rPr>
        <w:t>לאחר 25 שנים. ודאי</w:t>
      </w:r>
      <w:r w:rsidR="001847ED">
        <w:rPr>
          <w:rFonts w:hint="cs"/>
          <w:rtl/>
        </w:rPr>
        <w:t>,</w:t>
      </w:r>
      <w:r w:rsidR="00446075">
        <w:rPr>
          <w:rFonts w:hint="cs"/>
          <w:rtl/>
        </w:rPr>
        <w:t xml:space="preserve"> </w:t>
      </w:r>
      <w:r w:rsidR="00A5375C">
        <w:rPr>
          <w:rFonts w:hint="cs"/>
          <w:rtl/>
        </w:rPr>
        <w:t>אפוא</w:t>
      </w:r>
      <w:r w:rsidR="001847ED">
        <w:rPr>
          <w:rFonts w:hint="cs"/>
          <w:rtl/>
        </w:rPr>
        <w:t>, כי</w:t>
      </w:r>
      <w:r w:rsidR="00A5375C">
        <w:rPr>
          <w:rFonts w:hint="cs"/>
          <w:rtl/>
        </w:rPr>
        <w:t xml:space="preserve"> </w:t>
      </w:r>
      <w:r w:rsidR="00446075">
        <w:rPr>
          <w:rFonts w:hint="cs"/>
          <w:rtl/>
        </w:rPr>
        <w:t>רכיב זה עומד בתוקפו, ומוטב היה לטענה זו שלא תישמע כלל בנסיבות העניין.</w:t>
      </w:r>
    </w:p>
    <w:p w14:paraId="02F25795" w14:textId="77777777" w:rsidR="00544D0B" w:rsidRDefault="006127FD" w:rsidP="007A09D7">
      <w:pPr>
        <w:numPr>
          <w:ilvl w:val="0"/>
          <w:numId w:val="21"/>
        </w:numPr>
        <w:ind w:left="0" w:hanging="2"/>
      </w:pPr>
      <w:r>
        <w:rPr>
          <w:rFonts w:hint="cs"/>
          <w:rtl/>
        </w:rPr>
        <w:t xml:space="preserve">לצד זאת שקלנו את </w:t>
      </w:r>
      <w:r w:rsidR="001B189D">
        <w:rPr>
          <w:rFonts w:hint="cs"/>
          <w:rtl/>
        </w:rPr>
        <w:t>משך הזמן שחלף מאז ביצוע העבירות</w:t>
      </w:r>
      <w:r w:rsidR="00A5375C">
        <w:rPr>
          <w:rFonts w:hint="cs"/>
          <w:rtl/>
        </w:rPr>
        <w:t>.</w:t>
      </w:r>
      <w:r w:rsidR="001B189D">
        <w:rPr>
          <w:rFonts w:hint="cs"/>
          <w:rtl/>
        </w:rPr>
        <w:t xml:space="preserve"> התחשבנו בכך שהמערערת ניהלה מאז אורח חיים </w:t>
      </w:r>
      <w:r w:rsidR="004E1CA9">
        <w:rPr>
          <w:rFonts w:hint="cs"/>
          <w:rtl/>
        </w:rPr>
        <w:t xml:space="preserve">נורמטיבי, </w:t>
      </w:r>
      <w:r w:rsidR="001B189D">
        <w:rPr>
          <w:rFonts w:hint="cs"/>
          <w:rtl/>
        </w:rPr>
        <w:t>וכן נתנו דעתנו ל</w:t>
      </w:r>
      <w:r>
        <w:rPr>
          <w:rFonts w:hint="cs"/>
          <w:rtl/>
        </w:rPr>
        <w:t>נסיבותיה האישיות של המערערת ו</w:t>
      </w:r>
      <w:r w:rsidR="001B189D">
        <w:rPr>
          <w:rFonts w:hint="cs"/>
          <w:rtl/>
        </w:rPr>
        <w:t>ל</w:t>
      </w:r>
      <w:r>
        <w:rPr>
          <w:rFonts w:hint="cs"/>
          <w:rtl/>
        </w:rPr>
        <w:t>מידע שהובא בפנינו על ידי בא כוחה בדבר ה</w:t>
      </w:r>
      <w:r w:rsidR="00A5375C">
        <w:rPr>
          <w:rFonts w:hint="cs"/>
          <w:rtl/>
        </w:rPr>
        <w:t xml:space="preserve">קושי הנפשי </w:t>
      </w:r>
      <w:r w:rsidR="004E1CA9">
        <w:rPr>
          <w:rFonts w:hint="cs"/>
          <w:rtl/>
        </w:rPr>
        <w:t>ש</w:t>
      </w:r>
      <w:r w:rsidR="00A5375C">
        <w:rPr>
          <w:rFonts w:hint="cs"/>
          <w:rtl/>
        </w:rPr>
        <w:t xml:space="preserve">עמו היא מתמודדת עקב </w:t>
      </w:r>
      <w:r>
        <w:rPr>
          <w:rFonts w:hint="cs"/>
          <w:rtl/>
        </w:rPr>
        <w:t xml:space="preserve">חידוש ההליכים בעניינה. </w:t>
      </w:r>
    </w:p>
    <w:p w14:paraId="2616AF0B" w14:textId="612569AE" w:rsidR="00544D0B" w:rsidRDefault="006127FD" w:rsidP="007A09D7">
      <w:pPr>
        <w:numPr>
          <w:ilvl w:val="0"/>
          <w:numId w:val="21"/>
        </w:numPr>
        <w:ind w:left="0" w:hanging="2"/>
      </w:pPr>
      <w:r>
        <w:rPr>
          <w:rFonts w:hint="cs"/>
          <w:rtl/>
        </w:rPr>
        <w:t xml:space="preserve">לאחר בחינת כלל השיקולים האמורים, מצאנו </w:t>
      </w:r>
      <w:r w:rsidR="004E1CA9">
        <w:rPr>
          <w:rFonts w:hint="cs"/>
          <w:rtl/>
        </w:rPr>
        <w:t xml:space="preserve">לדחות </w:t>
      </w:r>
      <w:r>
        <w:rPr>
          <w:rFonts w:hint="cs"/>
          <w:rtl/>
        </w:rPr>
        <w:t xml:space="preserve"> את עמדת ההגנה</w:t>
      </w:r>
      <w:r w:rsidR="004E1CA9">
        <w:rPr>
          <w:rFonts w:hint="cs"/>
          <w:rtl/>
        </w:rPr>
        <w:t>,</w:t>
      </w:r>
      <w:r>
        <w:rPr>
          <w:rFonts w:hint="cs"/>
          <w:rtl/>
        </w:rPr>
        <w:t xml:space="preserve"> </w:t>
      </w:r>
      <w:r w:rsidR="004E1CA9">
        <w:rPr>
          <w:rFonts w:hint="cs"/>
          <w:rtl/>
        </w:rPr>
        <w:t>ש</w:t>
      </w:r>
      <w:r>
        <w:rPr>
          <w:rFonts w:hint="cs"/>
          <w:rtl/>
        </w:rPr>
        <w:t xml:space="preserve">לפיה בעצם קיומו של ההליך או בהותרת הרשעתה של המערערת </w:t>
      </w:r>
      <w:r w:rsidR="00882F9F">
        <w:rPr>
          <w:rFonts w:hint="cs"/>
          <w:rtl/>
        </w:rPr>
        <w:t>על כ</w:t>
      </w:r>
      <w:r w:rsidR="00A5375C">
        <w:rPr>
          <w:rFonts w:hint="cs"/>
          <w:rtl/>
        </w:rPr>
        <w:t xml:space="preserve">נה </w:t>
      </w:r>
      <w:r w:rsidR="00882F9F">
        <w:rPr>
          <w:rFonts w:hint="cs"/>
          <w:rtl/>
        </w:rPr>
        <w:t>יש משום פגיעה בתחושת הצדק וההגינות</w:t>
      </w:r>
      <w:r w:rsidR="00134545">
        <w:rPr>
          <w:rFonts w:hint="cs"/>
          <w:rtl/>
        </w:rPr>
        <w:t>, באופן המצדיק את הסעד הגורף של ביטול ההליך או המרת סעיף האישום</w:t>
      </w:r>
      <w:r w:rsidR="00882F9F">
        <w:rPr>
          <w:rFonts w:hint="cs"/>
          <w:rtl/>
        </w:rPr>
        <w:t xml:space="preserve">. בפסיקת בית המשפט העליון, אשר בחנה גם את </w:t>
      </w:r>
      <w:r>
        <w:rPr>
          <w:rFonts w:hint="cs"/>
          <w:rtl/>
        </w:rPr>
        <w:t xml:space="preserve">פסיקת בית המשפט האירופי לזכויות אדם ובית הלורדים הבריטי, נקבע כי התמשכות ההליכים אינה מצדיקה ככלל את ביטול כתב האישום או </w:t>
      </w:r>
      <w:r w:rsidR="004E1CA9">
        <w:rPr>
          <w:rFonts w:hint="cs"/>
          <w:rtl/>
        </w:rPr>
        <w:t xml:space="preserve">את </w:t>
      </w:r>
      <w:r>
        <w:rPr>
          <w:rFonts w:hint="cs"/>
          <w:rtl/>
        </w:rPr>
        <w:t xml:space="preserve">זיכויו </w:t>
      </w:r>
      <w:r w:rsidR="00446075">
        <w:rPr>
          <w:rFonts w:hint="cs"/>
          <w:rtl/>
        </w:rPr>
        <w:t xml:space="preserve">של הנאשם </w:t>
      </w:r>
      <w:r>
        <w:rPr>
          <w:rFonts w:hint="cs"/>
          <w:rtl/>
        </w:rPr>
        <w:t xml:space="preserve">(ע"פ 7696/14 </w:t>
      </w:r>
      <w:r w:rsidRPr="004007BD">
        <w:rPr>
          <w:rFonts w:hint="cs"/>
          <w:b/>
          <w:bCs/>
          <w:rtl/>
        </w:rPr>
        <w:t>גבריאלי נ' מדינת ישראל</w:t>
      </w:r>
      <w:r>
        <w:rPr>
          <w:rFonts w:hint="cs"/>
          <w:rtl/>
        </w:rPr>
        <w:t>, פסקאות יא-</w:t>
      </w:r>
      <w:proofErr w:type="spellStart"/>
      <w:r>
        <w:rPr>
          <w:rFonts w:hint="cs"/>
          <w:rtl/>
        </w:rPr>
        <w:t>טז</w:t>
      </w:r>
      <w:proofErr w:type="spellEnd"/>
      <w:r>
        <w:rPr>
          <w:rFonts w:hint="cs"/>
          <w:rtl/>
        </w:rPr>
        <w:t xml:space="preserve"> (11.2.2015)</w:t>
      </w:r>
      <w:r w:rsidR="00E40651">
        <w:rPr>
          <w:rFonts w:hint="cs"/>
          <w:rtl/>
        </w:rPr>
        <w:t xml:space="preserve">, שם דובר על פער של </w:t>
      </w:r>
      <w:r w:rsidR="004E1CA9">
        <w:rPr>
          <w:rFonts w:hint="cs"/>
          <w:rtl/>
        </w:rPr>
        <w:t xml:space="preserve">שמונה </w:t>
      </w:r>
      <w:r w:rsidR="00E40651">
        <w:rPr>
          <w:rFonts w:hint="cs"/>
          <w:rtl/>
        </w:rPr>
        <w:t>שנים מסיום החקירה ועד להרשעה</w:t>
      </w:r>
      <w:r w:rsidR="00A5375C">
        <w:rPr>
          <w:rFonts w:hint="cs"/>
          <w:rtl/>
        </w:rPr>
        <w:t>)</w:t>
      </w:r>
      <w:r w:rsidR="00882F9F">
        <w:rPr>
          <w:rFonts w:hint="cs"/>
          <w:rtl/>
        </w:rPr>
        <w:t xml:space="preserve">. </w:t>
      </w:r>
      <w:r w:rsidR="00A5375C">
        <w:rPr>
          <w:rFonts w:hint="cs"/>
          <w:rtl/>
        </w:rPr>
        <w:t xml:space="preserve">זאת שכן </w:t>
      </w:r>
      <w:r w:rsidR="00E40651">
        <w:rPr>
          <w:rFonts w:hint="cs"/>
          <w:rtl/>
        </w:rPr>
        <w:t xml:space="preserve">יש מקום להבחין בין מישור קביעת האחריות למישור גזירת העונש (ע"פ 2103/07 </w:t>
      </w:r>
      <w:r w:rsidR="00E40651" w:rsidRPr="004007BD">
        <w:rPr>
          <w:rFonts w:hint="cs"/>
          <w:b/>
          <w:bCs/>
          <w:rtl/>
        </w:rPr>
        <w:t xml:space="preserve">הורוביץ </w:t>
      </w:r>
      <w:r w:rsidR="00E632C7">
        <w:rPr>
          <w:rFonts w:hint="cs"/>
          <w:rtl/>
        </w:rPr>
        <w:t xml:space="preserve">הנ"ל, </w:t>
      </w:r>
      <w:r w:rsidR="00E40651">
        <w:rPr>
          <w:rFonts w:hint="cs"/>
          <w:rtl/>
        </w:rPr>
        <w:t>פסקה 336</w:t>
      </w:r>
      <w:r w:rsidR="00E632C7">
        <w:rPr>
          <w:rFonts w:hint="cs"/>
          <w:rtl/>
        </w:rPr>
        <w:t>.</w:t>
      </w:r>
      <w:r w:rsidR="00E40651">
        <w:rPr>
          <w:rFonts w:hint="cs"/>
          <w:rtl/>
        </w:rPr>
        <w:t xml:space="preserve"> עוד </w:t>
      </w:r>
      <w:r w:rsidR="004E1CA9">
        <w:rPr>
          <w:rFonts w:hint="cs"/>
          <w:rtl/>
        </w:rPr>
        <w:t xml:space="preserve">ראו </w:t>
      </w:r>
      <w:r w:rsidR="00F230EF">
        <w:rPr>
          <w:rFonts w:hint="cs"/>
          <w:rtl/>
        </w:rPr>
        <w:t xml:space="preserve">ע"פ 8430/20 </w:t>
      </w:r>
      <w:r w:rsidR="00F230EF" w:rsidRPr="004007BD">
        <w:rPr>
          <w:rFonts w:hint="cs"/>
          <w:b/>
          <w:bCs/>
          <w:rtl/>
        </w:rPr>
        <w:t>עמר נ' מדינת ישראל</w:t>
      </w:r>
      <w:r w:rsidR="00F230EF">
        <w:rPr>
          <w:rFonts w:hint="cs"/>
          <w:rtl/>
        </w:rPr>
        <w:t xml:space="preserve">, פסקה 32 (25.11.2021); ע"פ 394/20 </w:t>
      </w:r>
      <w:r w:rsidR="00F230EF" w:rsidRPr="004007BD">
        <w:rPr>
          <w:rFonts w:hint="cs"/>
          <w:b/>
          <w:bCs/>
          <w:rtl/>
        </w:rPr>
        <w:t>חן נ' מדינת ישראל</w:t>
      </w:r>
      <w:r w:rsidR="00F230EF">
        <w:rPr>
          <w:rFonts w:hint="cs"/>
          <w:rtl/>
        </w:rPr>
        <w:t xml:space="preserve">, פסקה 72 (15.12.2021); </w:t>
      </w:r>
      <w:proofErr w:type="spellStart"/>
      <w:r w:rsidR="00F230EF">
        <w:rPr>
          <w:rFonts w:hint="cs"/>
          <w:rtl/>
        </w:rPr>
        <w:t>רע"פ</w:t>
      </w:r>
      <w:proofErr w:type="spellEnd"/>
      <w:r w:rsidR="00F230EF">
        <w:rPr>
          <w:rFonts w:hint="cs"/>
          <w:rtl/>
        </w:rPr>
        <w:t xml:space="preserve"> 8009/10 </w:t>
      </w:r>
      <w:r w:rsidR="00F230EF" w:rsidRPr="004007BD">
        <w:rPr>
          <w:rFonts w:hint="cs"/>
          <w:b/>
          <w:bCs/>
          <w:rtl/>
        </w:rPr>
        <w:t>זכאי נ' מדינת ישראל</w:t>
      </w:r>
      <w:r w:rsidR="00F230EF">
        <w:rPr>
          <w:rFonts w:hint="cs"/>
          <w:rtl/>
        </w:rPr>
        <w:t xml:space="preserve">, פסקה </w:t>
      </w:r>
      <w:proofErr w:type="spellStart"/>
      <w:r w:rsidR="00F230EF">
        <w:rPr>
          <w:rFonts w:hint="cs"/>
          <w:rtl/>
        </w:rPr>
        <w:t>יב</w:t>
      </w:r>
      <w:proofErr w:type="spellEnd"/>
      <w:r w:rsidR="00F230EF">
        <w:rPr>
          <w:rFonts w:hint="cs"/>
          <w:rtl/>
        </w:rPr>
        <w:t xml:space="preserve"> (20.1.2011)</w:t>
      </w:r>
      <w:r w:rsidR="00A56A2C">
        <w:rPr>
          <w:rFonts w:hint="cs"/>
          <w:rtl/>
        </w:rPr>
        <w:t xml:space="preserve">; ע"פ 4434/10 </w:t>
      </w:r>
      <w:r w:rsidR="00A56A2C" w:rsidRPr="004007BD">
        <w:rPr>
          <w:rFonts w:hint="cs"/>
          <w:b/>
          <w:bCs/>
          <w:rtl/>
        </w:rPr>
        <w:t xml:space="preserve">יחזקאל נ' מדינת ישראל </w:t>
      </w:r>
      <w:r w:rsidR="00A56A2C">
        <w:rPr>
          <w:rFonts w:hint="cs"/>
          <w:rtl/>
        </w:rPr>
        <w:t>(16.3.2011)</w:t>
      </w:r>
      <w:r w:rsidR="00F230EF">
        <w:rPr>
          <w:rFonts w:hint="cs"/>
          <w:rtl/>
        </w:rPr>
        <w:t xml:space="preserve">). </w:t>
      </w:r>
      <w:r w:rsidR="00446075">
        <w:rPr>
          <w:rFonts w:hint="cs"/>
          <w:rtl/>
        </w:rPr>
        <w:t xml:space="preserve"> </w:t>
      </w:r>
    </w:p>
    <w:p w14:paraId="4F461084" w14:textId="5C495BC8" w:rsidR="00134545" w:rsidRDefault="006127FD" w:rsidP="004C2C17">
      <w:pPr>
        <w:numPr>
          <w:ilvl w:val="0"/>
          <w:numId w:val="21"/>
        </w:numPr>
        <w:ind w:left="0" w:hanging="144"/>
      </w:pPr>
      <w:r>
        <w:rPr>
          <w:rFonts w:hint="cs"/>
          <w:rtl/>
        </w:rPr>
        <w:t xml:space="preserve">נמצא אפוא, כי הסעד הראוי בענייננו, הוא בהקלה </w:t>
      </w:r>
      <w:r w:rsidR="00E3320E">
        <w:rPr>
          <w:rFonts w:hint="cs"/>
          <w:rtl/>
        </w:rPr>
        <w:t xml:space="preserve">מסוימת </w:t>
      </w:r>
      <w:r>
        <w:rPr>
          <w:rFonts w:hint="cs"/>
          <w:rtl/>
        </w:rPr>
        <w:t>בעונשה של המערערת. יוטעם, כי אמנם</w:t>
      </w:r>
      <w:r w:rsidR="004E1CA9">
        <w:rPr>
          <w:rFonts w:hint="cs"/>
          <w:rtl/>
        </w:rPr>
        <w:t>,</w:t>
      </w:r>
      <w:r>
        <w:rPr>
          <w:rFonts w:hint="cs"/>
          <w:rtl/>
        </w:rPr>
        <w:t xml:space="preserve"> לא סברנו שיש חומרה בעונש המאסר שהושת על המערערת בבית הדין קמא</w:t>
      </w:r>
      <w:r w:rsidR="00E3320E">
        <w:rPr>
          <w:rFonts w:hint="cs"/>
          <w:rtl/>
        </w:rPr>
        <w:t xml:space="preserve"> כלל ועיקר</w:t>
      </w:r>
      <w:r w:rsidR="00A56A2C">
        <w:rPr>
          <w:rFonts w:hint="cs"/>
          <w:rtl/>
        </w:rPr>
        <w:t xml:space="preserve">, נוכח טיב העבירה </w:t>
      </w:r>
      <w:r w:rsidR="004E1CA9">
        <w:rPr>
          <w:rFonts w:hint="cs"/>
          <w:rtl/>
        </w:rPr>
        <w:t>ש</w:t>
      </w:r>
      <w:r w:rsidR="00A56A2C">
        <w:rPr>
          <w:rFonts w:hint="cs"/>
          <w:rtl/>
        </w:rPr>
        <w:t xml:space="preserve">בה הורשעה ומידת פגיעתה בפרטיותה ובכבודה של נפגעת העבירה, כפי שבואר לעיל; </w:t>
      </w:r>
      <w:r w:rsidR="00E3320E">
        <w:rPr>
          <w:rFonts w:hint="cs"/>
          <w:rtl/>
        </w:rPr>
        <w:t xml:space="preserve">ההפך הוא הנכון </w:t>
      </w:r>
      <w:r w:rsidR="00E3320E">
        <w:rPr>
          <w:rtl/>
        </w:rPr>
        <w:t>–</w:t>
      </w:r>
      <w:r w:rsidR="00E3320E">
        <w:rPr>
          <w:rFonts w:hint="cs"/>
          <w:rtl/>
        </w:rPr>
        <w:t xml:space="preserve"> לפי אמות המידה </w:t>
      </w:r>
      <w:proofErr w:type="spellStart"/>
      <w:r w:rsidR="00E3320E">
        <w:rPr>
          <w:rFonts w:hint="cs"/>
          <w:rtl/>
        </w:rPr>
        <w:t>העונשיות</w:t>
      </w:r>
      <w:proofErr w:type="spellEnd"/>
      <w:r w:rsidR="00E3320E">
        <w:rPr>
          <w:rFonts w:hint="cs"/>
          <w:rtl/>
        </w:rPr>
        <w:t xml:space="preserve"> המקובלות היום </w:t>
      </w:r>
      <w:proofErr w:type="spellStart"/>
      <w:r w:rsidR="00E3320E">
        <w:rPr>
          <w:rFonts w:hint="cs"/>
          <w:rtl/>
        </w:rPr>
        <w:lastRenderedPageBreak/>
        <w:t>בכגון</w:t>
      </w:r>
      <w:proofErr w:type="spellEnd"/>
      <w:r w:rsidR="00E3320E">
        <w:rPr>
          <w:rFonts w:hint="cs"/>
          <w:rtl/>
        </w:rPr>
        <w:t xml:space="preserve"> דא עניין לנו בעונש מקל מאד; </w:t>
      </w:r>
      <w:r w:rsidR="004E1CA9">
        <w:rPr>
          <w:rFonts w:hint="cs"/>
          <w:rtl/>
        </w:rPr>
        <w:t>ו</w:t>
      </w:r>
      <w:r w:rsidR="00A56A2C">
        <w:rPr>
          <w:rFonts w:hint="cs"/>
          <w:rtl/>
        </w:rPr>
        <w:t>אולם</w:t>
      </w:r>
      <w:r>
        <w:rPr>
          <w:rFonts w:hint="cs"/>
          <w:rtl/>
        </w:rPr>
        <w:t xml:space="preserve">, </w:t>
      </w:r>
      <w:r w:rsidR="00A56A2C">
        <w:rPr>
          <w:rFonts w:hint="cs"/>
          <w:rtl/>
        </w:rPr>
        <w:t xml:space="preserve">נוכח חלוף הזמן המשמעותי מאז ביצוע העבירות, שיש בו כדי לפגוע בשיקולי ההרתעה הגלומים בענישה (ע"פ 2848/90 </w:t>
      </w:r>
      <w:r w:rsidR="00A56A2C" w:rsidRPr="004007BD">
        <w:rPr>
          <w:rFonts w:hint="cs"/>
          <w:b/>
          <w:bCs/>
          <w:rtl/>
        </w:rPr>
        <w:t>אסא נ' מדינת ישראל</w:t>
      </w:r>
      <w:r w:rsidR="00A56A2C">
        <w:rPr>
          <w:rFonts w:hint="cs"/>
          <w:rtl/>
        </w:rPr>
        <w:t>, פ"ד מד(4) 837, 840 (1990)</w:t>
      </w:r>
      <w:r w:rsidR="004E1CA9">
        <w:rPr>
          <w:rFonts w:hint="cs"/>
          <w:rtl/>
        </w:rPr>
        <w:t xml:space="preserve">; </w:t>
      </w:r>
      <w:r w:rsidR="004E1CA9" w:rsidRPr="004007BD">
        <w:rPr>
          <w:rFonts w:hint="eastAsia"/>
          <w:b/>
          <w:bCs/>
          <w:rtl/>
        </w:rPr>
        <w:t>כברה</w:t>
      </w:r>
      <w:r w:rsidR="004E1CA9">
        <w:rPr>
          <w:rFonts w:hint="cs"/>
          <w:rtl/>
        </w:rPr>
        <w:t xml:space="preserve"> הנ"ל, בפסקה</w:t>
      </w:r>
      <w:r w:rsidR="00975DAB">
        <w:rPr>
          <w:rFonts w:hint="cs"/>
          <w:rtl/>
        </w:rPr>
        <w:t xml:space="preserve"> 31</w:t>
      </w:r>
      <w:r w:rsidR="004E1CA9">
        <w:rPr>
          <w:rFonts w:hint="cs"/>
          <w:rtl/>
        </w:rPr>
        <w:t>)</w:t>
      </w:r>
      <w:r w:rsidR="00A56A2C">
        <w:rPr>
          <w:rFonts w:hint="cs"/>
          <w:rtl/>
        </w:rPr>
        <w:t xml:space="preserve">, וכן בשים לב גם לכך שהמערערת הוכיחה </w:t>
      </w:r>
      <w:r w:rsidR="004E1CA9">
        <w:rPr>
          <w:rFonts w:hint="cs"/>
          <w:rtl/>
        </w:rPr>
        <w:t xml:space="preserve">כאמור מאז </w:t>
      </w:r>
      <w:r w:rsidR="00A56A2C">
        <w:rPr>
          <w:rFonts w:hint="cs"/>
          <w:rtl/>
        </w:rPr>
        <w:t>כי היא מנהלת אורח חיים נורמטיבי</w:t>
      </w:r>
      <w:r>
        <w:rPr>
          <w:rFonts w:hint="cs"/>
          <w:rtl/>
        </w:rPr>
        <w:t>;</w:t>
      </w:r>
      <w:r w:rsidR="00A56A2C">
        <w:rPr>
          <w:rFonts w:hint="cs"/>
          <w:rtl/>
        </w:rPr>
        <w:t xml:space="preserve"> ו</w:t>
      </w:r>
      <w:r w:rsidR="004E1CA9">
        <w:rPr>
          <w:rFonts w:hint="cs"/>
          <w:rtl/>
        </w:rPr>
        <w:t xml:space="preserve">אף לאור מצבה הנפשי העדכני </w:t>
      </w:r>
      <w:r w:rsidR="00A56A2C">
        <w:rPr>
          <w:rFonts w:hint="cs"/>
          <w:rtl/>
        </w:rPr>
        <w:t xml:space="preserve">כפי שהוצג, מצאנו כי </w:t>
      </w:r>
      <w:r>
        <w:rPr>
          <w:rFonts w:hint="cs"/>
          <w:rtl/>
        </w:rPr>
        <w:t xml:space="preserve">ניתן יהיה, במקרה ייחודי זה, להקל בעונשה של המערערת, </w:t>
      </w:r>
      <w:r w:rsidR="00BE5B3B">
        <w:rPr>
          <w:rFonts w:hint="cs"/>
          <w:rtl/>
        </w:rPr>
        <w:t xml:space="preserve">בדרך של </w:t>
      </w:r>
      <w:r w:rsidR="004E1CA9">
        <w:rPr>
          <w:rFonts w:hint="cs"/>
          <w:rtl/>
        </w:rPr>
        <w:t xml:space="preserve">ביטול רכיב המאסר בפועל שהושת עליה, כך שלא תידרש לרצותו - גם לא בדרך המקלה יותר שהציעה התביעה, של עבודה צבאית. </w:t>
      </w:r>
      <w:r w:rsidR="00E3320E">
        <w:rPr>
          <w:rFonts w:hint="cs"/>
          <w:rtl/>
        </w:rPr>
        <w:t xml:space="preserve">לא למותר לציין, כי ביטול עונש המאסר לריצוי בפועל </w:t>
      </w:r>
      <w:r w:rsidR="006336B3">
        <w:rPr>
          <w:rFonts w:hint="cs"/>
          <w:rtl/>
        </w:rPr>
        <w:t xml:space="preserve">עשוי להשליך </w:t>
      </w:r>
      <w:r w:rsidR="00E3320E">
        <w:rPr>
          <w:rFonts w:hint="cs"/>
          <w:rtl/>
        </w:rPr>
        <w:t xml:space="preserve">(לטובה, בראיית המערערת) </w:t>
      </w:r>
      <w:r w:rsidR="006336B3">
        <w:rPr>
          <w:rFonts w:hint="cs"/>
          <w:rtl/>
        </w:rPr>
        <w:t xml:space="preserve">אף על מועדי ההתיישנות של הרישום הפלילי הנלווה להרשעתה, לאור הכללים שהותוו בסעיפים 18 ו-19 לחוק המידע הפלילי ותקנת השבים, תשע"ט </w:t>
      </w:r>
      <w:r w:rsidR="00A909F3">
        <w:rPr>
          <w:rFonts w:hint="cs"/>
          <w:rtl/>
        </w:rPr>
        <w:t>-</w:t>
      </w:r>
      <w:r w:rsidR="006336B3">
        <w:rPr>
          <w:rFonts w:hint="cs"/>
          <w:rtl/>
        </w:rPr>
        <w:t xml:space="preserve"> 2019.  </w:t>
      </w:r>
    </w:p>
    <w:p w14:paraId="4DF4686D" w14:textId="5926DF2C" w:rsidR="00A4473A" w:rsidRDefault="006127FD" w:rsidP="007A09D7">
      <w:pPr>
        <w:numPr>
          <w:ilvl w:val="0"/>
          <w:numId w:val="21"/>
        </w:numPr>
        <w:ind w:left="0" w:hanging="2"/>
      </w:pPr>
      <w:r>
        <w:rPr>
          <w:rFonts w:hint="cs"/>
          <w:rtl/>
        </w:rPr>
        <w:t xml:space="preserve">סוף דבר </w:t>
      </w:r>
      <w:r w:rsidR="00A5375C">
        <w:rPr>
          <w:rFonts w:hint="cs"/>
          <w:rtl/>
        </w:rPr>
        <w:t>-</w:t>
      </w:r>
      <w:r>
        <w:rPr>
          <w:rFonts w:hint="cs"/>
          <w:rtl/>
        </w:rPr>
        <w:t xml:space="preserve"> ערעור התביעה נדחה</w:t>
      </w:r>
      <w:r w:rsidR="00A5375C">
        <w:rPr>
          <w:rFonts w:hint="cs"/>
          <w:rtl/>
        </w:rPr>
        <w:t>.</w:t>
      </w:r>
      <w:r>
        <w:rPr>
          <w:rFonts w:hint="cs"/>
          <w:rtl/>
        </w:rPr>
        <w:t xml:space="preserve"> ערעור ההגנה על גזר הדין מתקבל, כך שעונש המאסר </w:t>
      </w:r>
      <w:r w:rsidR="00BE5B3B">
        <w:rPr>
          <w:rFonts w:hint="cs"/>
          <w:rtl/>
        </w:rPr>
        <w:t xml:space="preserve">בפועל </w:t>
      </w:r>
      <w:r>
        <w:rPr>
          <w:rFonts w:hint="cs"/>
          <w:rtl/>
        </w:rPr>
        <w:t xml:space="preserve">שהוטל על המערערת </w:t>
      </w:r>
      <w:r w:rsidR="00BE5B3B">
        <w:rPr>
          <w:rFonts w:hint="cs"/>
          <w:rtl/>
        </w:rPr>
        <w:t>מבוטל</w:t>
      </w:r>
      <w:r>
        <w:rPr>
          <w:rFonts w:hint="cs"/>
          <w:rtl/>
        </w:rPr>
        <w:t xml:space="preserve">. יתר רכיבי </w:t>
      </w:r>
      <w:r w:rsidR="00BE5B3B">
        <w:rPr>
          <w:rFonts w:hint="cs"/>
          <w:rtl/>
        </w:rPr>
        <w:t>העונש נשארים בתוקפם</w:t>
      </w:r>
      <w:r>
        <w:rPr>
          <w:rFonts w:hint="cs"/>
          <w:rtl/>
        </w:rPr>
        <w:t xml:space="preserve">, לרבות תשלום הפיצויים לנפגעת העבירה, שהמערערת </w:t>
      </w:r>
      <w:r w:rsidR="006336B3">
        <w:rPr>
          <w:rFonts w:hint="cs"/>
          <w:rtl/>
        </w:rPr>
        <w:t xml:space="preserve">נדרשת לשלם באופן </w:t>
      </w:r>
      <w:proofErr w:type="spellStart"/>
      <w:r w:rsidR="006336B3">
        <w:rPr>
          <w:rFonts w:hint="cs"/>
          <w:rtl/>
        </w:rPr>
        <w:t>מיידי</w:t>
      </w:r>
      <w:proofErr w:type="spellEnd"/>
      <w:r w:rsidR="006336B3">
        <w:rPr>
          <w:rFonts w:hint="cs"/>
          <w:rtl/>
        </w:rPr>
        <w:t xml:space="preserve">. </w:t>
      </w:r>
    </w:p>
    <w:p w14:paraId="07D80FEE" w14:textId="77777777" w:rsidR="000F1DCB" w:rsidRPr="00F0417C" w:rsidRDefault="000F1DCB" w:rsidP="007A09D7">
      <w:pPr>
        <w:ind w:hanging="2"/>
        <w:rPr>
          <w:sz w:val="26"/>
          <w:szCs w:val="26"/>
        </w:rPr>
      </w:pPr>
    </w:p>
    <w:p w14:paraId="06E7E339" w14:textId="3604D916" w:rsidR="004B333D" w:rsidRPr="004C2C17" w:rsidRDefault="006127FD" w:rsidP="004C2C17">
      <w:pPr>
        <w:ind w:hanging="2"/>
        <w:outlineLvl w:val="0"/>
        <w:rPr>
          <w:sz w:val="27"/>
          <w:szCs w:val="27"/>
          <w:rtl/>
        </w:rPr>
      </w:pPr>
      <w:r w:rsidRPr="004C2C17">
        <w:rPr>
          <w:rFonts w:hint="cs"/>
          <w:sz w:val="27"/>
          <w:szCs w:val="27"/>
          <w:rtl/>
        </w:rPr>
        <w:t>נית</w:t>
      </w:r>
      <w:r w:rsidR="00251467" w:rsidRPr="004C2C17">
        <w:rPr>
          <w:rFonts w:hint="cs"/>
          <w:sz w:val="27"/>
          <w:szCs w:val="27"/>
          <w:rtl/>
        </w:rPr>
        <w:t xml:space="preserve">נה </w:t>
      </w:r>
      <w:r w:rsidRPr="004C2C17">
        <w:rPr>
          <w:rFonts w:hint="cs"/>
          <w:sz w:val="27"/>
          <w:szCs w:val="27"/>
          <w:rtl/>
        </w:rPr>
        <w:t>והודע</w:t>
      </w:r>
      <w:r w:rsidR="00251467" w:rsidRPr="004C2C17">
        <w:rPr>
          <w:rFonts w:hint="cs"/>
          <w:sz w:val="27"/>
          <w:szCs w:val="27"/>
          <w:rtl/>
        </w:rPr>
        <w:t>ה</w:t>
      </w:r>
      <w:r w:rsidRPr="004C2C17">
        <w:rPr>
          <w:rFonts w:hint="cs"/>
          <w:sz w:val="27"/>
          <w:szCs w:val="27"/>
          <w:rtl/>
        </w:rPr>
        <w:t xml:space="preserve"> היום</w:t>
      </w:r>
      <w:r w:rsidR="00F35DBC" w:rsidRPr="004C2C17">
        <w:rPr>
          <w:rFonts w:hint="cs"/>
          <w:sz w:val="27"/>
          <w:szCs w:val="27"/>
          <w:rtl/>
        </w:rPr>
        <w:t xml:space="preserve"> </w:t>
      </w:r>
      <w:r w:rsidR="006336B3" w:rsidRPr="004C2C17">
        <w:rPr>
          <w:rFonts w:hint="cs"/>
          <w:sz w:val="27"/>
          <w:szCs w:val="27"/>
          <w:rtl/>
        </w:rPr>
        <w:t>ד' בטבת</w:t>
      </w:r>
      <w:r w:rsidR="00F26CC1" w:rsidRPr="004C2C17">
        <w:rPr>
          <w:rFonts w:hint="cs"/>
          <w:sz w:val="27"/>
          <w:szCs w:val="27"/>
          <w:rtl/>
        </w:rPr>
        <w:t xml:space="preserve"> </w:t>
      </w:r>
      <w:proofErr w:type="spellStart"/>
      <w:r w:rsidR="00251467" w:rsidRPr="004C2C17">
        <w:rPr>
          <w:rFonts w:hint="cs"/>
          <w:sz w:val="27"/>
          <w:szCs w:val="27"/>
          <w:rtl/>
        </w:rPr>
        <w:t>התשפ"ג</w:t>
      </w:r>
      <w:proofErr w:type="spellEnd"/>
      <w:r w:rsidR="00251467" w:rsidRPr="004C2C17">
        <w:rPr>
          <w:rFonts w:hint="cs"/>
          <w:sz w:val="27"/>
          <w:szCs w:val="27"/>
          <w:rtl/>
        </w:rPr>
        <w:t>,</w:t>
      </w:r>
      <w:r w:rsidR="00F26CC1" w:rsidRPr="004C2C17">
        <w:rPr>
          <w:rFonts w:hint="cs"/>
          <w:sz w:val="27"/>
          <w:szCs w:val="27"/>
          <w:rtl/>
        </w:rPr>
        <w:t xml:space="preserve"> </w:t>
      </w:r>
      <w:r w:rsidR="006336B3" w:rsidRPr="004C2C17">
        <w:rPr>
          <w:rFonts w:hint="cs"/>
          <w:sz w:val="27"/>
          <w:szCs w:val="27"/>
          <w:rtl/>
        </w:rPr>
        <w:t>2</w:t>
      </w:r>
      <w:r w:rsidR="00F0417C" w:rsidRPr="004C2C17">
        <w:rPr>
          <w:rFonts w:hint="cs"/>
          <w:sz w:val="27"/>
          <w:szCs w:val="27"/>
          <w:rtl/>
        </w:rPr>
        <w:t>8</w:t>
      </w:r>
      <w:r w:rsidR="006336B3" w:rsidRPr="004C2C17">
        <w:rPr>
          <w:rFonts w:hint="cs"/>
          <w:sz w:val="27"/>
          <w:szCs w:val="27"/>
          <w:rtl/>
        </w:rPr>
        <w:t xml:space="preserve"> </w:t>
      </w:r>
      <w:r w:rsidR="00F26CC1" w:rsidRPr="004C2C17">
        <w:rPr>
          <w:rFonts w:hint="cs"/>
          <w:sz w:val="27"/>
          <w:szCs w:val="27"/>
          <w:rtl/>
        </w:rPr>
        <w:t>בדצמבר</w:t>
      </w:r>
      <w:r w:rsidR="00251467" w:rsidRPr="004C2C17">
        <w:rPr>
          <w:rFonts w:hint="cs"/>
          <w:sz w:val="27"/>
          <w:szCs w:val="27"/>
          <w:rtl/>
        </w:rPr>
        <w:t xml:space="preserve"> 2022</w:t>
      </w:r>
      <w:r w:rsidRPr="004C2C17">
        <w:rPr>
          <w:rFonts w:hint="cs"/>
          <w:sz w:val="27"/>
          <w:szCs w:val="27"/>
          <w:rtl/>
        </w:rPr>
        <w:t xml:space="preserve">, </w:t>
      </w:r>
      <w:r w:rsidR="00A909F3" w:rsidRPr="004C2C17">
        <w:rPr>
          <w:rFonts w:hint="cs"/>
          <w:sz w:val="27"/>
          <w:szCs w:val="27"/>
          <w:rtl/>
        </w:rPr>
        <w:t xml:space="preserve">בפומבי ובנוכחות </w:t>
      </w:r>
      <w:r w:rsidR="00714B7C" w:rsidRPr="004C2C17">
        <w:rPr>
          <w:rFonts w:hint="cs"/>
          <w:sz w:val="27"/>
          <w:szCs w:val="27"/>
          <w:rtl/>
        </w:rPr>
        <w:t>ה</w:t>
      </w:r>
      <w:r w:rsidR="00A909F3" w:rsidRPr="004C2C17">
        <w:rPr>
          <w:rFonts w:hint="cs"/>
          <w:sz w:val="27"/>
          <w:szCs w:val="27"/>
          <w:rtl/>
        </w:rPr>
        <w:t>צדדים</w:t>
      </w:r>
      <w:r w:rsidR="004C2C17" w:rsidRPr="004C2C17">
        <w:rPr>
          <w:rFonts w:hint="cs"/>
          <w:sz w:val="27"/>
          <w:szCs w:val="27"/>
          <w:rtl/>
        </w:rPr>
        <w:t xml:space="preserve"> </w:t>
      </w:r>
      <w:r w:rsidR="00714B7C" w:rsidRPr="004C2C17">
        <w:rPr>
          <w:rFonts w:hint="cs"/>
          <w:sz w:val="27"/>
          <w:szCs w:val="27"/>
          <w:rtl/>
        </w:rPr>
        <w:t>והמערערת.</w:t>
      </w:r>
    </w:p>
    <w:p w14:paraId="0904B94F" w14:textId="706BB2D3" w:rsidR="000F1DCB" w:rsidRPr="00F0417C" w:rsidRDefault="000F1DCB" w:rsidP="00F0417C">
      <w:pPr>
        <w:tabs>
          <w:tab w:val="center" w:pos="1599"/>
          <w:tab w:val="center" w:pos="4150"/>
          <w:tab w:val="center" w:pos="6702"/>
        </w:tabs>
        <w:jc w:val="left"/>
        <w:rPr>
          <w:b/>
          <w:bCs/>
          <w:sz w:val="26"/>
          <w:szCs w:val="26"/>
          <w:rtl/>
        </w:rPr>
      </w:pPr>
    </w:p>
    <w:p w14:paraId="4792FAEB" w14:textId="6CB0F6FD" w:rsidR="007A09D7" w:rsidRPr="004B333D" w:rsidRDefault="006127FD" w:rsidP="0069771F">
      <w:pPr>
        <w:tabs>
          <w:tab w:val="center" w:pos="1982"/>
          <w:tab w:val="center" w:pos="4250"/>
          <w:tab w:val="center" w:pos="6702"/>
        </w:tabs>
        <w:ind w:left="706"/>
        <w:rPr>
          <w:b/>
          <w:bCs/>
          <w:rtl/>
        </w:rPr>
      </w:pPr>
      <w:r>
        <w:rPr>
          <w:rFonts w:hint="cs"/>
          <w:b/>
          <w:bCs/>
          <w:rtl/>
        </w:rPr>
        <w:t xml:space="preserve">     </w:t>
      </w:r>
      <w:r w:rsidR="00EB22B8" w:rsidRPr="004B333D">
        <w:rPr>
          <w:b/>
          <w:bCs/>
          <w:rtl/>
        </w:rPr>
        <w:t>______________</w:t>
      </w:r>
      <w:r w:rsidR="00EB22B8" w:rsidRPr="004B333D">
        <w:rPr>
          <w:rFonts w:hint="cs"/>
          <w:b/>
          <w:bCs/>
          <w:rtl/>
        </w:rPr>
        <w:tab/>
      </w:r>
      <w:r w:rsidR="00EB22B8" w:rsidRPr="004B333D">
        <w:rPr>
          <w:b/>
          <w:bCs/>
          <w:rtl/>
        </w:rPr>
        <w:t>______________</w:t>
      </w:r>
      <w:r w:rsidR="00EB22B8" w:rsidRPr="004B333D">
        <w:rPr>
          <w:rFonts w:hint="cs"/>
          <w:b/>
          <w:bCs/>
          <w:rtl/>
        </w:rPr>
        <w:tab/>
      </w:r>
      <w:r w:rsidR="00EB22B8" w:rsidRPr="004B333D">
        <w:rPr>
          <w:b/>
          <w:bCs/>
          <w:rtl/>
        </w:rPr>
        <w:t>______________</w:t>
      </w:r>
    </w:p>
    <w:p w14:paraId="37EAB4A2" w14:textId="5B5E50ED" w:rsidR="00FF341D" w:rsidRDefault="006127FD" w:rsidP="0069771F">
      <w:pPr>
        <w:tabs>
          <w:tab w:val="center" w:pos="1982"/>
          <w:tab w:val="center" w:pos="4250"/>
          <w:tab w:val="center" w:pos="6702"/>
        </w:tabs>
        <w:ind w:left="706"/>
        <w:rPr>
          <w:b/>
          <w:bCs/>
          <w:rtl/>
        </w:rPr>
      </w:pPr>
      <w:r w:rsidRPr="004B333D">
        <w:rPr>
          <w:rFonts w:hint="cs"/>
          <w:b/>
          <w:bCs/>
          <w:rtl/>
        </w:rPr>
        <w:tab/>
      </w:r>
      <w:r w:rsidR="002443E6">
        <w:rPr>
          <w:rFonts w:hint="cs"/>
          <w:b/>
          <w:bCs/>
          <w:rtl/>
        </w:rPr>
        <w:t>אב"ד</w:t>
      </w:r>
      <w:r w:rsidR="008D0FCA">
        <w:rPr>
          <w:b/>
          <w:bCs/>
          <w:rtl/>
        </w:rPr>
        <w:tab/>
      </w:r>
      <w:r w:rsidR="008D0FCA">
        <w:rPr>
          <w:rFonts w:hint="cs"/>
          <w:b/>
          <w:bCs/>
          <w:rtl/>
        </w:rPr>
        <w:t xml:space="preserve">שופטת </w:t>
      </w:r>
      <w:r w:rsidRPr="004B333D">
        <w:rPr>
          <w:rFonts w:hint="cs"/>
          <w:b/>
          <w:bCs/>
          <w:rtl/>
        </w:rPr>
        <w:tab/>
      </w:r>
      <w:r w:rsidRPr="004B333D">
        <w:rPr>
          <w:b/>
          <w:bCs/>
          <w:rtl/>
        </w:rPr>
        <w:t>שופט</w:t>
      </w:r>
      <w:r w:rsidR="006336B3">
        <w:rPr>
          <w:rFonts w:hint="cs"/>
          <w:sz w:val="26"/>
          <w:szCs w:val="26"/>
          <w:rtl/>
        </w:rPr>
        <w:t xml:space="preserve"> </w:t>
      </w:r>
    </w:p>
    <w:p w14:paraId="4C5374FB" w14:textId="38BB95B4" w:rsidR="007A09D7" w:rsidRPr="007A09D7" w:rsidRDefault="007A09D7" w:rsidP="007A09D7">
      <w:pPr>
        <w:rPr>
          <w:sz w:val="26"/>
          <w:szCs w:val="26"/>
          <w:rtl/>
        </w:rPr>
      </w:pPr>
    </w:p>
    <w:p w14:paraId="0F6AF009" w14:textId="1487545A" w:rsidR="007A09D7" w:rsidRPr="007A09D7" w:rsidRDefault="007A09D7" w:rsidP="007A09D7">
      <w:pPr>
        <w:rPr>
          <w:sz w:val="26"/>
          <w:szCs w:val="26"/>
          <w:rtl/>
        </w:rPr>
      </w:pPr>
    </w:p>
    <w:p w14:paraId="26BBB453" w14:textId="0A018D67" w:rsidR="007A09D7" w:rsidRPr="007A09D7" w:rsidRDefault="007A09D7" w:rsidP="007A09D7">
      <w:pPr>
        <w:rPr>
          <w:sz w:val="26"/>
          <w:szCs w:val="26"/>
          <w:rtl/>
        </w:rPr>
      </w:pPr>
    </w:p>
    <w:p w14:paraId="7131F672" w14:textId="56FA67E3" w:rsidR="007A09D7" w:rsidRPr="00B53ED3" w:rsidRDefault="007A09D7" w:rsidP="007A09D7">
      <w:pPr>
        <w:ind w:left="-58" w:right="-142"/>
        <w:rPr>
          <w:rFonts w:ascii="David" w:hAnsi="David"/>
          <w:b/>
          <w:bCs/>
          <w:rtl/>
        </w:rPr>
      </w:pPr>
      <w:r>
        <w:rPr>
          <w:rFonts w:ascii="David" w:hAnsi="David" w:hint="cs"/>
          <w:b/>
          <w:bCs/>
          <w:rtl/>
        </w:rPr>
        <w:t xml:space="preserve"> </w:t>
      </w:r>
      <w:bookmarkStart w:id="0" w:name="_Hlk122599666"/>
      <w:r w:rsidRPr="00B53ED3">
        <w:rPr>
          <w:rFonts w:ascii="David" w:hAnsi="David" w:hint="cs"/>
          <w:b/>
          <w:bCs/>
          <w:rtl/>
        </w:rPr>
        <w:t>חתימת המגיה: __________________</w:t>
      </w:r>
      <w:r w:rsidR="00204270">
        <w:rPr>
          <w:rFonts w:ascii="David" w:hAnsi="David" w:hint="cs"/>
          <w:b/>
          <w:bCs/>
          <w:rtl/>
        </w:rPr>
        <w:t>___</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00204270">
        <w:rPr>
          <w:rFonts w:ascii="David" w:hAnsi="David" w:hint="cs"/>
          <w:b/>
          <w:bCs/>
          <w:rtl/>
        </w:rPr>
        <w:t xml:space="preserve">  </w:t>
      </w:r>
      <w:r w:rsidRPr="00B53ED3">
        <w:rPr>
          <w:rFonts w:ascii="David" w:hAnsi="David" w:hint="cs"/>
          <w:b/>
          <w:bCs/>
          <w:rtl/>
        </w:rPr>
        <w:t xml:space="preserve"> העתק  </w:t>
      </w:r>
      <w:r>
        <w:rPr>
          <w:rFonts w:ascii="David" w:hAnsi="David" w:hint="cs"/>
          <w:b/>
          <w:bCs/>
          <w:rtl/>
        </w:rPr>
        <w:t xml:space="preserve">   </w:t>
      </w:r>
      <w:r w:rsidRPr="00B53ED3">
        <w:rPr>
          <w:rFonts w:ascii="David" w:hAnsi="David" w:hint="cs"/>
          <w:b/>
          <w:bCs/>
          <w:rtl/>
        </w:rPr>
        <w:t xml:space="preserve"> </w:t>
      </w:r>
      <w:r w:rsidR="00204270">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נאמן </w:t>
      </w:r>
      <w:r>
        <w:rPr>
          <w:rFonts w:ascii="David" w:hAnsi="David" w:hint="cs"/>
          <w:b/>
          <w:bCs/>
          <w:rtl/>
        </w:rPr>
        <w:t xml:space="preserve">      </w:t>
      </w:r>
      <w:r w:rsidRPr="00B53ED3">
        <w:rPr>
          <w:rFonts w:ascii="David" w:hAnsi="David" w:hint="cs"/>
          <w:b/>
          <w:bCs/>
          <w:rtl/>
        </w:rPr>
        <w:t xml:space="preserve">  </w:t>
      </w:r>
      <w:r w:rsidR="00204270">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למקור</w:t>
      </w:r>
    </w:p>
    <w:p w14:paraId="662C735B" w14:textId="235BD795" w:rsidR="007A09D7" w:rsidRDefault="007A09D7" w:rsidP="007A09D7">
      <w:pPr>
        <w:ind w:left="-58" w:right="-142"/>
        <w:rPr>
          <w:rFonts w:ascii="David" w:hAnsi="David"/>
          <w:b/>
          <w:bCs/>
          <w:rtl/>
        </w:rPr>
      </w:pP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sidR="00204270">
        <w:rPr>
          <w:rFonts w:ascii="David" w:hAnsi="David" w:hint="cs"/>
          <w:b/>
          <w:bCs/>
          <w:rtl/>
        </w:rPr>
        <w:t xml:space="preserve">         </w:t>
      </w:r>
      <w:r>
        <w:rPr>
          <w:rFonts w:ascii="David" w:hAnsi="David" w:hint="cs"/>
          <w:b/>
          <w:bCs/>
          <w:rtl/>
        </w:rPr>
        <w:t>סרן</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00204270">
        <w:rPr>
          <w:rFonts w:ascii="David" w:hAnsi="David" w:hint="cs"/>
          <w:b/>
          <w:bCs/>
          <w:rtl/>
        </w:rPr>
        <w:t xml:space="preserve"> </w:t>
      </w:r>
      <w:r>
        <w:rPr>
          <w:rFonts w:ascii="David" w:hAnsi="David" w:hint="cs"/>
          <w:b/>
          <w:bCs/>
          <w:rtl/>
        </w:rPr>
        <w:t xml:space="preserve"> </w:t>
      </w:r>
      <w:r w:rsidR="00204270">
        <w:rPr>
          <w:rFonts w:ascii="David" w:hAnsi="David" w:hint="cs"/>
          <w:b/>
          <w:bCs/>
          <w:rtl/>
        </w:rPr>
        <w:t xml:space="preserve"> </w:t>
      </w:r>
      <w:r>
        <w:rPr>
          <w:rFonts w:ascii="David" w:hAnsi="David" w:hint="cs"/>
          <w:b/>
          <w:bCs/>
          <w:rtl/>
        </w:rPr>
        <w:t xml:space="preserve">     </w:t>
      </w:r>
      <w:r w:rsidR="00204270">
        <w:rPr>
          <w:rFonts w:ascii="David" w:hAnsi="David" w:hint="cs"/>
          <w:b/>
          <w:bCs/>
          <w:rtl/>
        </w:rPr>
        <w:t xml:space="preserve"> </w:t>
      </w:r>
      <w:r>
        <w:rPr>
          <w:rFonts w:ascii="David" w:hAnsi="David" w:hint="cs"/>
          <w:b/>
          <w:bCs/>
          <w:rtl/>
        </w:rPr>
        <w:t xml:space="preserve">  כפיר</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sidR="00204270">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לב</w:t>
      </w:r>
      <w:r>
        <w:rPr>
          <w:rFonts w:ascii="David" w:hAnsi="David" w:hint="cs"/>
          <w:b/>
          <w:bCs/>
          <w:rtl/>
        </w:rPr>
        <w:t xml:space="preserve">    </w:t>
      </w:r>
    </w:p>
    <w:p w14:paraId="24C868C1" w14:textId="7642B63E" w:rsidR="007A09D7" w:rsidRPr="007D6E18" w:rsidRDefault="007A09D7" w:rsidP="007A09D7">
      <w:pPr>
        <w:ind w:left="-58" w:right="-142"/>
        <w:rPr>
          <w:rFonts w:ascii="David" w:hAnsi="David"/>
          <w:b/>
          <w:bCs/>
        </w:rPr>
      </w:pPr>
      <w:r>
        <w:rPr>
          <w:rFonts w:ascii="David" w:hAnsi="David" w:hint="cs"/>
          <w:b/>
          <w:bCs/>
          <w:rtl/>
        </w:rPr>
        <w:t xml:space="preserve"> ת</w:t>
      </w:r>
      <w:r w:rsidRPr="00B53ED3">
        <w:rPr>
          <w:rFonts w:ascii="David" w:hAnsi="David" w:hint="cs"/>
          <w:b/>
          <w:bCs/>
          <w:rtl/>
        </w:rPr>
        <w:t>אריך: _______________________</w:t>
      </w:r>
      <w:r w:rsidR="00204270">
        <w:rPr>
          <w:rFonts w:ascii="David" w:hAnsi="David" w:hint="cs"/>
          <w:b/>
          <w:bCs/>
          <w:rtl/>
        </w:rPr>
        <w:t>___</w:t>
      </w:r>
      <w:r w:rsidRPr="00B53ED3">
        <w:rPr>
          <w:rFonts w:ascii="David" w:hAnsi="David" w:hint="cs"/>
          <w:b/>
          <w:bCs/>
          <w:rtl/>
        </w:rPr>
        <w:t xml:space="preserve">     </w:t>
      </w:r>
      <w:r>
        <w:rPr>
          <w:rFonts w:ascii="David" w:hAnsi="David" w:hint="cs"/>
          <w:b/>
          <w:bCs/>
          <w:rtl/>
        </w:rPr>
        <w:t xml:space="preserve">  </w:t>
      </w:r>
      <w:r w:rsidR="00204270">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קצי</w:t>
      </w:r>
      <w:r>
        <w:rPr>
          <w:rFonts w:ascii="David" w:hAnsi="David" w:hint="cs"/>
          <w:b/>
          <w:bCs/>
          <w:rtl/>
        </w:rPr>
        <w:t>ן</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sidR="00204270">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בית    </w:t>
      </w:r>
      <w:r>
        <w:rPr>
          <w:rFonts w:ascii="David" w:hAnsi="David" w:hint="cs"/>
          <w:b/>
          <w:bCs/>
          <w:rtl/>
        </w:rPr>
        <w:t xml:space="preserve">     </w:t>
      </w:r>
      <w:r w:rsidR="00204270">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00204270">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הדין</w:t>
      </w:r>
      <w:bookmarkEnd w:id="0"/>
    </w:p>
    <w:sectPr w:rsidR="007A09D7" w:rsidRPr="007D6E18" w:rsidSect="00DC7457">
      <w:headerReference w:type="even" r:id="rId8"/>
      <w:headerReference w:type="default" r:id="rId9"/>
      <w:footerReference w:type="even" r:id="rId10"/>
      <w:footerReference w:type="default" r:id="rId11"/>
      <w:headerReference w:type="first" r:id="rId12"/>
      <w:pgSz w:w="11906" w:h="16838"/>
      <w:pgMar w:top="1418" w:right="1418" w:bottom="1418" w:left="1418" w:header="708" w:footer="708" w:gutter="0"/>
      <w:cols w:space="708"/>
      <w:bidi/>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374B2" w14:textId="77777777" w:rsidR="003C6C7E" w:rsidRDefault="003C6C7E">
      <w:pPr>
        <w:spacing w:line="240" w:lineRule="auto"/>
      </w:pPr>
      <w:r>
        <w:separator/>
      </w:r>
    </w:p>
  </w:endnote>
  <w:endnote w:type="continuationSeparator" w:id="0">
    <w:p w14:paraId="79D36C19" w14:textId="77777777" w:rsidR="003C6C7E" w:rsidRDefault="003C6C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Ruehl">
    <w:panose1 w:val="020E0503060101010101"/>
    <w:charset w:val="00"/>
    <w:family w:val="swiss"/>
    <w:pitch w:val="variable"/>
    <w:sig w:usb0="00000803" w:usb1="00000000" w:usb2="00000000" w:usb3="00000000" w:csb0="00000021" w:csb1="00000000"/>
  </w:font>
  <w:font w:name="Arial TUR">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96E01" w14:textId="77777777" w:rsidR="009F6EFA" w:rsidRDefault="006127FD" w:rsidP="00F15DD8">
    <w:pPr>
      <w:pStyle w:val="a4"/>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end"/>
    </w:r>
  </w:p>
  <w:p w14:paraId="6ADE28DA" w14:textId="77777777" w:rsidR="009F6EFA" w:rsidRDefault="009F6EF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DBDBD" w14:textId="77777777" w:rsidR="009F6EFA" w:rsidRPr="007A09D7" w:rsidRDefault="006127FD" w:rsidP="007A09D7">
    <w:pPr>
      <w:pStyle w:val="a4"/>
      <w:framePr w:wrap="around" w:vAnchor="text" w:hAnchor="page" w:x="5973" w:y="19"/>
      <w:rPr>
        <w:rStyle w:val="a5"/>
        <w:rFonts w:ascii="David" w:hAnsi="David"/>
      </w:rPr>
    </w:pPr>
    <w:r w:rsidRPr="007A09D7">
      <w:rPr>
        <w:rStyle w:val="a5"/>
        <w:rFonts w:ascii="David" w:hAnsi="David"/>
        <w:rtl/>
      </w:rPr>
      <w:fldChar w:fldCharType="begin"/>
    </w:r>
    <w:r w:rsidRPr="007A09D7">
      <w:rPr>
        <w:rStyle w:val="a5"/>
        <w:rFonts w:ascii="David" w:hAnsi="David"/>
      </w:rPr>
      <w:instrText xml:space="preserve">PAGE  </w:instrText>
    </w:r>
    <w:r w:rsidRPr="007A09D7">
      <w:rPr>
        <w:rStyle w:val="a5"/>
        <w:rFonts w:ascii="David" w:hAnsi="David"/>
        <w:rtl/>
      </w:rPr>
      <w:fldChar w:fldCharType="separate"/>
    </w:r>
    <w:r w:rsidR="00E3320E" w:rsidRPr="007A09D7">
      <w:rPr>
        <w:rStyle w:val="a5"/>
        <w:rFonts w:ascii="David" w:hAnsi="David"/>
        <w:noProof/>
        <w:rtl/>
      </w:rPr>
      <w:t>1</w:t>
    </w:r>
    <w:r w:rsidR="00E3320E" w:rsidRPr="007A09D7">
      <w:rPr>
        <w:rStyle w:val="a5"/>
        <w:rFonts w:ascii="David" w:hAnsi="David"/>
        <w:noProof/>
        <w:rtl/>
      </w:rPr>
      <w:t>0</w:t>
    </w:r>
    <w:r w:rsidRPr="007A09D7">
      <w:rPr>
        <w:rStyle w:val="a5"/>
        <w:rFonts w:ascii="David" w:hAnsi="David"/>
        <w:rtl/>
      </w:rPr>
      <w:fldChar w:fldCharType="end"/>
    </w:r>
  </w:p>
  <w:p w14:paraId="5584BD72" w14:textId="77777777" w:rsidR="009F6EFA" w:rsidRPr="000C222C" w:rsidRDefault="009F6EF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16E9A" w14:textId="77777777" w:rsidR="003C6C7E" w:rsidRDefault="003C6C7E">
      <w:pPr>
        <w:spacing w:line="240" w:lineRule="auto"/>
      </w:pPr>
      <w:r>
        <w:separator/>
      </w:r>
    </w:p>
  </w:footnote>
  <w:footnote w:type="continuationSeparator" w:id="0">
    <w:p w14:paraId="5CBADAD5" w14:textId="77777777" w:rsidR="003C6C7E" w:rsidRDefault="003C6C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FEC14" w14:textId="48F8619D" w:rsidR="006D41F5" w:rsidRDefault="000A60E6">
    <w:pPr>
      <w:pStyle w:val="a3"/>
    </w:pPr>
    <w:r>
      <w:rPr>
        <w:noProof/>
      </w:rPr>
      <mc:AlternateContent>
        <mc:Choice Requires="wps">
          <w:drawing>
            <wp:anchor distT="0" distB="0" distL="0" distR="0" simplePos="0" relativeHeight="251659264" behindDoc="0" locked="0" layoutInCell="1" allowOverlap="1" wp14:anchorId="7BC5994D" wp14:editId="4A4A3658">
              <wp:simplePos x="635" y="635"/>
              <wp:positionH relativeFrom="page">
                <wp:align>center</wp:align>
              </wp:positionH>
              <wp:positionV relativeFrom="page">
                <wp:align>top</wp:align>
              </wp:positionV>
              <wp:extent cx="443865" cy="443865"/>
              <wp:effectExtent l="0" t="0" r="6985" b="15240"/>
              <wp:wrapNone/>
              <wp:docPr id="2" name="Text Box 2"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E4A67E" w14:textId="7AD41479" w:rsidR="000A60E6" w:rsidRPr="000A60E6" w:rsidRDefault="000A60E6" w:rsidP="000A60E6">
                          <w:pPr>
                            <w:rPr>
                              <w:rFonts w:ascii="Calibri" w:eastAsia="Calibri" w:hAnsi="Calibri" w:cs="Calibri"/>
                              <w:noProof/>
                              <w:color w:val="000000"/>
                              <w:sz w:val="20"/>
                              <w:szCs w:val="20"/>
                            </w:rPr>
                          </w:pPr>
                          <w:r w:rsidRPr="000A60E6">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C5994D" id="_x0000_t202" coordsize="21600,21600" o:spt="202" path="m,l,21600r21600,l21600,xe">
              <v:stroke joinstyle="miter"/>
              <v:path gradientshapeok="t" o:connecttype="rect"/>
            </v:shapetype>
            <v:shape id="Text Box 2" o:spid="_x0000_s1026" type="#_x0000_t202" alt="- בלמ&quot;ס -"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" filled="f" stroked="f">
              <v:textbox style="mso-fit-shape-to-text:t" inset="0,15pt,0,0">
                <w:txbxContent>
                  <w:p w14:paraId="4CE4A67E" w14:textId="7AD41479" w:rsidR="000A60E6" w:rsidRPr="000A60E6" w:rsidRDefault="000A60E6" w:rsidP="000A60E6">
                    <w:pPr>
                      <w:rPr>
                        <w:rFonts w:ascii="Calibri" w:eastAsia="Calibri" w:hAnsi="Calibri" w:cs="Calibri"/>
                        <w:noProof/>
                        <w:color w:val="000000"/>
                        <w:sz w:val="20"/>
                        <w:szCs w:val="20"/>
                      </w:rPr>
                    </w:pPr>
                    <w:r w:rsidRPr="000A60E6">
                      <w:rPr>
                        <w:rFonts w:ascii="Calibri" w:eastAsia="Calibri" w:hAnsi="Calibri" w:cs="Calibri"/>
                        <w:noProof/>
                        <w:color w:val="000000"/>
                        <w:sz w:val="20"/>
                        <w:szCs w:val="20"/>
                        <w:rtl/>
                      </w:rPr>
                      <w:t>- בלמ"ס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0767" w14:textId="7DD1EDD3" w:rsidR="004133F9" w:rsidRPr="00EA5CBF" w:rsidRDefault="000A60E6" w:rsidP="00A909F3">
    <w:pPr>
      <w:pStyle w:val="a3"/>
      <w:spacing w:line="240" w:lineRule="auto"/>
      <w:rPr>
        <w:rtl/>
      </w:rPr>
    </w:pPr>
    <w:r>
      <w:rPr>
        <w:noProof/>
        <w:rtl/>
        <w:lang w:val="he-IL"/>
      </w:rPr>
      <mc:AlternateContent>
        <mc:Choice Requires="wps">
          <w:drawing>
            <wp:anchor distT="0" distB="0" distL="0" distR="0" simplePos="0" relativeHeight="251660288" behindDoc="0" locked="0" layoutInCell="1" allowOverlap="1" wp14:anchorId="3C69BC32" wp14:editId="6A51C004">
              <wp:simplePos x="0" y="0"/>
              <wp:positionH relativeFrom="page">
                <wp:posOffset>3371353</wp:posOffset>
              </wp:positionH>
              <wp:positionV relativeFrom="page">
                <wp:posOffset>270343</wp:posOffset>
              </wp:positionV>
              <wp:extent cx="620202" cy="405075"/>
              <wp:effectExtent l="0" t="0" r="8890" b="14605"/>
              <wp:wrapNone/>
              <wp:docPr id="3" name="Text Box 3"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0202" cy="405075"/>
                      </a:xfrm>
                      <a:prstGeom prst="rect">
                        <a:avLst/>
                      </a:prstGeom>
                      <a:noFill/>
                      <a:ln>
                        <a:noFill/>
                      </a:ln>
                    </wps:spPr>
                    <wps:txbx>
                      <w:txbxContent>
                        <w:p w14:paraId="36C22986" w14:textId="09F2A90E" w:rsidR="000A60E6" w:rsidRPr="00300C9B" w:rsidRDefault="00724D27" w:rsidP="000A60E6">
                          <w:pPr>
                            <w:rPr>
                              <w:rFonts w:ascii="David" w:eastAsia="Calibri" w:hAnsi="David"/>
                              <w:noProof/>
                              <w:color w:val="000000"/>
                              <w:sz w:val="20"/>
                              <w:szCs w:val="20"/>
                            </w:rPr>
                          </w:pPr>
                          <w:r>
                            <w:rPr>
                              <w:rFonts w:ascii="David" w:eastAsia="Calibri" w:hAnsi="David" w:hint="cs"/>
                              <w:noProof/>
                              <w:color w:val="000000"/>
                              <w:rtl/>
                            </w:rPr>
                            <w:t>ב</w:t>
                          </w:r>
                          <w:r w:rsidR="00300C9B" w:rsidRPr="00300C9B">
                            <w:rPr>
                              <w:rFonts w:ascii="David" w:eastAsia="Calibri" w:hAnsi="David" w:hint="cs"/>
                              <w:noProof/>
                              <w:color w:val="000000"/>
                              <w:rtl/>
                            </w:rPr>
                            <w:t xml:space="preserve"> ל</w:t>
                          </w:r>
                          <w:r w:rsidR="00300C9B">
                            <w:rPr>
                              <w:rFonts w:ascii="David" w:eastAsia="Calibri" w:hAnsi="David" w:hint="cs"/>
                              <w:noProof/>
                              <w:color w:val="000000"/>
                              <w:sz w:val="20"/>
                              <w:szCs w:val="20"/>
                              <w:rtl/>
                            </w:rPr>
                            <w:t xml:space="preserve"> </w:t>
                          </w:r>
                          <w:r>
                            <w:rPr>
                              <w:rFonts w:ascii="David" w:eastAsia="Calibri" w:hAnsi="David" w:hint="cs"/>
                              <w:noProof/>
                              <w:color w:val="000000"/>
                              <w:sz w:val="20"/>
                              <w:szCs w:val="20"/>
                              <w:rtl/>
                            </w:rPr>
                            <w:t xml:space="preserve"> </w:t>
                          </w:r>
                          <w:r w:rsidRPr="00724D27">
                            <w:rPr>
                              <w:rFonts w:ascii="David" w:eastAsia="Calibri" w:hAnsi="David" w:hint="cs"/>
                              <w:noProof/>
                              <w:color w:val="000000"/>
                              <w:rtl/>
                            </w:rPr>
                            <w:t>מ " ס</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69BC32" id="_x0000_t202" coordsize="21600,21600" o:spt="202" path="m,l,21600r21600,l21600,xe">
              <v:stroke joinstyle="miter"/>
              <v:path gradientshapeok="t" o:connecttype="rect"/>
            </v:shapetype>
            <v:shape id="Text Box 3" o:spid="_x0000_s1027" type="#_x0000_t202" alt="- בלמ&quot;ס -" style="position:absolute;left:0;text-align:left;margin-left:265.45pt;margin-top:21.3pt;width:48.85pt;height:31.9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" filled="f" stroked="f">
              <v:textbox inset="0,15pt,0,0">
                <w:txbxContent>
                  <w:p w14:paraId="36C22986" w14:textId="09F2A90E" w:rsidR="000A60E6" w:rsidRPr="00300C9B" w:rsidRDefault="00724D27" w:rsidP="000A60E6">
                    <w:pPr>
                      <w:rPr>
                        <w:rFonts w:ascii="David" w:eastAsia="Calibri" w:hAnsi="David"/>
                        <w:noProof/>
                        <w:color w:val="000000"/>
                        <w:sz w:val="20"/>
                        <w:szCs w:val="20"/>
                      </w:rPr>
                    </w:pPr>
                    <w:r>
                      <w:rPr>
                        <w:rFonts w:ascii="David" w:eastAsia="Calibri" w:hAnsi="David" w:hint="cs"/>
                        <w:noProof/>
                        <w:color w:val="000000"/>
                        <w:rtl/>
                      </w:rPr>
                      <w:t>ב</w:t>
                    </w:r>
                    <w:r w:rsidR="00300C9B" w:rsidRPr="00300C9B">
                      <w:rPr>
                        <w:rFonts w:ascii="David" w:eastAsia="Calibri" w:hAnsi="David" w:hint="cs"/>
                        <w:noProof/>
                        <w:color w:val="000000"/>
                        <w:rtl/>
                      </w:rPr>
                      <w:t xml:space="preserve"> ל</w:t>
                    </w:r>
                    <w:r w:rsidR="00300C9B">
                      <w:rPr>
                        <w:rFonts w:ascii="David" w:eastAsia="Calibri" w:hAnsi="David" w:hint="cs"/>
                        <w:noProof/>
                        <w:color w:val="000000"/>
                        <w:sz w:val="20"/>
                        <w:szCs w:val="20"/>
                        <w:rtl/>
                      </w:rPr>
                      <w:t xml:space="preserve"> </w:t>
                    </w:r>
                    <w:r>
                      <w:rPr>
                        <w:rFonts w:ascii="David" w:eastAsia="Calibri" w:hAnsi="David" w:hint="cs"/>
                        <w:noProof/>
                        <w:color w:val="000000"/>
                        <w:sz w:val="20"/>
                        <w:szCs w:val="20"/>
                        <w:rtl/>
                      </w:rPr>
                      <w:t xml:space="preserve"> </w:t>
                    </w:r>
                    <w:r w:rsidRPr="00724D27">
                      <w:rPr>
                        <w:rFonts w:ascii="David" w:eastAsia="Calibri" w:hAnsi="David" w:hint="cs"/>
                        <w:noProof/>
                        <w:color w:val="000000"/>
                        <w:rtl/>
                      </w:rPr>
                      <w:t>מ " ס</w:t>
                    </w:r>
                  </w:p>
                </w:txbxContent>
              </v:textbox>
              <w10:wrap anchorx="page" anchory="page"/>
            </v:shape>
          </w:pict>
        </mc:Fallback>
      </mc:AlternateContent>
    </w:r>
    <w:r w:rsidR="00EB22B8" w:rsidRPr="00EA5CBF">
      <w:rPr>
        <w:rtl/>
      </w:rPr>
      <w:tab/>
    </w:r>
    <w:r w:rsidR="006127FD">
      <w:rPr>
        <w:rFonts w:hint="cs"/>
        <w:rtl/>
      </w:rPr>
      <w:t xml:space="preserve">                                                                                                                   </w:t>
    </w:r>
    <w:r w:rsidR="006127FD">
      <w:rPr>
        <w:rFonts w:hint="cs"/>
        <w:rtl/>
      </w:rPr>
      <w:t xml:space="preserve">ע/18,21/16 </w:t>
    </w:r>
    <w:r w:rsidR="00EB22B8">
      <w:rPr>
        <w:rtl/>
      </w:rPr>
      <w:tab/>
    </w:r>
    <w:r w:rsidR="00EB22B8">
      <w:rPr>
        <w:rtl/>
      </w:rPr>
      <w:tab/>
    </w:r>
    <w:r w:rsidR="00DC7457">
      <w:rPr>
        <w:rFonts w:hint="cs"/>
        <w:rtl/>
      </w:rPr>
      <w:t xml:space="preserve"> </w:t>
    </w:r>
    <w:r w:rsidR="00EB22B8">
      <w:rPr>
        <w:rFonts w:hint="cs"/>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E779" w14:textId="44BB9398" w:rsidR="006D41F5" w:rsidRDefault="000A60E6">
    <w:pPr>
      <w:pStyle w:val="a3"/>
    </w:pPr>
    <w:r>
      <w:rPr>
        <w:noProof/>
      </w:rPr>
      <mc:AlternateContent>
        <mc:Choice Requires="wps">
          <w:drawing>
            <wp:anchor distT="0" distB="0" distL="0" distR="0" simplePos="0" relativeHeight="251658240" behindDoc="0" locked="0" layoutInCell="1" allowOverlap="1" wp14:anchorId="6B1A0D00" wp14:editId="6ECDBABE">
              <wp:simplePos x="635" y="635"/>
              <wp:positionH relativeFrom="page">
                <wp:align>center</wp:align>
              </wp:positionH>
              <wp:positionV relativeFrom="page">
                <wp:align>top</wp:align>
              </wp:positionV>
              <wp:extent cx="443865" cy="443865"/>
              <wp:effectExtent l="0" t="0" r="6985" b="15240"/>
              <wp:wrapNone/>
              <wp:docPr id="1" name="Text Box 1"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90406F" w14:textId="7604C946" w:rsidR="000A60E6" w:rsidRPr="000A60E6" w:rsidRDefault="000A60E6" w:rsidP="000A60E6">
                          <w:pPr>
                            <w:rPr>
                              <w:rFonts w:ascii="Calibri" w:eastAsia="Calibri" w:hAnsi="Calibri" w:cs="Calibri"/>
                              <w:noProof/>
                              <w:color w:val="000000"/>
                              <w:sz w:val="20"/>
                              <w:szCs w:val="20"/>
                            </w:rPr>
                          </w:pPr>
                          <w:r w:rsidRPr="000A60E6">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1A0D00" id="_x0000_t202" coordsize="21600,21600" o:spt="202" path="m,l,21600r21600,l21600,xe">
              <v:stroke joinstyle="miter"/>
              <v:path gradientshapeok="t" o:connecttype="rect"/>
            </v:shapetype>
            <v:shape id="Text Box 1" o:spid="_x0000_s1028" type="#_x0000_t202" alt="- בלמ&quot;ס -"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" filled="f" stroked="f">
              <v:textbox style="mso-fit-shape-to-text:t" inset="0,15pt,0,0">
                <w:txbxContent>
                  <w:p w14:paraId="6190406F" w14:textId="7604C946" w:rsidR="000A60E6" w:rsidRPr="000A60E6" w:rsidRDefault="000A60E6" w:rsidP="000A60E6">
                    <w:pPr>
                      <w:rPr>
                        <w:rFonts w:ascii="Calibri" w:eastAsia="Calibri" w:hAnsi="Calibri" w:cs="Calibri"/>
                        <w:noProof/>
                        <w:color w:val="000000"/>
                        <w:sz w:val="20"/>
                        <w:szCs w:val="20"/>
                      </w:rPr>
                    </w:pPr>
                    <w:r w:rsidRPr="000A60E6">
                      <w:rPr>
                        <w:rFonts w:ascii="Calibri" w:eastAsia="Calibri" w:hAnsi="Calibri" w:cs="Calibri"/>
                        <w:noProof/>
                        <w:color w:val="000000"/>
                        <w:sz w:val="20"/>
                        <w:szCs w:val="20"/>
                        <w:rtl/>
                      </w:rPr>
                      <w:t>- בלמ"ס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743"/>
    <w:multiLevelType w:val="hybridMultilevel"/>
    <w:tmpl w:val="28C20B0C"/>
    <w:lvl w:ilvl="0" w:tplc="C4F09D58">
      <w:start w:val="1"/>
      <w:numFmt w:val="decimal"/>
      <w:lvlText w:val="%1."/>
      <w:lvlJc w:val="left"/>
      <w:pPr>
        <w:ind w:left="720" w:hanging="360"/>
      </w:pPr>
      <w:rPr>
        <w:rFonts w:hint="default"/>
      </w:rPr>
    </w:lvl>
    <w:lvl w:ilvl="1" w:tplc="AF94350E" w:tentative="1">
      <w:start w:val="1"/>
      <w:numFmt w:val="lowerLetter"/>
      <w:lvlText w:val="%2."/>
      <w:lvlJc w:val="left"/>
      <w:pPr>
        <w:ind w:left="1440" w:hanging="360"/>
      </w:pPr>
    </w:lvl>
    <w:lvl w:ilvl="2" w:tplc="E9FADBA4" w:tentative="1">
      <w:start w:val="1"/>
      <w:numFmt w:val="lowerRoman"/>
      <w:lvlText w:val="%3."/>
      <w:lvlJc w:val="right"/>
      <w:pPr>
        <w:ind w:left="2160" w:hanging="180"/>
      </w:pPr>
    </w:lvl>
    <w:lvl w:ilvl="3" w:tplc="9DC4F1C8" w:tentative="1">
      <w:start w:val="1"/>
      <w:numFmt w:val="decimal"/>
      <w:lvlText w:val="%4."/>
      <w:lvlJc w:val="left"/>
      <w:pPr>
        <w:ind w:left="2880" w:hanging="360"/>
      </w:pPr>
    </w:lvl>
    <w:lvl w:ilvl="4" w:tplc="42AC3554" w:tentative="1">
      <w:start w:val="1"/>
      <w:numFmt w:val="lowerLetter"/>
      <w:lvlText w:val="%5."/>
      <w:lvlJc w:val="left"/>
      <w:pPr>
        <w:ind w:left="3600" w:hanging="360"/>
      </w:pPr>
    </w:lvl>
    <w:lvl w:ilvl="5" w:tplc="6310F0AC" w:tentative="1">
      <w:start w:val="1"/>
      <w:numFmt w:val="lowerRoman"/>
      <w:lvlText w:val="%6."/>
      <w:lvlJc w:val="right"/>
      <w:pPr>
        <w:ind w:left="4320" w:hanging="180"/>
      </w:pPr>
    </w:lvl>
    <w:lvl w:ilvl="6" w:tplc="BFB64958" w:tentative="1">
      <w:start w:val="1"/>
      <w:numFmt w:val="decimal"/>
      <w:lvlText w:val="%7."/>
      <w:lvlJc w:val="left"/>
      <w:pPr>
        <w:ind w:left="5040" w:hanging="360"/>
      </w:pPr>
    </w:lvl>
    <w:lvl w:ilvl="7" w:tplc="1D7225C6" w:tentative="1">
      <w:start w:val="1"/>
      <w:numFmt w:val="lowerLetter"/>
      <w:lvlText w:val="%8."/>
      <w:lvlJc w:val="left"/>
      <w:pPr>
        <w:ind w:left="5760" w:hanging="360"/>
      </w:pPr>
    </w:lvl>
    <w:lvl w:ilvl="8" w:tplc="88209714" w:tentative="1">
      <w:start w:val="1"/>
      <w:numFmt w:val="lowerRoman"/>
      <w:lvlText w:val="%9."/>
      <w:lvlJc w:val="right"/>
      <w:pPr>
        <w:ind w:left="6480" w:hanging="180"/>
      </w:pPr>
    </w:lvl>
  </w:abstractNum>
  <w:abstractNum w:abstractNumId="1" w15:restartNumberingAfterBreak="0">
    <w:nsid w:val="08A6001B"/>
    <w:multiLevelType w:val="hybridMultilevel"/>
    <w:tmpl w:val="5570FE84"/>
    <w:lvl w:ilvl="0" w:tplc="AB14D1CA">
      <w:start w:val="1"/>
      <w:numFmt w:val="decimal"/>
      <w:pStyle w:val="Ruller4"/>
      <w:lvlText w:val="%1."/>
      <w:lvlJc w:val="left"/>
      <w:pPr>
        <w:tabs>
          <w:tab w:val="num" w:pos="907"/>
        </w:tabs>
        <w:ind w:left="0" w:firstLine="0"/>
      </w:pPr>
    </w:lvl>
    <w:lvl w:ilvl="1" w:tplc="A8CE92DA">
      <w:start w:val="1"/>
      <w:numFmt w:val="bullet"/>
      <w:lvlText w:val=""/>
      <w:lvlJc w:val="left"/>
      <w:pPr>
        <w:tabs>
          <w:tab w:val="num" w:pos="1440"/>
        </w:tabs>
        <w:ind w:left="1440" w:hanging="360"/>
      </w:pPr>
      <w:rPr>
        <w:rFonts w:ascii="Wingdings" w:hAnsi="Wingdings" w:hint="default"/>
      </w:rPr>
    </w:lvl>
    <w:lvl w:ilvl="2" w:tplc="3564ACDE">
      <w:start w:val="1"/>
      <w:numFmt w:val="decimal"/>
      <w:lvlText w:val="%3."/>
      <w:lvlJc w:val="left"/>
      <w:pPr>
        <w:tabs>
          <w:tab w:val="num" w:pos="2160"/>
        </w:tabs>
        <w:ind w:left="2160" w:hanging="360"/>
      </w:pPr>
    </w:lvl>
    <w:lvl w:ilvl="3" w:tplc="386E3974">
      <w:start w:val="1"/>
      <w:numFmt w:val="decimal"/>
      <w:lvlText w:val="%4."/>
      <w:lvlJc w:val="left"/>
      <w:pPr>
        <w:tabs>
          <w:tab w:val="num" w:pos="2880"/>
        </w:tabs>
        <w:ind w:left="2880" w:hanging="360"/>
      </w:pPr>
    </w:lvl>
    <w:lvl w:ilvl="4" w:tplc="852C7C74">
      <w:start w:val="1"/>
      <w:numFmt w:val="decimal"/>
      <w:lvlText w:val="%5."/>
      <w:lvlJc w:val="left"/>
      <w:pPr>
        <w:tabs>
          <w:tab w:val="num" w:pos="3600"/>
        </w:tabs>
        <w:ind w:left="3600" w:hanging="360"/>
      </w:pPr>
    </w:lvl>
    <w:lvl w:ilvl="5" w:tplc="C99A9444">
      <w:start w:val="1"/>
      <w:numFmt w:val="decimal"/>
      <w:lvlText w:val="%6."/>
      <w:lvlJc w:val="left"/>
      <w:pPr>
        <w:tabs>
          <w:tab w:val="num" w:pos="4320"/>
        </w:tabs>
        <w:ind w:left="4320" w:hanging="360"/>
      </w:pPr>
    </w:lvl>
    <w:lvl w:ilvl="6" w:tplc="9BA8FF46">
      <w:start w:val="1"/>
      <w:numFmt w:val="decimal"/>
      <w:lvlText w:val="%7."/>
      <w:lvlJc w:val="left"/>
      <w:pPr>
        <w:tabs>
          <w:tab w:val="num" w:pos="5040"/>
        </w:tabs>
        <w:ind w:left="5040" w:hanging="360"/>
      </w:pPr>
    </w:lvl>
    <w:lvl w:ilvl="7" w:tplc="DCCABD02">
      <w:start w:val="1"/>
      <w:numFmt w:val="decimal"/>
      <w:lvlText w:val="%8."/>
      <w:lvlJc w:val="left"/>
      <w:pPr>
        <w:tabs>
          <w:tab w:val="num" w:pos="5760"/>
        </w:tabs>
        <w:ind w:left="5760" w:hanging="360"/>
      </w:pPr>
    </w:lvl>
    <w:lvl w:ilvl="8" w:tplc="7F10F9FA">
      <w:start w:val="1"/>
      <w:numFmt w:val="decimal"/>
      <w:lvlText w:val="%9."/>
      <w:lvlJc w:val="left"/>
      <w:pPr>
        <w:tabs>
          <w:tab w:val="num" w:pos="6480"/>
        </w:tabs>
        <w:ind w:left="6480" w:hanging="360"/>
      </w:pPr>
    </w:lvl>
  </w:abstractNum>
  <w:abstractNum w:abstractNumId="2" w15:restartNumberingAfterBreak="0">
    <w:nsid w:val="144A1D09"/>
    <w:multiLevelType w:val="hybridMultilevel"/>
    <w:tmpl w:val="E094232E"/>
    <w:lvl w:ilvl="0" w:tplc="26AE28EA">
      <w:start w:val="1"/>
      <w:numFmt w:val="hebrew1"/>
      <w:lvlText w:val="%1."/>
      <w:lvlJc w:val="left"/>
      <w:pPr>
        <w:ind w:left="720" w:hanging="360"/>
      </w:pPr>
    </w:lvl>
    <w:lvl w:ilvl="1" w:tplc="E9BC6EB0">
      <w:start w:val="1"/>
      <w:numFmt w:val="lowerLetter"/>
      <w:lvlText w:val="%2."/>
      <w:lvlJc w:val="left"/>
      <w:pPr>
        <w:ind w:left="1440" w:hanging="360"/>
      </w:pPr>
    </w:lvl>
    <w:lvl w:ilvl="2" w:tplc="C3705AB8">
      <w:start w:val="1"/>
      <w:numFmt w:val="lowerRoman"/>
      <w:lvlText w:val="%3."/>
      <w:lvlJc w:val="right"/>
      <w:pPr>
        <w:ind w:left="2160" w:hanging="180"/>
      </w:pPr>
    </w:lvl>
    <w:lvl w:ilvl="3" w:tplc="BB5C4CC4">
      <w:start w:val="1"/>
      <w:numFmt w:val="decimal"/>
      <w:lvlText w:val="%4."/>
      <w:lvlJc w:val="left"/>
      <w:pPr>
        <w:ind w:left="2880" w:hanging="360"/>
      </w:pPr>
    </w:lvl>
    <w:lvl w:ilvl="4" w:tplc="640C7648">
      <w:start w:val="1"/>
      <w:numFmt w:val="lowerLetter"/>
      <w:lvlText w:val="%5."/>
      <w:lvlJc w:val="left"/>
      <w:pPr>
        <w:ind w:left="3600" w:hanging="360"/>
      </w:pPr>
    </w:lvl>
    <w:lvl w:ilvl="5" w:tplc="428EB16C">
      <w:start w:val="1"/>
      <w:numFmt w:val="lowerRoman"/>
      <w:lvlText w:val="%6."/>
      <w:lvlJc w:val="right"/>
      <w:pPr>
        <w:ind w:left="4320" w:hanging="180"/>
      </w:pPr>
    </w:lvl>
    <w:lvl w:ilvl="6" w:tplc="2458CBFA">
      <w:start w:val="1"/>
      <w:numFmt w:val="decimal"/>
      <w:lvlText w:val="%7."/>
      <w:lvlJc w:val="left"/>
      <w:pPr>
        <w:ind w:left="5040" w:hanging="360"/>
      </w:pPr>
    </w:lvl>
    <w:lvl w:ilvl="7" w:tplc="E4680E8C">
      <w:start w:val="1"/>
      <w:numFmt w:val="lowerLetter"/>
      <w:lvlText w:val="%8."/>
      <w:lvlJc w:val="left"/>
      <w:pPr>
        <w:ind w:left="5760" w:hanging="360"/>
      </w:pPr>
    </w:lvl>
    <w:lvl w:ilvl="8" w:tplc="86249D10">
      <w:start w:val="1"/>
      <w:numFmt w:val="lowerRoman"/>
      <w:lvlText w:val="%9."/>
      <w:lvlJc w:val="right"/>
      <w:pPr>
        <w:ind w:left="6480" w:hanging="180"/>
      </w:pPr>
    </w:lvl>
  </w:abstractNum>
  <w:abstractNum w:abstractNumId="3" w15:restartNumberingAfterBreak="0">
    <w:nsid w:val="1E055268"/>
    <w:multiLevelType w:val="hybridMultilevel"/>
    <w:tmpl w:val="9A96EC7E"/>
    <w:lvl w:ilvl="0" w:tplc="A3C8A726">
      <w:start w:val="1"/>
      <w:numFmt w:val="decimal"/>
      <w:pStyle w:val="2"/>
      <w:suff w:val="space"/>
      <w:lvlText w:val="%1."/>
      <w:lvlJc w:val="left"/>
      <w:pPr>
        <w:ind w:left="720" w:hanging="360"/>
      </w:pPr>
      <w:rPr>
        <w:rFonts w:hint="default"/>
        <w:b/>
        <w:bCs w:val="0"/>
        <w:lang w:bidi="he-IL"/>
      </w:rPr>
    </w:lvl>
    <w:lvl w:ilvl="1" w:tplc="0518A698">
      <w:start w:val="1"/>
      <w:numFmt w:val="lowerLetter"/>
      <w:lvlText w:val="%2."/>
      <w:lvlJc w:val="left"/>
      <w:pPr>
        <w:ind w:left="1440" w:hanging="360"/>
      </w:pPr>
    </w:lvl>
    <w:lvl w:ilvl="2" w:tplc="9CDC10EC">
      <w:start w:val="1"/>
      <w:numFmt w:val="lowerRoman"/>
      <w:lvlText w:val="%3."/>
      <w:lvlJc w:val="right"/>
      <w:pPr>
        <w:ind w:left="2160" w:hanging="180"/>
      </w:pPr>
    </w:lvl>
    <w:lvl w:ilvl="3" w:tplc="9DB84460">
      <w:start w:val="1"/>
      <w:numFmt w:val="decimal"/>
      <w:lvlText w:val="%4."/>
      <w:lvlJc w:val="left"/>
      <w:pPr>
        <w:ind w:left="2880" w:hanging="360"/>
      </w:pPr>
    </w:lvl>
    <w:lvl w:ilvl="4" w:tplc="74704EA6">
      <w:start w:val="1"/>
      <w:numFmt w:val="lowerLetter"/>
      <w:lvlText w:val="%5."/>
      <w:lvlJc w:val="left"/>
      <w:pPr>
        <w:ind w:left="3600" w:hanging="360"/>
      </w:pPr>
    </w:lvl>
    <w:lvl w:ilvl="5" w:tplc="A5DA1230">
      <w:start w:val="1"/>
      <w:numFmt w:val="lowerRoman"/>
      <w:lvlText w:val="%6."/>
      <w:lvlJc w:val="right"/>
      <w:pPr>
        <w:ind w:left="4320" w:hanging="180"/>
      </w:pPr>
    </w:lvl>
    <w:lvl w:ilvl="6" w:tplc="2F72AD90">
      <w:start w:val="1"/>
      <w:numFmt w:val="decimal"/>
      <w:lvlText w:val="%7."/>
      <w:lvlJc w:val="left"/>
      <w:pPr>
        <w:ind w:left="5040" w:hanging="360"/>
      </w:pPr>
    </w:lvl>
    <w:lvl w:ilvl="7" w:tplc="23BC5B08">
      <w:start w:val="1"/>
      <w:numFmt w:val="lowerLetter"/>
      <w:lvlText w:val="%8."/>
      <w:lvlJc w:val="left"/>
      <w:pPr>
        <w:ind w:left="5760" w:hanging="360"/>
      </w:pPr>
    </w:lvl>
    <w:lvl w:ilvl="8" w:tplc="C7A80CD6">
      <w:start w:val="1"/>
      <w:numFmt w:val="lowerRoman"/>
      <w:lvlText w:val="%9."/>
      <w:lvlJc w:val="right"/>
      <w:pPr>
        <w:ind w:left="6480" w:hanging="180"/>
      </w:pPr>
    </w:lvl>
  </w:abstractNum>
  <w:abstractNum w:abstractNumId="4" w15:restartNumberingAfterBreak="0">
    <w:nsid w:val="2766302E"/>
    <w:multiLevelType w:val="hybridMultilevel"/>
    <w:tmpl w:val="F7204ED8"/>
    <w:lvl w:ilvl="0" w:tplc="2234717C">
      <w:start w:val="1"/>
      <w:numFmt w:val="decimal"/>
      <w:lvlText w:val="%1."/>
      <w:lvlJc w:val="left"/>
      <w:pPr>
        <w:ind w:left="360" w:hanging="360"/>
      </w:pPr>
      <w:rPr>
        <w:rFonts w:cs="David" w:hint="default"/>
        <w:sz w:val="28"/>
        <w:szCs w:val="28"/>
      </w:rPr>
    </w:lvl>
    <w:lvl w:ilvl="1" w:tplc="385A5BF8" w:tentative="1">
      <w:start w:val="1"/>
      <w:numFmt w:val="lowerLetter"/>
      <w:lvlText w:val="%2."/>
      <w:lvlJc w:val="left"/>
      <w:pPr>
        <w:ind w:left="1080" w:hanging="360"/>
      </w:pPr>
    </w:lvl>
    <w:lvl w:ilvl="2" w:tplc="CF8225EA" w:tentative="1">
      <w:start w:val="1"/>
      <w:numFmt w:val="lowerRoman"/>
      <w:lvlText w:val="%3."/>
      <w:lvlJc w:val="right"/>
      <w:pPr>
        <w:ind w:left="1800" w:hanging="180"/>
      </w:pPr>
    </w:lvl>
    <w:lvl w:ilvl="3" w:tplc="C6DA0CB6" w:tentative="1">
      <w:start w:val="1"/>
      <w:numFmt w:val="decimal"/>
      <w:lvlText w:val="%4."/>
      <w:lvlJc w:val="left"/>
      <w:pPr>
        <w:ind w:left="2520" w:hanging="360"/>
      </w:pPr>
    </w:lvl>
    <w:lvl w:ilvl="4" w:tplc="E3F6EE26" w:tentative="1">
      <w:start w:val="1"/>
      <w:numFmt w:val="lowerLetter"/>
      <w:lvlText w:val="%5."/>
      <w:lvlJc w:val="left"/>
      <w:pPr>
        <w:ind w:left="3240" w:hanging="360"/>
      </w:pPr>
    </w:lvl>
    <w:lvl w:ilvl="5" w:tplc="E9DE7EE8" w:tentative="1">
      <w:start w:val="1"/>
      <w:numFmt w:val="lowerRoman"/>
      <w:lvlText w:val="%6."/>
      <w:lvlJc w:val="right"/>
      <w:pPr>
        <w:ind w:left="3960" w:hanging="180"/>
      </w:pPr>
    </w:lvl>
    <w:lvl w:ilvl="6" w:tplc="E7FEBF3A" w:tentative="1">
      <w:start w:val="1"/>
      <w:numFmt w:val="decimal"/>
      <w:lvlText w:val="%7."/>
      <w:lvlJc w:val="left"/>
      <w:pPr>
        <w:ind w:left="4680" w:hanging="360"/>
      </w:pPr>
    </w:lvl>
    <w:lvl w:ilvl="7" w:tplc="8D56A530" w:tentative="1">
      <w:start w:val="1"/>
      <w:numFmt w:val="lowerLetter"/>
      <w:lvlText w:val="%8."/>
      <w:lvlJc w:val="left"/>
      <w:pPr>
        <w:ind w:left="5400" w:hanging="360"/>
      </w:pPr>
    </w:lvl>
    <w:lvl w:ilvl="8" w:tplc="C1708902" w:tentative="1">
      <w:start w:val="1"/>
      <w:numFmt w:val="lowerRoman"/>
      <w:lvlText w:val="%9."/>
      <w:lvlJc w:val="right"/>
      <w:pPr>
        <w:ind w:left="6120" w:hanging="180"/>
      </w:pPr>
    </w:lvl>
  </w:abstractNum>
  <w:abstractNum w:abstractNumId="5" w15:restartNumberingAfterBreak="0">
    <w:nsid w:val="28493C29"/>
    <w:multiLevelType w:val="hybridMultilevel"/>
    <w:tmpl w:val="29007366"/>
    <w:lvl w:ilvl="0" w:tplc="543254F6">
      <w:start w:val="1"/>
      <w:numFmt w:val="decimal"/>
      <w:lvlText w:val="%1."/>
      <w:lvlJc w:val="left"/>
      <w:pPr>
        <w:ind w:left="720" w:hanging="360"/>
      </w:pPr>
      <w:rPr>
        <w:rFonts w:hint="default"/>
      </w:rPr>
    </w:lvl>
    <w:lvl w:ilvl="1" w:tplc="B99056E0" w:tentative="1">
      <w:start w:val="1"/>
      <w:numFmt w:val="lowerLetter"/>
      <w:lvlText w:val="%2."/>
      <w:lvlJc w:val="left"/>
      <w:pPr>
        <w:ind w:left="1440" w:hanging="360"/>
      </w:pPr>
    </w:lvl>
    <w:lvl w:ilvl="2" w:tplc="244CFC7C" w:tentative="1">
      <w:start w:val="1"/>
      <w:numFmt w:val="lowerRoman"/>
      <w:lvlText w:val="%3."/>
      <w:lvlJc w:val="right"/>
      <w:pPr>
        <w:ind w:left="2160" w:hanging="180"/>
      </w:pPr>
    </w:lvl>
    <w:lvl w:ilvl="3" w:tplc="CD3AB626" w:tentative="1">
      <w:start w:val="1"/>
      <w:numFmt w:val="decimal"/>
      <w:lvlText w:val="%4."/>
      <w:lvlJc w:val="left"/>
      <w:pPr>
        <w:ind w:left="2880" w:hanging="360"/>
      </w:pPr>
    </w:lvl>
    <w:lvl w:ilvl="4" w:tplc="77E4C000" w:tentative="1">
      <w:start w:val="1"/>
      <w:numFmt w:val="lowerLetter"/>
      <w:lvlText w:val="%5."/>
      <w:lvlJc w:val="left"/>
      <w:pPr>
        <w:ind w:left="3600" w:hanging="360"/>
      </w:pPr>
    </w:lvl>
    <w:lvl w:ilvl="5" w:tplc="4EB00E8A" w:tentative="1">
      <w:start w:val="1"/>
      <w:numFmt w:val="lowerRoman"/>
      <w:lvlText w:val="%6."/>
      <w:lvlJc w:val="right"/>
      <w:pPr>
        <w:ind w:left="4320" w:hanging="180"/>
      </w:pPr>
    </w:lvl>
    <w:lvl w:ilvl="6" w:tplc="05CE27B2" w:tentative="1">
      <w:start w:val="1"/>
      <w:numFmt w:val="decimal"/>
      <w:lvlText w:val="%7."/>
      <w:lvlJc w:val="left"/>
      <w:pPr>
        <w:ind w:left="5040" w:hanging="360"/>
      </w:pPr>
    </w:lvl>
    <w:lvl w:ilvl="7" w:tplc="5F0A9EEA" w:tentative="1">
      <w:start w:val="1"/>
      <w:numFmt w:val="lowerLetter"/>
      <w:lvlText w:val="%8."/>
      <w:lvlJc w:val="left"/>
      <w:pPr>
        <w:ind w:left="5760" w:hanging="360"/>
      </w:pPr>
    </w:lvl>
    <w:lvl w:ilvl="8" w:tplc="E6A03CE6" w:tentative="1">
      <w:start w:val="1"/>
      <w:numFmt w:val="lowerRoman"/>
      <w:lvlText w:val="%9."/>
      <w:lvlJc w:val="right"/>
      <w:pPr>
        <w:ind w:left="6480" w:hanging="180"/>
      </w:pPr>
    </w:lvl>
  </w:abstractNum>
  <w:abstractNum w:abstractNumId="6" w15:restartNumberingAfterBreak="0">
    <w:nsid w:val="28573C79"/>
    <w:multiLevelType w:val="hybridMultilevel"/>
    <w:tmpl w:val="B9463E7E"/>
    <w:lvl w:ilvl="0" w:tplc="FB6C0AA4">
      <w:start w:val="1"/>
      <w:numFmt w:val="hebrew1"/>
      <w:suff w:val="space"/>
      <w:lvlText w:val="%1."/>
      <w:lvlJc w:val="left"/>
      <w:pPr>
        <w:ind w:left="720" w:hanging="360"/>
      </w:pPr>
      <w:rPr>
        <w:rFonts w:hint="default"/>
      </w:rPr>
    </w:lvl>
    <w:lvl w:ilvl="1" w:tplc="3D60163A" w:tentative="1">
      <w:start w:val="1"/>
      <w:numFmt w:val="lowerLetter"/>
      <w:lvlText w:val="%2."/>
      <w:lvlJc w:val="left"/>
      <w:pPr>
        <w:ind w:left="1800" w:hanging="360"/>
      </w:pPr>
    </w:lvl>
    <w:lvl w:ilvl="2" w:tplc="0BE6B4F4" w:tentative="1">
      <w:start w:val="1"/>
      <w:numFmt w:val="lowerRoman"/>
      <w:lvlText w:val="%3."/>
      <w:lvlJc w:val="right"/>
      <w:pPr>
        <w:ind w:left="2520" w:hanging="180"/>
      </w:pPr>
    </w:lvl>
    <w:lvl w:ilvl="3" w:tplc="678827F8" w:tentative="1">
      <w:start w:val="1"/>
      <w:numFmt w:val="decimal"/>
      <w:lvlText w:val="%4."/>
      <w:lvlJc w:val="left"/>
      <w:pPr>
        <w:ind w:left="3240" w:hanging="360"/>
      </w:pPr>
    </w:lvl>
    <w:lvl w:ilvl="4" w:tplc="BF04963E" w:tentative="1">
      <w:start w:val="1"/>
      <w:numFmt w:val="lowerLetter"/>
      <w:lvlText w:val="%5."/>
      <w:lvlJc w:val="left"/>
      <w:pPr>
        <w:ind w:left="3960" w:hanging="360"/>
      </w:pPr>
    </w:lvl>
    <w:lvl w:ilvl="5" w:tplc="6F441064" w:tentative="1">
      <w:start w:val="1"/>
      <w:numFmt w:val="lowerRoman"/>
      <w:lvlText w:val="%6."/>
      <w:lvlJc w:val="right"/>
      <w:pPr>
        <w:ind w:left="4680" w:hanging="180"/>
      </w:pPr>
    </w:lvl>
    <w:lvl w:ilvl="6" w:tplc="337EDC7A" w:tentative="1">
      <w:start w:val="1"/>
      <w:numFmt w:val="decimal"/>
      <w:lvlText w:val="%7."/>
      <w:lvlJc w:val="left"/>
      <w:pPr>
        <w:ind w:left="5400" w:hanging="360"/>
      </w:pPr>
    </w:lvl>
    <w:lvl w:ilvl="7" w:tplc="BEEABF56" w:tentative="1">
      <w:start w:val="1"/>
      <w:numFmt w:val="lowerLetter"/>
      <w:lvlText w:val="%8."/>
      <w:lvlJc w:val="left"/>
      <w:pPr>
        <w:ind w:left="6120" w:hanging="360"/>
      </w:pPr>
    </w:lvl>
    <w:lvl w:ilvl="8" w:tplc="DE726E70" w:tentative="1">
      <w:start w:val="1"/>
      <w:numFmt w:val="lowerRoman"/>
      <w:lvlText w:val="%9."/>
      <w:lvlJc w:val="right"/>
      <w:pPr>
        <w:ind w:left="6840" w:hanging="180"/>
      </w:pPr>
    </w:lvl>
  </w:abstractNum>
  <w:abstractNum w:abstractNumId="7" w15:restartNumberingAfterBreak="0">
    <w:nsid w:val="33AB647E"/>
    <w:multiLevelType w:val="hybridMultilevel"/>
    <w:tmpl w:val="F410A8FE"/>
    <w:lvl w:ilvl="0" w:tplc="174639CA">
      <w:start w:val="1"/>
      <w:numFmt w:val="decimal"/>
      <w:lvlText w:val="%1."/>
      <w:lvlJc w:val="left"/>
      <w:pPr>
        <w:ind w:left="720" w:hanging="360"/>
      </w:pPr>
      <w:rPr>
        <w:rFonts w:hint="default"/>
      </w:rPr>
    </w:lvl>
    <w:lvl w:ilvl="1" w:tplc="7A8821F8" w:tentative="1">
      <w:start w:val="1"/>
      <w:numFmt w:val="lowerLetter"/>
      <w:lvlText w:val="%2."/>
      <w:lvlJc w:val="left"/>
      <w:pPr>
        <w:ind w:left="1440" w:hanging="360"/>
      </w:pPr>
    </w:lvl>
    <w:lvl w:ilvl="2" w:tplc="B246C1B4" w:tentative="1">
      <w:start w:val="1"/>
      <w:numFmt w:val="lowerRoman"/>
      <w:lvlText w:val="%3."/>
      <w:lvlJc w:val="right"/>
      <w:pPr>
        <w:ind w:left="2160" w:hanging="180"/>
      </w:pPr>
    </w:lvl>
    <w:lvl w:ilvl="3" w:tplc="87983DBE" w:tentative="1">
      <w:start w:val="1"/>
      <w:numFmt w:val="decimal"/>
      <w:lvlText w:val="%4."/>
      <w:lvlJc w:val="left"/>
      <w:pPr>
        <w:ind w:left="2880" w:hanging="360"/>
      </w:pPr>
    </w:lvl>
    <w:lvl w:ilvl="4" w:tplc="FEFA536A" w:tentative="1">
      <w:start w:val="1"/>
      <w:numFmt w:val="lowerLetter"/>
      <w:lvlText w:val="%5."/>
      <w:lvlJc w:val="left"/>
      <w:pPr>
        <w:ind w:left="3600" w:hanging="360"/>
      </w:pPr>
    </w:lvl>
    <w:lvl w:ilvl="5" w:tplc="918041C8" w:tentative="1">
      <w:start w:val="1"/>
      <w:numFmt w:val="lowerRoman"/>
      <w:lvlText w:val="%6."/>
      <w:lvlJc w:val="right"/>
      <w:pPr>
        <w:ind w:left="4320" w:hanging="180"/>
      </w:pPr>
    </w:lvl>
    <w:lvl w:ilvl="6" w:tplc="23AE2A44" w:tentative="1">
      <w:start w:val="1"/>
      <w:numFmt w:val="decimal"/>
      <w:lvlText w:val="%7."/>
      <w:lvlJc w:val="left"/>
      <w:pPr>
        <w:ind w:left="5040" w:hanging="360"/>
      </w:pPr>
    </w:lvl>
    <w:lvl w:ilvl="7" w:tplc="D45C4994" w:tentative="1">
      <w:start w:val="1"/>
      <w:numFmt w:val="lowerLetter"/>
      <w:lvlText w:val="%8."/>
      <w:lvlJc w:val="left"/>
      <w:pPr>
        <w:ind w:left="5760" w:hanging="360"/>
      </w:pPr>
    </w:lvl>
    <w:lvl w:ilvl="8" w:tplc="17E61674" w:tentative="1">
      <w:start w:val="1"/>
      <w:numFmt w:val="lowerRoman"/>
      <w:lvlText w:val="%9."/>
      <w:lvlJc w:val="right"/>
      <w:pPr>
        <w:ind w:left="6480" w:hanging="180"/>
      </w:pPr>
    </w:lvl>
  </w:abstractNum>
  <w:abstractNum w:abstractNumId="8" w15:restartNumberingAfterBreak="0">
    <w:nsid w:val="33CD7C0B"/>
    <w:multiLevelType w:val="hybridMultilevel"/>
    <w:tmpl w:val="DB8C384C"/>
    <w:lvl w:ilvl="0" w:tplc="B726D4A2">
      <w:start w:val="1"/>
      <w:numFmt w:val="decimal"/>
      <w:suff w:val="space"/>
      <w:lvlText w:val="%1."/>
      <w:lvlJc w:val="left"/>
      <w:pPr>
        <w:ind w:left="746" w:hanging="320"/>
      </w:pPr>
      <w:rPr>
        <w:rFonts w:hint="default"/>
      </w:rPr>
    </w:lvl>
    <w:lvl w:ilvl="1" w:tplc="EAC420E8">
      <w:start w:val="1"/>
      <w:numFmt w:val="lowerLetter"/>
      <w:lvlText w:val="%2."/>
      <w:lvlJc w:val="left"/>
      <w:pPr>
        <w:ind w:left="1440" w:hanging="360"/>
      </w:pPr>
    </w:lvl>
    <w:lvl w:ilvl="2" w:tplc="CB3C4DBA" w:tentative="1">
      <w:start w:val="1"/>
      <w:numFmt w:val="lowerRoman"/>
      <w:lvlText w:val="%3."/>
      <w:lvlJc w:val="right"/>
      <w:pPr>
        <w:ind w:left="2160" w:hanging="180"/>
      </w:pPr>
    </w:lvl>
    <w:lvl w:ilvl="3" w:tplc="2EF6F6B8" w:tentative="1">
      <w:start w:val="1"/>
      <w:numFmt w:val="decimal"/>
      <w:lvlText w:val="%4."/>
      <w:lvlJc w:val="left"/>
      <w:pPr>
        <w:ind w:left="2880" w:hanging="360"/>
      </w:pPr>
    </w:lvl>
    <w:lvl w:ilvl="4" w:tplc="8B26C83E" w:tentative="1">
      <w:start w:val="1"/>
      <w:numFmt w:val="lowerLetter"/>
      <w:lvlText w:val="%5."/>
      <w:lvlJc w:val="left"/>
      <w:pPr>
        <w:ind w:left="3600" w:hanging="360"/>
      </w:pPr>
    </w:lvl>
    <w:lvl w:ilvl="5" w:tplc="66949B90" w:tentative="1">
      <w:start w:val="1"/>
      <w:numFmt w:val="lowerRoman"/>
      <w:lvlText w:val="%6."/>
      <w:lvlJc w:val="right"/>
      <w:pPr>
        <w:ind w:left="4320" w:hanging="180"/>
      </w:pPr>
    </w:lvl>
    <w:lvl w:ilvl="6" w:tplc="4BD0F470" w:tentative="1">
      <w:start w:val="1"/>
      <w:numFmt w:val="decimal"/>
      <w:lvlText w:val="%7."/>
      <w:lvlJc w:val="left"/>
      <w:pPr>
        <w:ind w:left="5040" w:hanging="360"/>
      </w:pPr>
    </w:lvl>
    <w:lvl w:ilvl="7" w:tplc="FF6A3C98" w:tentative="1">
      <w:start w:val="1"/>
      <w:numFmt w:val="lowerLetter"/>
      <w:lvlText w:val="%8."/>
      <w:lvlJc w:val="left"/>
      <w:pPr>
        <w:ind w:left="5760" w:hanging="360"/>
      </w:pPr>
    </w:lvl>
    <w:lvl w:ilvl="8" w:tplc="112879C2" w:tentative="1">
      <w:start w:val="1"/>
      <w:numFmt w:val="lowerRoman"/>
      <w:lvlText w:val="%9."/>
      <w:lvlJc w:val="right"/>
      <w:pPr>
        <w:ind w:left="6480" w:hanging="180"/>
      </w:pPr>
    </w:lvl>
  </w:abstractNum>
  <w:abstractNum w:abstractNumId="9" w15:restartNumberingAfterBreak="0">
    <w:nsid w:val="36DA0514"/>
    <w:multiLevelType w:val="hybridMultilevel"/>
    <w:tmpl w:val="80FCECCA"/>
    <w:lvl w:ilvl="0" w:tplc="7D5CCE56">
      <w:start w:val="1"/>
      <w:numFmt w:val="hebrew1"/>
      <w:lvlText w:val="%1."/>
      <w:lvlJc w:val="left"/>
      <w:pPr>
        <w:ind w:left="870" w:hanging="360"/>
      </w:pPr>
      <w:rPr>
        <w:rFonts w:hint="default"/>
      </w:rPr>
    </w:lvl>
    <w:lvl w:ilvl="1" w:tplc="4AA61FC2" w:tentative="1">
      <w:start w:val="1"/>
      <w:numFmt w:val="lowerLetter"/>
      <w:lvlText w:val="%2."/>
      <w:lvlJc w:val="left"/>
      <w:pPr>
        <w:ind w:left="1590" w:hanging="360"/>
      </w:pPr>
    </w:lvl>
    <w:lvl w:ilvl="2" w:tplc="A050ADEA" w:tentative="1">
      <w:start w:val="1"/>
      <w:numFmt w:val="lowerRoman"/>
      <w:lvlText w:val="%3."/>
      <w:lvlJc w:val="right"/>
      <w:pPr>
        <w:ind w:left="2310" w:hanging="180"/>
      </w:pPr>
    </w:lvl>
    <w:lvl w:ilvl="3" w:tplc="5BEE279C" w:tentative="1">
      <w:start w:val="1"/>
      <w:numFmt w:val="decimal"/>
      <w:lvlText w:val="%4."/>
      <w:lvlJc w:val="left"/>
      <w:pPr>
        <w:ind w:left="3030" w:hanging="360"/>
      </w:pPr>
    </w:lvl>
    <w:lvl w:ilvl="4" w:tplc="CDBAFC40" w:tentative="1">
      <w:start w:val="1"/>
      <w:numFmt w:val="lowerLetter"/>
      <w:lvlText w:val="%5."/>
      <w:lvlJc w:val="left"/>
      <w:pPr>
        <w:ind w:left="3750" w:hanging="360"/>
      </w:pPr>
    </w:lvl>
    <w:lvl w:ilvl="5" w:tplc="E92E419E" w:tentative="1">
      <w:start w:val="1"/>
      <w:numFmt w:val="lowerRoman"/>
      <w:lvlText w:val="%6."/>
      <w:lvlJc w:val="right"/>
      <w:pPr>
        <w:ind w:left="4470" w:hanging="180"/>
      </w:pPr>
    </w:lvl>
    <w:lvl w:ilvl="6" w:tplc="9CD40BE6" w:tentative="1">
      <w:start w:val="1"/>
      <w:numFmt w:val="decimal"/>
      <w:lvlText w:val="%7."/>
      <w:lvlJc w:val="left"/>
      <w:pPr>
        <w:ind w:left="5190" w:hanging="360"/>
      </w:pPr>
    </w:lvl>
    <w:lvl w:ilvl="7" w:tplc="B7245C2C" w:tentative="1">
      <w:start w:val="1"/>
      <w:numFmt w:val="lowerLetter"/>
      <w:lvlText w:val="%8."/>
      <w:lvlJc w:val="left"/>
      <w:pPr>
        <w:ind w:left="5910" w:hanging="360"/>
      </w:pPr>
    </w:lvl>
    <w:lvl w:ilvl="8" w:tplc="73D2AEB2" w:tentative="1">
      <w:start w:val="1"/>
      <w:numFmt w:val="lowerRoman"/>
      <w:lvlText w:val="%9."/>
      <w:lvlJc w:val="right"/>
      <w:pPr>
        <w:ind w:left="6630" w:hanging="180"/>
      </w:pPr>
    </w:lvl>
  </w:abstractNum>
  <w:abstractNum w:abstractNumId="10" w15:restartNumberingAfterBreak="0">
    <w:nsid w:val="4EE27D39"/>
    <w:multiLevelType w:val="hybridMultilevel"/>
    <w:tmpl w:val="82AA209C"/>
    <w:lvl w:ilvl="0" w:tplc="0CFA354E">
      <w:start w:val="1"/>
      <w:numFmt w:val="hebrew1"/>
      <w:lvlText w:val="%1."/>
      <w:lvlJc w:val="left"/>
      <w:pPr>
        <w:ind w:left="480" w:hanging="360"/>
      </w:pPr>
      <w:rPr>
        <w:rFonts w:hint="default"/>
      </w:rPr>
    </w:lvl>
    <w:lvl w:ilvl="1" w:tplc="81A4F978" w:tentative="1">
      <w:start w:val="1"/>
      <w:numFmt w:val="lowerLetter"/>
      <w:lvlText w:val="%2."/>
      <w:lvlJc w:val="left"/>
      <w:pPr>
        <w:ind w:left="1200" w:hanging="360"/>
      </w:pPr>
    </w:lvl>
    <w:lvl w:ilvl="2" w:tplc="12C0A732" w:tentative="1">
      <w:start w:val="1"/>
      <w:numFmt w:val="lowerRoman"/>
      <w:lvlText w:val="%3."/>
      <w:lvlJc w:val="right"/>
      <w:pPr>
        <w:ind w:left="1920" w:hanging="180"/>
      </w:pPr>
    </w:lvl>
    <w:lvl w:ilvl="3" w:tplc="C880554A" w:tentative="1">
      <w:start w:val="1"/>
      <w:numFmt w:val="decimal"/>
      <w:lvlText w:val="%4."/>
      <w:lvlJc w:val="left"/>
      <w:pPr>
        <w:ind w:left="2640" w:hanging="360"/>
      </w:pPr>
    </w:lvl>
    <w:lvl w:ilvl="4" w:tplc="635C3030" w:tentative="1">
      <w:start w:val="1"/>
      <w:numFmt w:val="lowerLetter"/>
      <w:lvlText w:val="%5."/>
      <w:lvlJc w:val="left"/>
      <w:pPr>
        <w:ind w:left="3360" w:hanging="360"/>
      </w:pPr>
    </w:lvl>
    <w:lvl w:ilvl="5" w:tplc="1FB47F62" w:tentative="1">
      <w:start w:val="1"/>
      <w:numFmt w:val="lowerRoman"/>
      <w:lvlText w:val="%6."/>
      <w:lvlJc w:val="right"/>
      <w:pPr>
        <w:ind w:left="4080" w:hanging="180"/>
      </w:pPr>
    </w:lvl>
    <w:lvl w:ilvl="6" w:tplc="3CCCE4A8" w:tentative="1">
      <w:start w:val="1"/>
      <w:numFmt w:val="decimal"/>
      <w:lvlText w:val="%7."/>
      <w:lvlJc w:val="left"/>
      <w:pPr>
        <w:ind w:left="4800" w:hanging="360"/>
      </w:pPr>
    </w:lvl>
    <w:lvl w:ilvl="7" w:tplc="83302AE4" w:tentative="1">
      <w:start w:val="1"/>
      <w:numFmt w:val="lowerLetter"/>
      <w:lvlText w:val="%8."/>
      <w:lvlJc w:val="left"/>
      <w:pPr>
        <w:ind w:left="5520" w:hanging="360"/>
      </w:pPr>
    </w:lvl>
    <w:lvl w:ilvl="8" w:tplc="E9F0486E" w:tentative="1">
      <w:start w:val="1"/>
      <w:numFmt w:val="lowerRoman"/>
      <w:lvlText w:val="%9."/>
      <w:lvlJc w:val="right"/>
      <w:pPr>
        <w:ind w:left="6240" w:hanging="180"/>
      </w:pPr>
    </w:lvl>
  </w:abstractNum>
  <w:abstractNum w:abstractNumId="11" w15:restartNumberingAfterBreak="0">
    <w:nsid w:val="4EF26C19"/>
    <w:multiLevelType w:val="multilevel"/>
    <w:tmpl w:val="0A0A8AA8"/>
    <w:lvl w:ilvl="0">
      <w:start w:val="1"/>
      <w:numFmt w:val="decimal"/>
      <w:lvlText w:val="%1."/>
      <w:lvlJc w:val="left"/>
      <w:pPr>
        <w:ind w:left="360" w:hanging="360"/>
      </w:pPr>
      <w:rPr>
        <w:rFonts w:ascii="David" w:hAnsi="David" w:hint="default"/>
        <w:b/>
        <w:bCs w:val="0"/>
        <w:sz w:val="28"/>
        <w:szCs w:val="24"/>
        <w:lang w:val="en-US"/>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56C45934"/>
    <w:multiLevelType w:val="hybridMultilevel"/>
    <w:tmpl w:val="DA78A68C"/>
    <w:lvl w:ilvl="0" w:tplc="F9AAA14A">
      <w:start w:val="1"/>
      <w:numFmt w:val="decimal"/>
      <w:lvlText w:val="%1."/>
      <w:lvlJc w:val="left"/>
      <w:pPr>
        <w:tabs>
          <w:tab w:val="num" w:pos="360"/>
        </w:tabs>
        <w:ind w:left="360" w:hanging="360"/>
      </w:pPr>
      <w:rPr>
        <w:rFonts w:hint="default"/>
      </w:rPr>
    </w:lvl>
    <w:lvl w:ilvl="1" w:tplc="46189490">
      <w:start w:val="1"/>
      <w:numFmt w:val="hebrew1"/>
      <w:lvlText w:val="%2."/>
      <w:lvlJc w:val="center"/>
      <w:pPr>
        <w:tabs>
          <w:tab w:val="num" w:pos="1080"/>
        </w:tabs>
        <w:ind w:left="1080" w:hanging="360"/>
      </w:pPr>
      <w:rPr>
        <w:rFonts w:hint="default"/>
      </w:rPr>
    </w:lvl>
    <w:lvl w:ilvl="2" w:tplc="EC923074">
      <w:start w:val="9"/>
      <w:numFmt w:val="bullet"/>
      <w:lvlText w:val="-"/>
      <w:lvlJc w:val="left"/>
      <w:pPr>
        <w:tabs>
          <w:tab w:val="num" w:pos="1980"/>
        </w:tabs>
        <w:ind w:left="1980" w:hanging="360"/>
      </w:pPr>
      <w:rPr>
        <w:rFonts w:ascii="Arial" w:eastAsia="Times New Roman" w:hAnsi="Arial" w:cs="Arial" w:hint="default"/>
      </w:rPr>
    </w:lvl>
    <w:lvl w:ilvl="3" w:tplc="20A6FB8C" w:tentative="1">
      <w:start w:val="1"/>
      <w:numFmt w:val="decimal"/>
      <w:lvlText w:val="%4."/>
      <w:lvlJc w:val="left"/>
      <w:pPr>
        <w:tabs>
          <w:tab w:val="num" w:pos="2520"/>
        </w:tabs>
        <w:ind w:left="2520" w:hanging="360"/>
      </w:pPr>
    </w:lvl>
    <w:lvl w:ilvl="4" w:tplc="B05C58AC" w:tentative="1">
      <w:start w:val="1"/>
      <w:numFmt w:val="lowerLetter"/>
      <w:lvlText w:val="%5."/>
      <w:lvlJc w:val="left"/>
      <w:pPr>
        <w:tabs>
          <w:tab w:val="num" w:pos="3240"/>
        </w:tabs>
        <w:ind w:left="3240" w:hanging="360"/>
      </w:pPr>
    </w:lvl>
    <w:lvl w:ilvl="5" w:tplc="306CEFDC" w:tentative="1">
      <w:start w:val="1"/>
      <w:numFmt w:val="lowerRoman"/>
      <w:lvlText w:val="%6."/>
      <w:lvlJc w:val="right"/>
      <w:pPr>
        <w:tabs>
          <w:tab w:val="num" w:pos="3960"/>
        </w:tabs>
        <w:ind w:left="3960" w:hanging="180"/>
      </w:pPr>
    </w:lvl>
    <w:lvl w:ilvl="6" w:tplc="738EA70E" w:tentative="1">
      <w:start w:val="1"/>
      <w:numFmt w:val="decimal"/>
      <w:lvlText w:val="%7."/>
      <w:lvlJc w:val="left"/>
      <w:pPr>
        <w:tabs>
          <w:tab w:val="num" w:pos="4680"/>
        </w:tabs>
        <w:ind w:left="4680" w:hanging="360"/>
      </w:pPr>
    </w:lvl>
    <w:lvl w:ilvl="7" w:tplc="41DCF0E0" w:tentative="1">
      <w:start w:val="1"/>
      <w:numFmt w:val="lowerLetter"/>
      <w:lvlText w:val="%8."/>
      <w:lvlJc w:val="left"/>
      <w:pPr>
        <w:tabs>
          <w:tab w:val="num" w:pos="5400"/>
        </w:tabs>
        <w:ind w:left="5400" w:hanging="360"/>
      </w:pPr>
    </w:lvl>
    <w:lvl w:ilvl="8" w:tplc="72A0CBB8" w:tentative="1">
      <w:start w:val="1"/>
      <w:numFmt w:val="lowerRoman"/>
      <w:lvlText w:val="%9."/>
      <w:lvlJc w:val="right"/>
      <w:pPr>
        <w:tabs>
          <w:tab w:val="num" w:pos="6120"/>
        </w:tabs>
        <w:ind w:left="6120" w:hanging="180"/>
      </w:pPr>
    </w:lvl>
  </w:abstractNum>
  <w:abstractNum w:abstractNumId="13" w15:restartNumberingAfterBreak="0">
    <w:nsid w:val="60305654"/>
    <w:multiLevelType w:val="hybridMultilevel"/>
    <w:tmpl w:val="2E7001E2"/>
    <w:lvl w:ilvl="0" w:tplc="2E04C636">
      <w:start w:val="1"/>
      <w:numFmt w:val="hebrew1"/>
      <w:lvlText w:val="%1."/>
      <w:lvlJc w:val="left"/>
      <w:pPr>
        <w:ind w:left="720" w:hanging="360"/>
      </w:pPr>
      <w:rPr>
        <w:rFonts w:hint="default"/>
      </w:rPr>
    </w:lvl>
    <w:lvl w:ilvl="1" w:tplc="ABE2B00C" w:tentative="1">
      <w:start w:val="1"/>
      <w:numFmt w:val="lowerLetter"/>
      <w:lvlText w:val="%2."/>
      <w:lvlJc w:val="left"/>
      <w:pPr>
        <w:ind w:left="1440" w:hanging="360"/>
      </w:pPr>
    </w:lvl>
    <w:lvl w:ilvl="2" w:tplc="275EA88A" w:tentative="1">
      <w:start w:val="1"/>
      <w:numFmt w:val="lowerRoman"/>
      <w:lvlText w:val="%3."/>
      <w:lvlJc w:val="right"/>
      <w:pPr>
        <w:ind w:left="2160" w:hanging="180"/>
      </w:pPr>
    </w:lvl>
    <w:lvl w:ilvl="3" w:tplc="2AAA0744" w:tentative="1">
      <w:start w:val="1"/>
      <w:numFmt w:val="decimal"/>
      <w:lvlText w:val="%4."/>
      <w:lvlJc w:val="left"/>
      <w:pPr>
        <w:ind w:left="2880" w:hanging="360"/>
      </w:pPr>
    </w:lvl>
    <w:lvl w:ilvl="4" w:tplc="015C68DA" w:tentative="1">
      <w:start w:val="1"/>
      <w:numFmt w:val="lowerLetter"/>
      <w:lvlText w:val="%5."/>
      <w:lvlJc w:val="left"/>
      <w:pPr>
        <w:ind w:left="3600" w:hanging="360"/>
      </w:pPr>
    </w:lvl>
    <w:lvl w:ilvl="5" w:tplc="FFE24A72" w:tentative="1">
      <w:start w:val="1"/>
      <w:numFmt w:val="lowerRoman"/>
      <w:lvlText w:val="%6."/>
      <w:lvlJc w:val="right"/>
      <w:pPr>
        <w:ind w:left="4320" w:hanging="180"/>
      </w:pPr>
    </w:lvl>
    <w:lvl w:ilvl="6" w:tplc="84ECC168" w:tentative="1">
      <w:start w:val="1"/>
      <w:numFmt w:val="decimal"/>
      <w:lvlText w:val="%7."/>
      <w:lvlJc w:val="left"/>
      <w:pPr>
        <w:ind w:left="5040" w:hanging="360"/>
      </w:pPr>
    </w:lvl>
    <w:lvl w:ilvl="7" w:tplc="3FBC7926" w:tentative="1">
      <w:start w:val="1"/>
      <w:numFmt w:val="lowerLetter"/>
      <w:lvlText w:val="%8."/>
      <w:lvlJc w:val="left"/>
      <w:pPr>
        <w:ind w:left="5760" w:hanging="360"/>
      </w:pPr>
    </w:lvl>
    <w:lvl w:ilvl="8" w:tplc="07C6828C" w:tentative="1">
      <w:start w:val="1"/>
      <w:numFmt w:val="lowerRoman"/>
      <w:lvlText w:val="%9."/>
      <w:lvlJc w:val="right"/>
      <w:pPr>
        <w:ind w:left="6480" w:hanging="180"/>
      </w:pPr>
    </w:lvl>
  </w:abstractNum>
  <w:abstractNum w:abstractNumId="14" w15:restartNumberingAfterBreak="0">
    <w:nsid w:val="60C6681D"/>
    <w:multiLevelType w:val="hybridMultilevel"/>
    <w:tmpl w:val="521A4410"/>
    <w:lvl w:ilvl="0" w:tplc="92AA1AD8">
      <w:start w:val="1"/>
      <w:numFmt w:val="decimal"/>
      <w:lvlText w:val="%1."/>
      <w:lvlJc w:val="left"/>
      <w:pPr>
        <w:ind w:left="720" w:hanging="360"/>
      </w:pPr>
      <w:rPr>
        <w:rFonts w:hint="default"/>
      </w:rPr>
    </w:lvl>
    <w:lvl w:ilvl="1" w:tplc="25FC7FC4" w:tentative="1">
      <w:start w:val="1"/>
      <w:numFmt w:val="lowerLetter"/>
      <w:lvlText w:val="%2."/>
      <w:lvlJc w:val="left"/>
      <w:pPr>
        <w:ind w:left="1440" w:hanging="360"/>
      </w:pPr>
    </w:lvl>
    <w:lvl w:ilvl="2" w:tplc="FE28DE72" w:tentative="1">
      <w:start w:val="1"/>
      <w:numFmt w:val="lowerRoman"/>
      <w:lvlText w:val="%3."/>
      <w:lvlJc w:val="right"/>
      <w:pPr>
        <w:ind w:left="2160" w:hanging="180"/>
      </w:pPr>
    </w:lvl>
    <w:lvl w:ilvl="3" w:tplc="3DB83B64" w:tentative="1">
      <w:start w:val="1"/>
      <w:numFmt w:val="decimal"/>
      <w:lvlText w:val="%4."/>
      <w:lvlJc w:val="left"/>
      <w:pPr>
        <w:ind w:left="2880" w:hanging="360"/>
      </w:pPr>
    </w:lvl>
    <w:lvl w:ilvl="4" w:tplc="F6025DBC" w:tentative="1">
      <w:start w:val="1"/>
      <w:numFmt w:val="lowerLetter"/>
      <w:lvlText w:val="%5."/>
      <w:lvlJc w:val="left"/>
      <w:pPr>
        <w:ind w:left="3600" w:hanging="360"/>
      </w:pPr>
    </w:lvl>
    <w:lvl w:ilvl="5" w:tplc="68FAAF96" w:tentative="1">
      <w:start w:val="1"/>
      <w:numFmt w:val="lowerRoman"/>
      <w:lvlText w:val="%6."/>
      <w:lvlJc w:val="right"/>
      <w:pPr>
        <w:ind w:left="4320" w:hanging="180"/>
      </w:pPr>
    </w:lvl>
    <w:lvl w:ilvl="6" w:tplc="A356906A" w:tentative="1">
      <w:start w:val="1"/>
      <w:numFmt w:val="decimal"/>
      <w:lvlText w:val="%7."/>
      <w:lvlJc w:val="left"/>
      <w:pPr>
        <w:ind w:left="5040" w:hanging="360"/>
      </w:pPr>
    </w:lvl>
    <w:lvl w:ilvl="7" w:tplc="BCE8B5EA" w:tentative="1">
      <w:start w:val="1"/>
      <w:numFmt w:val="lowerLetter"/>
      <w:lvlText w:val="%8."/>
      <w:lvlJc w:val="left"/>
      <w:pPr>
        <w:ind w:left="5760" w:hanging="360"/>
      </w:pPr>
    </w:lvl>
    <w:lvl w:ilvl="8" w:tplc="70C6F79C" w:tentative="1">
      <w:start w:val="1"/>
      <w:numFmt w:val="lowerRoman"/>
      <w:lvlText w:val="%9."/>
      <w:lvlJc w:val="right"/>
      <w:pPr>
        <w:ind w:left="6480" w:hanging="180"/>
      </w:pPr>
    </w:lvl>
  </w:abstractNum>
  <w:abstractNum w:abstractNumId="15" w15:restartNumberingAfterBreak="0">
    <w:nsid w:val="60F13D68"/>
    <w:multiLevelType w:val="hybridMultilevel"/>
    <w:tmpl w:val="FCD4EE72"/>
    <w:lvl w:ilvl="0" w:tplc="1902A4AA">
      <w:start w:val="1"/>
      <w:numFmt w:val="decimal"/>
      <w:lvlText w:val="%1."/>
      <w:lvlJc w:val="left"/>
      <w:pPr>
        <w:tabs>
          <w:tab w:val="num" w:pos="720"/>
        </w:tabs>
        <w:ind w:left="720" w:hanging="360"/>
      </w:pPr>
    </w:lvl>
    <w:lvl w:ilvl="1" w:tplc="81EE0316">
      <w:start w:val="1"/>
      <w:numFmt w:val="decimal"/>
      <w:lvlText w:val="%2."/>
      <w:lvlJc w:val="left"/>
      <w:pPr>
        <w:tabs>
          <w:tab w:val="num" w:pos="1352"/>
        </w:tabs>
        <w:ind w:left="1352" w:hanging="360"/>
      </w:pPr>
    </w:lvl>
    <w:lvl w:ilvl="2" w:tplc="A3EAC9D4">
      <w:start w:val="1"/>
      <w:numFmt w:val="decimal"/>
      <w:lvlText w:val="%3."/>
      <w:lvlJc w:val="left"/>
      <w:pPr>
        <w:tabs>
          <w:tab w:val="num" w:pos="2160"/>
        </w:tabs>
        <w:ind w:left="2160" w:hanging="360"/>
      </w:pPr>
    </w:lvl>
    <w:lvl w:ilvl="3" w:tplc="6262D41E">
      <w:start w:val="1"/>
      <w:numFmt w:val="decimal"/>
      <w:lvlText w:val="%4."/>
      <w:lvlJc w:val="left"/>
      <w:pPr>
        <w:tabs>
          <w:tab w:val="num" w:pos="2880"/>
        </w:tabs>
        <w:ind w:left="2880" w:hanging="360"/>
      </w:pPr>
    </w:lvl>
    <w:lvl w:ilvl="4" w:tplc="372E3DB4">
      <w:start w:val="1"/>
      <w:numFmt w:val="decimal"/>
      <w:lvlText w:val="%5."/>
      <w:lvlJc w:val="left"/>
      <w:pPr>
        <w:tabs>
          <w:tab w:val="num" w:pos="3600"/>
        </w:tabs>
        <w:ind w:left="3600" w:hanging="360"/>
      </w:pPr>
    </w:lvl>
    <w:lvl w:ilvl="5" w:tplc="7856F1BC">
      <w:start w:val="1"/>
      <w:numFmt w:val="decimal"/>
      <w:lvlText w:val="%6."/>
      <w:lvlJc w:val="left"/>
      <w:pPr>
        <w:tabs>
          <w:tab w:val="num" w:pos="4320"/>
        </w:tabs>
        <w:ind w:left="4320" w:hanging="360"/>
      </w:pPr>
    </w:lvl>
    <w:lvl w:ilvl="6" w:tplc="3CAE5636">
      <w:start w:val="1"/>
      <w:numFmt w:val="decimal"/>
      <w:lvlText w:val="%7."/>
      <w:lvlJc w:val="left"/>
      <w:pPr>
        <w:tabs>
          <w:tab w:val="num" w:pos="5040"/>
        </w:tabs>
        <w:ind w:left="5040" w:hanging="360"/>
      </w:pPr>
    </w:lvl>
    <w:lvl w:ilvl="7" w:tplc="A724B1CC">
      <w:start w:val="1"/>
      <w:numFmt w:val="decimal"/>
      <w:lvlText w:val="%8."/>
      <w:lvlJc w:val="left"/>
      <w:pPr>
        <w:tabs>
          <w:tab w:val="num" w:pos="5760"/>
        </w:tabs>
        <w:ind w:left="5760" w:hanging="360"/>
      </w:pPr>
    </w:lvl>
    <w:lvl w:ilvl="8" w:tplc="54604B80">
      <w:start w:val="1"/>
      <w:numFmt w:val="decimal"/>
      <w:lvlText w:val="%9."/>
      <w:lvlJc w:val="left"/>
      <w:pPr>
        <w:tabs>
          <w:tab w:val="num" w:pos="6480"/>
        </w:tabs>
        <w:ind w:left="6480" w:hanging="360"/>
      </w:pPr>
    </w:lvl>
  </w:abstractNum>
  <w:abstractNum w:abstractNumId="16" w15:restartNumberingAfterBreak="0">
    <w:nsid w:val="63876F90"/>
    <w:multiLevelType w:val="hybridMultilevel"/>
    <w:tmpl w:val="509C0A74"/>
    <w:lvl w:ilvl="0" w:tplc="C4EE8402">
      <w:start w:val="1"/>
      <w:numFmt w:val="hebrew1"/>
      <w:lvlText w:val="%1."/>
      <w:lvlJc w:val="left"/>
      <w:pPr>
        <w:ind w:left="870" w:hanging="360"/>
      </w:pPr>
      <w:rPr>
        <w:rFonts w:hint="default"/>
      </w:rPr>
    </w:lvl>
    <w:lvl w:ilvl="1" w:tplc="B1DA8B42" w:tentative="1">
      <w:start w:val="1"/>
      <w:numFmt w:val="lowerLetter"/>
      <w:lvlText w:val="%2."/>
      <w:lvlJc w:val="left"/>
      <w:pPr>
        <w:ind w:left="1590" w:hanging="360"/>
      </w:pPr>
    </w:lvl>
    <w:lvl w:ilvl="2" w:tplc="0C4E6150" w:tentative="1">
      <w:start w:val="1"/>
      <w:numFmt w:val="lowerRoman"/>
      <w:lvlText w:val="%3."/>
      <w:lvlJc w:val="right"/>
      <w:pPr>
        <w:ind w:left="2310" w:hanging="180"/>
      </w:pPr>
    </w:lvl>
    <w:lvl w:ilvl="3" w:tplc="B07AAA74" w:tentative="1">
      <w:start w:val="1"/>
      <w:numFmt w:val="decimal"/>
      <w:lvlText w:val="%4."/>
      <w:lvlJc w:val="left"/>
      <w:pPr>
        <w:ind w:left="3030" w:hanging="360"/>
      </w:pPr>
    </w:lvl>
    <w:lvl w:ilvl="4" w:tplc="B9AA51A8" w:tentative="1">
      <w:start w:val="1"/>
      <w:numFmt w:val="lowerLetter"/>
      <w:lvlText w:val="%5."/>
      <w:lvlJc w:val="left"/>
      <w:pPr>
        <w:ind w:left="3750" w:hanging="360"/>
      </w:pPr>
    </w:lvl>
    <w:lvl w:ilvl="5" w:tplc="1B96C8D4" w:tentative="1">
      <w:start w:val="1"/>
      <w:numFmt w:val="lowerRoman"/>
      <w:lvlText w:val="%6."/>
      <w:lvlJc w:val="right"/>
      <w:pPr>
        <w:ind w:left="4470" w:hanging="180"/>
      </w:pPr>
    </w:lvl>
    <w:lvl w:ilvl="6" w:tplc="FD74D5AA" w:tentative="1">
      <w:start w:val="1"/>
      <w:numFmt w:val="decimal"/>
      <w:lvlText w:val="%7."/>
      <w:lvlJc w:val="left"/>
      <w:pPr>
        <w:ind w:left="5190" w:hanging="360"/>
      </w:pPr>
    </w:lvl>
    <w:lvl w:ilvl="7" w:tplc="8FCE737E" w:tentative="1">
      <w:start w:val="1"/>
      <w:numFmt w:val="lowerLetter"/>
      <w:lvlText w:val="%8."/>
      <w:lvlJc w:val="left"/>
      <w:pPr>
        <w:ind w:left="5910" w:hanging="360"/>
      </w:pPr>
    </w:lvl>
    <w:lvl w:ilvl="8" w:tplc="181650FA" w:tentative="1">
      <w:start w:val="1"/>
      <w:numFmt w:val="lowerRoman"/>
      <w:lvlText w:val="%9."/>
      <w:lvlJc w:val="right"/>
      <w:pPr>
        <w:ind w:left="6630" w:hanging="180"/>
      </w:pPr>
    </w:lvl>
  </w:abstractNum>
  <w:abstractNum w:abstractNumId="17" w15:restartNumberingAfterBreak="0">
    <w:nsid w:val="6BB12229"/>
    <w:multiLevelType w:val="hybridMultilevel"/>
    <w:tmpl w:val="DB8C384C"/>
    <w:lvl w:ilvl="0" w:tplc="9D08A1EC">
      <w:start w:val="1"/>
      <w:numFmt w:val="decimal"/>
      <w:suff w:val="space"/>
      <w:lvlText w:val="%1."/>
      <w:lvlJc w:val="left"/>
      <w:pPr>
        <w:ind w:left="746" w:hanging="320"/>
      </w:pPr>
      <w:rPr>
        <w:rFonts w:hint="default"/>
      </w:rPr>
    </w:lvl>
    <w:lvl w:ilvl="1" w:tplc="8CFC38AA">
      <w:start w:val="1"/>
      <w:numFmt w:val="lowerLetter"/>
      <w:lvlText w:val="%2."/>
      <w:lvlJc w:val="left"/>
      <w:pPr>
        <w:ind w:left="1440" w:hanging="360"/>
      </w:pPr>
    </w:lvl>
    <w:lvl w:ilvl="2" w:tplc="655CFCD6" w:tentative="1">
      <w:start w:val="1"/>
      <w:numFmt w:val="lowerRoman"/>
      <w:lvlText w:val="%3."/>
      <w:lvlJc w:val="right"/>
      <w:pPr>
        <w:ind w:left="2160" w:hanging="180"/>
      </w:pPr>
    </w:lvl>
    <w:lvl w:ilvl="3" w:tplc="4B741C48" w:tentative="1">
      <w:start w:val="1"/>
      <w:numFmt w:val="decimal"/>
      <w:lvlText w:val="%4."/>
      <w:lvlJc w:val="left"/>
      <w:pPr>
        <w:ind w:left="2880" w:hanging="360"/>
      </w:pPr>
    </w:lvl>
    <w:lvl w:ilvl="4" w:tplc="3B603A02" w:tentative="1">
      <w:start w:val="1"/>
      <w:numFmt w:val="lowerLetter"/>
      <w:lvlText w:val="%5."/>
      <w:lvlJc w:val="left"/>
      <w:pPr>
        <w:ind w:left="3600" w:hanging="360"/>
      </w:pPr>
    </w:lvl>
    <w:lvl w:ilvl="5" w:tplc="ACB66F3E" w:tentative="1">
      <w:start w:val="1"/>
      <w:numFmt w:val="lowerRoman"/>
      <w:lvlText w:val="%6."/>
      <w:lvlJc w:val="right"/>
      <w:pPr>
        <w:ind w:left="4320" w:hanging="180"/>
      </w:pPr>
    </w:lvl>
    <w:lvl w:ilvl="6" w:tplc="1BF044FA" w:tentative="1">
      <w:start w:val="1"/>
      <w:numFmt w:val="decimal"/>
      <w:lvlText w:val="%7."/>
      <w:lvlJc w:val="left"/>
      <w:pPr>
        <w:ind w:left="5040" w:hanging="360"/>
      </w:pPr>
    </w:lvl>
    <w:lvl w:ilvl="7" w:tplc="772C3EEE" w:tentative="1">
      <w:start w:val="1"/>
      <w:numFmt w:val="lowerLetter"/>
      <w:lvlText w:val="%8."/>
      <w:lvlJc w:val="left"/>
      <w:pPr>
        <w:ind w:left="5760" w:hanging="360"/>
      </w:pPr>
    </w:lvl>
    <w:lvl w:ilvl="8" w:tplc="97CE3876" w:tentative="1">
      <w:start w:val="1"/>
      <w:numFmt w:val="lowerRoman"/>
      <w:lvlText w:val="%9."/>
      <w:lvlJc w:val="right"/>
      <w:pPr>
        <w:ind w:left="6480" w:hanging="180"/>
      </w:pPr>
    </w:lvl>
  </w:abstractNum>
  <w:abstractNum w:abstractNumId="18" w15:restartNumberingAfterBreak="0">
    <w:nsid w:val="6E870F0B"/>
    <w:multiLevelType w:val="hybridMultilevel"/>
    <w:tmpl w:val="BA8C3036"/>
    <w:lvl w:ilvl="0" w:tplc="1A2EB866">
      <w:start w:val="1"/>
      <w:numFmt w:val="decimal"/>
      <w:suff w:val="space"/>
      <w:lvlText w:val="%1."/>
      <w:lvlJc w:val="left"/>
      <w:pPr>
        <w:ind w:left="720" w:hanging="360"/>
      </w:pPr>
      <w:rPr>
        <w:rFonts w:hint="default"/>
      </w:rPr>
    </w:lvl>
    <w:lvl w:ilvl="1" w:tplc="2AE02F9E" w:tentative="1">
      <w:start w:val="1"/>
      <w:numFmt w:val="lowerLetter"/>
      <w:lvlText w:val="%2."/>
      <w:lvlJc w:val="left"/>
      <w:pPr>
        <w:ind w:left="1440" w:hanging="360"/>
      </w:pPr>
    </w:lvl>
    <w:lvl w:ilvl="2" w:tplc="4CBACD96" w:tentative="1">
      <w:start w:val="1"/>
      <w:numFmt w:val="lowerRoman"/>
      <w:lvlText w:val="%3."/>
      <w:lvlJc w:val="right"/>
      <w:pPr>
        <w:ind w:left="2160" w:hanging="180"/>
      </w:pPr>
    </w:lvl>
    <w:lvl w:ilvl="3" w:tplc="B3A43294" w:tentative="1">
      <w:start w:val="1"/>
      <w:numFmt w:val="decimal"/>
      <w:lvlText w:val="%4."/>
      <w:lvlJc w:val="left"/>
      <w:pPr>
        <w:ind w:left="2880" w:hanging="360"/>
      </w:pPr>
    </w:lvl>
    <w:lvl w:ilvl="4" w:tplc="B0424E80" w:tentative="1">
      <w:start w:val="1"/>
      <w:numFmt w:val="lowerLetter"/>
      <w:lvlText w:val="%5."/>
      <w:lvlJc w:val="left"/>
      <w:pPr>
        <w:ind w:left="3600" w:hanging="360"/>
      </w:pPr>
    </w:lvl>
    <w:lvl w:ilvl="5" w:tplc="D6C6E9D4" w:tentative="1">
      <w:start w:val="1"/>
      <w:numFmt w:val="lowerRoman"/>
      <w:lvlText w:val="%6."/>
      <w:lvlJc w:val="right"/>
      <w:pPr>
        <w:ind w:left="4320" w:hanging="180"/>
      </w:pPr>
    </w:lvl>
    <w:lvl w:ilvl="6" w:tplc="3100314C" w:tentative="1">
      <w:start w:val="1"/>
      <w:numFmt w:val="decimal"/>
      <w:lvlText w:val="%7."/>
      <w:lvlJc w:val="left"/>
      <w:pPr>
        <w:ind w:left="5040" w:hanging="360"/>
      </w:pPr>
    </w:lvl>
    <w:lvl w:ilvl="7" w:tplc="8C5C24D4" w:tentative="1">
      <w:start w:val="1"/>
      <w:numFmt w:val="lowerLetter"/>
      <w:lvlText w:val="%8."/>
      <w:lvlJc w:val="left"/>
      <w:pPr>
        <w:ind w:left="5760" w:hanging="360"/>
      </w:pPr>
    </w:lvl>
    <w:lvl w:ilvl="8" w:tplc="5D2A77DA" w:tentative="1">
      <w:start w:val="1"/>
      <w:numFmt w:val="lowerRoman"/>
      <w:lvlText w:val="%9."/>
      <w:lvlJc w:val="right"/>
      <w:pPr>
        <w:ind w:left="6480" w:hanging="180"/>
      </w:pPr>
    </w:lvl>
  </w:abstractNum>
  <w:abstractNum w:abstractNumId="19" w15:restartNumberingAfterBreak="0">
    <w:nsid w:val="707342B9"/>
    <w:multiLevelType w:val="hybridMultilevel"/>
    <w:tmpl w:val="72E071B0"/>
    <w:lvl w:ilvl="0" w:tplc="FFBA243E">
      <w:start w:val="1"/>
      <w:numFmt w:val="decimal"/>
      <w:lvlText w:val="%1."/>
      <w:lvlJc w:val="left"/>
      <w:pPr>
        <w:ind w:left="720" w:hanging="360"/>
      </w:pPr>
      <w:rPr>
        <w:sz w:val="24"/>
        <w:szCs w:val="24"/>
      </w:rPr>
    </w:lvl>
    <w:lvl w:ilvl="1" w:tplc="E1B21E56">
      <w:start w:val="1"/>
      <w:numFmt w:val="lowerLetter"/>
      <w:lvlText w:val="%2."/>
      <w:lvlJc w:val="left"/>
      <w:pPr>
        <w:ind w:left="1440" w:hanging="360"/>
      </w:pPr>
    </w:lvl>
    <w:lvl w:ilvl="2" w:tplc="18083A8C">
      <w:start w:val="1"/>
      <w:numFmt w:val="lowerRoman"/>
      <w:lvlText w:val="%3."/>
      <w:lvlJc w:val="right"/>
      <w:pPr>
        <w:ind w:left="2160" w:hanging="180"/>
      </w:pPr>
    </w:lvl>
    <w:lvl w:ilvl="3" w:tplc="8778A97A">
      <w:start w:val="1"/>
      <w:numFmt w:val="decimal"/>
      <w:lvlText w:val="%4."/>
      <w:lvlJc w:val="left"/>
      <w:pPr>
        <w:ind w:left="2880" w:hanging="360"/>
      </w:pPr>
    </w:lvl>
    <w:lvl w:ilvl="4" w:tplc="1644B80E">
      <w:start w:val="1"/>
      <w:numFmt w:val="lowerLetter"/>
      <w:lvlText w:val="%5."/>
      <w:lvlJc w:val="left"/>
      <w:pPr>
        <w:ind w:left="3600" w:hanging="360"/>
      </w:pPr>
    </w:lvl>
    <w:lvl w:ilvl="5" w:tplc="97620E06">
      <w:start w:val="1"/>
      <w:numFmt w:val="lowerRoman"/>
      <w:lvlText w:val="%6."/>
      <w:lvlJc w:val="right"/>
      <w:pPr>
        <w:ind w:left="4320" w:hanging="180"/>
      </w:pPr>
    </w:lvl>
    <w:lvl w:ilvl="6" w:tplc="3A509BF6">
      <w:start w:val="1"/>
      <w:numFmt w:val="decimal"/>
      <w:lvlText w:val="%7."/>
      <w:lvlJc w:val="left"/>
      <w:pPr>
        <w:ind w:left="5040" w:hanging="360"/>
      </w:pPr>
    </w:lvl>
    <w:lvl w:ilvl="7" w:tplc="C90A10D8">
      <w:start w:val="1"/>
      <w:numFmt w:val="lowerLetter"/>
      <w:lvlText w:val="%8."/>
      <w:lvlJc w:val="left"/>
      <w:pPr>
        <w:ind w:left="5760" w:hanging="360"/>
      </w:pPr>
    </w:lvl>
    <w:lvl w:ilvl="8" w:tplc="A47CDC2A">
      <w:start w:val="1"/>
      <w:numFmt w:val="lowerRoman"/>
      <w:lvlText w:val="%9."/>
      <w:lvlJc w:val="right"/>
      <w:pPr>
        <w:ind w:left="6480" w:hanging="180"/>
      </w:pPr>
    </w:lvl>
  </w:abstractNum>
  <w:abstractNum w:abstractNumId="20" w15:restartNumberingAfterBreak="0">
    <w:nsid w:val="732A62B1"/>
    <w:multiLevelType w:val="hybridMultilevel"/>
    <w:tmpl w:val="DF6CC7CC"/>
    <w:lvl w:ilvl="0" w:tplc="3B0A78DE">
      <w:start w:val="1"/>
      <w:numFmt w:val="decimal"/>
      <w:lvlText w:val="%1."/>
      <w:lvlJc w:val="left"/>
      <w:pPr>
        <w:ind w:left="720" w:hanging="360"/>
      </w:pPr>
      <w:rPr>
        <w:rFonts w:hint="default"/>
        <w:b w:val="0"/>
        <w:bCs w:val="0"/>
      </w:rPr>
    </w:lvl>
    <w:lvl w:ilvl="1" w:tplc="5978E8C2" w:tentative="1">
      <w:start w:val="1"/>
      <w:numFmt w:val="lowerLetter"/>
      <w:lvlText w:val="%2."/>
      <w:lvlJc w:val="left"/>
      <w:pPr>
        <w:ind w:left="1440" w:hanging="360"/>
      </w:pPr>
    </w:lvl>
    <w:lvl w:ilvl="2" w:tplc="1C5EC6E0" w:tentative="1">
      <w:start w:val="1"/>
      <w:numFmt w:val="lowerRoman"/>
      <w:lvlText w:val="%3."/>
      <w:lvlJc w:val="right"/>
      <w:pPr>
        <w:ind w:left="2160" w:hanging="180"/>
      </w:pPr>
    </w:lvl>
    <w:lvl w:ilvl="3" w:tplc="27648E04" w:tentative="1">
      <w:start w:val="1"/>
      <w:numFmt w:val="decimal"/>
      <w:lvlText w:val="%4."/>
      <w:lvlJc w:val="left"/>
      <w:pPr>
        <w:ind w:left="2880" w:hanging="360"/>
      </w:pPr>
    </w:lvl>
    <w:lvl w:ilvl="4" w:tplc="D1809BFC" w:tentative="1">
      <w:start w:val="1"/>
      <w:numFmt w:val="lowerLetter"/>
      <w:lvlText w:val="%5."/>
      <w:lvlJc w:val="left"/>
      <w:pPr>
        <w:ind w:left="3600" w:hanging="360"/>
      </w:pPr>
    </w:lvl>
    <w:lvl w:ilvl="5" w:tplc="A790B0F6" w:tentative="1">
      <w:start w:val="1"/>
      <w:numFmt w:val="lowerRoman"/>
      <w:lvlText w:val="%6."/>
      <w:lvlJc w:val="right"/>
      <w:pPr>
        <w:ind w:left="4320" w:hanging="180"/>
      </w:pPr>
    </w:lvl>
    <w:lvl w:ilvl="6" w:tplc="65C00270" w:tentative="1">
      <w:start w:val="1"/>
      <w:numFmt w:val="decimal"/>
      <w:lvlText w:val="%7."/>
      <w:lvlJc w:val="left"/>
      <w:pPr>
        <w:ind w:left="5040" w:hanging="360"/>
      </w:pPr>
    </w:lvl>
    <w:lvl w:ilvl="7" w:tplc="E2520548" w:tentative="1">
      <w:start w:val="1"/>
      <w:numFmt w:val="lowerLetter"/>
      <w:lvlText w:val="%8."/>
      <w:lvlJc w:val="left"/>
      <w:pPr>
        <w:ind w:left="5760" w:hanging="360"/>
      </w:pPr>
    </w:lvl>
    <w:lvl w:ilvl="8" w:tplc="F2507414" w:tentative="1">
      <w:start w:val="1"/>
      <w:numFmt w:val="lowerRoman"/>
      <w:lvlText w:val="%9."/>
      <w:lvlJc w:val="right"/>
      <w:pPr>
        <w:ind w:left="6480" w:hanging="180"/>
      </w:pPr>
    </w:lvl>
  </w:abstractNum>
  <w:abstractNum w:abstractNumId="21" w15:restartNumberingAfterBreak="0">
    <w:nsid w:val="79307960"/>
    <w:multiLevelType w:val="hybridMultilevel"/>
    <w:tmpl w:val="25767B14"/>
    <w:lvl w:ilvl="0" w:tplc="87CE506C">
      <w:start w:val="1"/>
      <w:numFmt w:val="decimal"/>
      <w:lvlText w:val="%1."/>
      <w:lvlJc w:val="left"/>
      <w:pPr>
        <w:ind w:left="720" w:hanging="360"/>
      </w:pPr>
      <w:rPr>
        <w:rFonts w:hint="default"/>
      </w:rPr>
    </w:lvl>
    <w:lvl w:ilvl="1" w:tplc="A9CEE5C2" w:tentative="1">
      <w:start w:val="1"/>
      <w:numFmt w:val="lowerLetter"/>
      <w:lvlText w:val="%2."/>
      <w:lvlJc w:val="left"/>
      <w:pPr>
        <w:ind w:left="1440" w:hanging="360"/>
      </w:pPr>
    </w:lvl>
    <w:lvl w:ilvl="2" w:tplc="EEC6DF6E" w:tentative="1">
      <w:start w:val="1"/>
      <w:numFmt w:val="lowerRoman"/>
      <w:lvlText w:val="%3."/>
      <w:lvlJc w:val="right"/>
      <w:pPr>
        <w:ind w:left="2160" w:hanging="180"/>
      </w:pPr>
    </w:lvl>
    <w:lvl w:ilvl="3" w:tplc="3E186C46" w:tentative="1">
      <w:start w:val="1"/>
      <w:numFmt w:val="decimal"/>
      <w:lvlText w:val="%4."/>
      <w:lvlJc w:val="left"/>
      <w:pPr>
        <w:ind w:left="2880" w:hanging="360"/>
      </w:pPr>
    </w:lvl>
    <w:lvl w:ilvl="4" w:tplc="1FAEE010" w:tentative="1">
      <w:start w:val="1"/>
      <w:numFmt w:val="lowerLetter"/>
      <w:lvlText w:val="%5."/>
      <w:lvlJc w:val="left"/>
      <w:pPr>
        <w:ind w:left="3600" w:hanging="360"/>
      </w:pPr>
    </w:lvl>
    <w:lvl w:ilvl="5" w:tplc="4C0E2F7C" w:tentative="1">
      <w:start w:val="1"/>
      <w:numFmt w:val="lowerRoman"/>
      <w:lvlText w:val="%6."/>
      <w:lvlJc w:val="right"/>
      <w:pPr>
        <w:ind w:left="4320" w:hanging="180"/>
      </w:pPr>
    </w:lvl>
    <w:lvl w:ilvl="6" w:tplc="ECD65AA2" w:tentative="1">
      <w:start w:val="1"/>
      <w:numFmt w:val="decimal"/>
      <w:lvlText w:val="%7."/>
      <w:lvlJc w:val="left"/>
      <w:pPr>
        <w:ind w:left="5040" w:hanging="360"/>
      </w:pPr>
    </w:lvl>
    <w:lvl w:ilvl="7" w:tplc="75165F6A" w:tentative="1">
      <w:start w:val="1"/>
      <w:numFmt w:val="lowerLetter"/>
      <w:lvlText w:val="%8."/>
      <w:lvlJc w:val="left"/>
      <w:pPr>
        <w:ind w:left="5760" w:hanging="360"/>
      </w:pPr>
    </w:lvl>
    <w:lvl w:ilvl="8" w:tplc="EA52D89C" w:tentative="1">
      <w:start w:val="1"/>
      <w:numFmt w:val="lowerRoman"/>
      <w:lvlText w:val="%9."/>
      <w:lvlJc w:val="right"/>
      <w:pPr>
        <w:ind w:left="6480" w:hanging="18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6"/>
  </w:num>
  <w:num w:numId="4">
    <w:abstractNumId w:val="9"/>
  </w:num>
  <w:num w:numId="5">
    <w:abstractNumId w:val="10"/>
  </w:num>
  <w:num w:numId="6">
    <w:abstractNumId w:val="1"/>
  </w:num>
  <w:num w:numId="7">
    <w:abstractNumId w:val="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1"/>
  </w:num>
  <w:num w:numId="11">
    <w:abstractNumId w:val="1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4"/>
  </w:num>
  <w:num w:numId="16">
    <w:abstractNumId w:val="21"/>
  </w:num>
  <w:num w:numId="17">
    <w:abstractNumId w:val="3"/>
  </w:num>
  <w:num w:numId="18">
    <w:abstractNumId w:val="8"/>
  </w:num>
  <w:num w:numId="19">
    <w:abstractNumId w:val="0"/>
  </w:num>
  <w:num w:numId="20">
    <w:abstractNumId w:val="20"/>
  </w:num>
  <w:num w:numId="21">
    <w:abstractNumId w:val="18"/>
  </w:num>
  <w:num w:numId="22">
    <w:abstractNumId w:val="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CBF"/>
    <w:rsid w:val="000007B1"/>
    <w:rsid w:val="00004564"/>
    <w:rsid w:val="00006850"/>
    <w:rsid w:val="000134C3"/>
    <w:rsid w:val="0001774D"/>
    <w:rsid w:val="00023011"/>
    <w:rsid w:val="00027201"/>
    <w:rsid w:val="00033128"/>
    <w:rsid w:val="00042524"/>
    <w:rsid w:val="00043D80"/>
    <w:rsid w:val="000444C7"/>
    <w:rsid w:val="000464DC"/>
    <w:rsid w:val="00047310"/>
    <w:rsid w:val="00047670"/>
    <w:rsid w:val="000523BF"/>
    <w:rsid w:val="00061B58"/>
    <w:rsid w:val="000623CC"/>
    <w:rsid w:val="000628D4"/>
    <w:rsid w:val="0006328D"/>
    <w:rsid w:val="00065578"/>
    <w:rsid w:val="00071493"/>
    <w:rsid w:val="00072E05"/>
    <w:rsid w:val="000767D0"/>
    <w:rsid w:val="00081718"/>
    <w:rsid w:val="00082C0F"/>
    <w:rsid w:val="00086364"/>
    <w:rsid w:val="00090F12"/>
    <w:rsid w:val="00092ACD"/>
    <w:rsid w:val="00093867"/>
    <w:rsid w:val="000955D6"/>
    <w:rsid w:val="0009629D"/>
    <w:rsid w:val="00096CFF"/>
    <w:rsid w:val="000A2F16"/>
    <w:rsid w:val="000A3815"/>
    <w:rsid w:val="000A6004"/>
    <w:rsid w:val="000A60E6"/>
    <w:rsid w:val="000B2D46"/>
    <w:rsid w:val="000B428B"/>
    <w:rsid w:val="000B4AC4"/>
    <w:rsid w:val="000B5F37"/>
    <w:rsid w:val="000B69AB"/>
    <w:rsid w:val="000C12E7"/>
    <w:rsid w:val="000C222C"/>
    <w:rsid w:val="000D4C86"/>
    <w:rsid w:val="000D50D6"/>
    <w:rsid w:val="000D70FC"/>
    <w:rsid w:val="000D74A5"/>
    <w:rsid w:val="000D7897"/>
    <w:rsid w:val="000E3883"/>
    <w:rsid w:val="000E42F7"/>
    <w:rsid w:val="000E4975"/>
    <w:rsid w:val="000F04D5"/>
    <w:rsid w:val="000F1DCB"/>
    <w:rsid w:val="000F2F86"/>
    <w:rsid w:val="000F4C20"/>
    <w:rsid w:val="000F4C5A"/>
    <w:rsid w:val="00101815"/>
    <w:rsid w:val="001042CE"/>
    <w:rsid w:val="00107841"/>
    <w:rsid w:val="001113FE"/>
    <w:rsid w:val="00117D56"/>
    <w:rsid w:val="00117F88"/>
    <w:rsid w:val="0012530C"/>
    <w:rsid w:val="00130AD0"/>
    <w:rsid w:val="00134545"/>
    <w:rsid w:val="00135224"/>
    <w:rsid w:val="00143636"/>
    <w:rsid w:val="00143A55"/>
    <w:rsid w:val="00146115"/>
    <w:rsid w:val="00154BE9"/>
    <w:rsid w:val="00154DA1"/>
    <w:rsid w:val="00154F04"/>
    <w:rsid w:val="001551CB"/>
    <w:rsid w:val="00157DD5"/>
    <w:rsid w:val="00160882"/>
    <w:rsid w:val="00161275"/>
    <w:rsid w:val="001678ED"/>
    <w:rsid w:val="00170C10"/>
    <w:rsid w:val="0017300D"/>
    <w:rsid w:val="0017309F"/>
    <w:rsid w:val="00174F85"/>
    <w:rsid w:val="001761A0"/>
    <w:rsid w:val="001767E9"/>
    <w:rsid w:val="00183417"/>
    <w:rsid w:val="001839EB"/>
    <w:rsid w:val="001847ED"/>
    <w:rsid w:val="00190295"/>
    <w:rsid w:val="0019406D"/>
    <w:rsid w:val="00197121"/>
    <w:rsid w:val="00197DA9"/>
    <w:rsid w:val="001A02BA"/>
    <w:rsid w:val="001A3D1F"/>
    <w:rsid w:val="001A5BE1"/>
    <w:rsid w:val="001A7514"/>
    <w:rsid w:val="001B189D"/>
    <w:rsid w:val="001B294A"/>
    <w:rsid w:val="001B4794"/>
    <w:rsid w:val="001B47D4"/>
    <w:rsid w:val="001B5F33"/>
    <w:rsid w:val="001C1B1E"/>
    <w:rsid w:val="001C439F"/>
    <w:rsid w:val="001C5574"/>
    <w:rsid w:val="001C6BFF"/>
    <w:rsid w:val="001D3E15"/>
    <w:rsid w:val="001D4C9B"/>
    <w:rsid w:val="001D6DFC"/>
    <w:rsid w:val="001D7C2A"/>
    <w:rsid w:val="001E1B95"/>
    <w:rsid w:val="001E366D"/>
    <w:rsid w:val="001E7A39"/>
    <w:rsid w:val="001F4A37"/>
    <w:rsid w:val="00204270"/>
    <w:rsid w:val="00204C60"/>
    <w:rsid w:val="00210109"/>
    <w:rsid w:val="002101FB"/>
    <w:rsid w:val="00211B67"/>
    <w:rsid w:val="00214D0B"/>
    <w:rsid w:val="002205E9"/>
    <w:rsid w:val="0022103D"/>
    <w:rsid w:val="00223713"/>
    <w:rsid w:val="00223F8E"/>
    <w:rsid w:val="0023081C"/>
    <w:rsid w:val="00232836"/>
    <w:rsid w:val="00234B0D"/>
    <w:rsid w:val="002364F2"/>
    <w:rsid w:val="00241368"/>
    <w:rsid w:val="002422CA"/>
    <w:rsid w:val="002443E6"/>
    <w:rsid w:val="00247194"/>
    <w:rsid w:val="00251467"/>
    <w:rsid w:val="002545DB"/>
    <w:rsid w:val="002566A6"/>
    <w:rsid w:val="002574EF"/>
    <w:rsid w:val="00264737"/>
    <w:rsid w:val="0026704B"/>
    <w:rsid w:val="0027016C"/>
    <w:rsid w:val="002707F3"/>
    <w:rsid w:val="00271AC6"/>
    <w:rsid w:val="00271AE0"/>
    <w:rsid w:val="00272C18"/>
    <w:rsid w:val="00273ADA"/>
    <w:rsid w:val="00275102"/>
    <w:rsid w:val="002757A7"/>
    <w:rsid w:val="00276273"/>
    <w:rsid w:val="00277204"/>
    <w:rsid w:val="002807B3"/>
    <w:rsid w:val="00281417"/>
    <w:rsid w:val="00282B3C"/>
    <w:rsid w:val="002909F7"/>
    <w:rsid w:val="0029225C"/>
    <w:rsid w:val="00293048"/>
    <w:rsid w:val="0029661C"/>
    <w:rsid w:val="002A01B4"/>
    <w:rsid w:val="002B0678"/>
    <w:rsid w:val="002B70AE"/>
    <w:rsid w:val="002C1509"/>
    <w:rsid w:val="002C51A9"/>
    <w:rsid w:val="002C6133"/>
    <w:rsid w:val="002C7619"/>
    <w:rsid w:val="002D1FA6"/>
    <w:rsid w:val="002D23DF"/>
    <w:rsid w:val="002D527C"/>
    <w:rsid w:val="002D6358"/>
    <w:rsid w:val="002E0BDE"/>
    <w:rsid w:val="002E38F6"/>
    <w:rsid w:val="002E5491"/>
    <w:rsid w:val="002E59C4"/>
    <w:rsid w:val="002F2C8C"/>
    <w:rsid w:val="002F3395"/>
    <w:rsid w:val="002F4EEE"/>
    <w:rsid w:val="002F593D"/>
    <w:rsid w:val="002F6BFD"/>
    <w:rsid w:val="002F7E05"/>
    <w:rsid w:val="00300570"/>
    <w:rsid w:val="00300C9B"/>
    <w:rsid w:val="00313817"/>
    <w:rsid w:val="00314BA3"/>
    <w:rsid w:val="00314D25"/>
    <w:rsid w:val="00316697"/>
    <w:rsid w:val="00323DC4"/>
    <w:rsid w:val="00324740"/>
    <w:rsid w:val="003255B9"/>
    <w:rsid w:val="00326513"/>
    <w:rsid w:val="003278EB"/>
    <w:rsid w:val="00327CDE"/>
    <w:rsid w:val="003311E6"/>
    <w:rsid w:val="00331FCE"/>
    <w:rsid w:val="00334196"/>
    <w:rsid w:val="00334411"/>
    <w:rsid w:val="003357E1"/>
    <w:rsid w:val="003413B2"/>
    <w:rsid w:val="00344506"/>
    <w:rsid w:val="003447B4"/>
    <w:rsid w:val="0034656B"/>
    <w:rsid w:val="00350BFE"/>
    <w:rsid w:val="00351DBE"/>
    <w:rsid w:val="003556DB"/>
    <w:rsid w:val="003566C3"/>
    <w:rsid w:val="0035684D"/>
    <w:rsid w:val="0035731C"/>
    <w:rsid w:val="00361542"/>
    <w:rsid w:val="00362579"/>
    <w:rsid w:val="0036577D"/>
    <w:rsid w:val="003701DD"/>
    <w:rsid w:val="00376CAB"/>
    <w:rsid w:val="00377748"/>
    <w:rsid w:val="00387A33"/>
    <w:rsid w:val="003902B3"/>
    <w:rsid w:val="003964CE"/>
    <w:rsid w:val="003A0B4C"/>
    <w:rsid w:val="003A6C86"/>
    <w:rsid w:val="003B38A0"/>
    <w:rsid w:val="003B42A5"/>
    <w:rsid w:val="003B4948"/>
    <w:rsid w:val="003C287A"/>
    <w:rsid w:val="003C2C30"/>
    <w:rsid w:val="003C4D97"/>
    <w:rsid w:val="003C5738"/>
    <w:rsid w:val="003C6C7E"/>
    <w:rsid w:val="003D2447"/>
    <w:rsid w:val="003D4673"/>
    <w:rsid w:val="003E2154"/>
    <w:rsid w:val="003E3705"/>
    <w:rsid w:val="003E53B9"/>
    <w:rsid w:val="003E5F64"/>
    <w:rsid w:val="003F1E5C"/>
    <w:rsid w:val="003F31F5"/>
    <w:rsid w:val="003F389B"/>
    <w:rsid w:val="003F3E87"/>
    <w:rsid w:val="003F4D5F"/>
    <w:rsid w:val="003F5149"/>
    <w:rsid w:val="00400023"/>
    <w:rsid w:val="004007BD"/>
    <w:rsid w:val="00401AC4"/>
    <w:rsid w:val="0040271C"/>
    <w:rsid w:val="00402C9A"/>
    <w:rsid w:val="00402E8D"/>
    <w:rsid w:val="004044E6"/>
    <w:rsid w:val="00412D30"/>
    <w:rsid w:val="004133F9"/>
    <w:rsid w:val="004167B8"/>
    <w:rsid w:val="004176E6"/>
    <w:rsid w:val="004235E6"/>
    <w:rsid w:val="0042454F"/>
    <w:rsid w:val="00424EAA"/>
    <w:rsid w:val="00425676"/>
    <w:rsid w:val="0042577A"/>
    <w:rsid w:val="00426F04"/>
    <w:rsid w:val="00433DC4"/>
    <w:rsid w:val="004342D0"/>
    <w:rsid w:val="00437112"/>
    <w:rsid w:val="00440F37"/>
    <w:rsid w:val="004440D6"/>
    <w:rsid w:val="00444FF3"/>
    <w:rsid w:val="00446075"/>
    <w:rsid w:val="0044709D"/>
    <w:rsid w:val="004477A5"/>
    <w:rsid w:val="004479FF"/>
    <w:rsid w:val="00450582"/>
    <w:rsid w:val="00454043"/>
    <w:rsid w:val="004554E8"/>
    <w:rsid w:val="0045731C"/>
    <w:rsid w:val="0045749F"/>
    <w:rsid w:val="00461E4E"/>
    <w:rsid w:val="00462FF5"/>
    <w:rsid w:val="004679F8"/>
    <w:rsid w:val="00471360"/>
    <w:rsid w:val="0047227A"/>
    <w:rsid w:val="00474E58"/>
    <w:rsid w:val="0047641A"/>
    <w:rsid w:val="004804BE"/>
    <w:rsid w:val="00491506"/>
    <w:rsid w:val="0049178B"/>
    <w:rsid w:val="004917EC"/>
    <w:rsid w:val="00492AB0"/>
    <w:rsid w:val="00493241"/>
    <w:rsid w:val="00495AE9"/>
    <w:rsid w:val="00496235"/>
    <w:rsid w:val="00496FBF"/>
    <w:rsid w:val="004A15B3"/>
    <w:rsid w:val="004A3246"/>
    <w:rsid w:val="004A33D1"/>
    <w:rsid w:val="004A4FF8"/>
    <w:rsid w:val="004A6406"/>
    <w:rsid w:val="004B0EC0"/>
    <w:rsid w:val="004B333D"/>
    <w:rsid w:val="004B45B0"/>
    <w:rsid w:val="004C1166"/>
    <w:rsid w:val="004C166E"/>
    <w:rsid w:val="004C2C17"/>
    <w:rsid w:val="004C4F75"/>
    <w:rsid w:val="004C71FA"/>
    <w:rsid w:val="004D0C3D"/>
    <w:rsid w:val="004D1682"/>
    <w:rsid w:val="004D1EC0"/>
    <w:rsid w:val="004D55EC"/>
    <w:rsid w:val="004D637C"/>
    <w:rsid w:val="004D79DD"/>
    <w:rsid w:val="004D7F1C"/>
    <w:rsid w:val="004D7FE1"/>
    <w:rsid w:val="004E1CA9"/>
    <w:rsid w:val="004E28CA"/>
    <w:rsid w:val="004E28DC"/>
    <w:rsid w:val="004E69C2"/>
    <w:rsid w:val="004E7DEF"/>
    <w:rsid w:val="004F54BE"/>
    <w:rsid w:val="004F608C"/>
    <w:rsid w:val="004F7F64"/>
    <w:rsid w:val="0050025A"/>
    <w:rsid w:val="005009CF"/>
    <w:rsid w:val="00504E60"/>
    <w:rsid w:val="00512642"/>
    <w:rsid w:val="0051755E"/>
    <w:rsid w:val="00523968"/>
    <w:rsid w:val="005249D6"/>
    <w:rsid w:val="00525077"/>
    <w:rsid w:val="00536A35"/>
    <w:rsid w:val="0053711A"/>
    <w:rsid w:val="005374BE"/>
    <w:rsid w:val="00544D0B"/>
    <w:rsid w:val="005460AC"/>
    <w:rsid w:val="00557DF9"/>
    <w:rsid w:val="005634E3"/>
    <w:rsid w:val="005639F7"/>
    <w:rsid w:val="0056495A"/>
    <w:rsid w:val="0056552F"/>
    <w:rsid w:val="00576620"/>
    <w:rsid w:val="00581179"/>
    <w:rsid w:val="00583621"/>
    <w:rsid w:val="00584FA4"/>
    <w:rsid w:val="005860AC"/>
    <w:rsid w:val="00586477"/>
    <w:rsid w:val="00587233"/>
    <w:rsid w:val="0058731C"/>
    <w:rsid w:val="00587880"/>
    <w:rsid w:val="005904B9"/>
    <w:rsid w:val="0059440D"/>
    <w:rsid w:val="00595E4E"/>
    <w:rsid w:val="00597F36"/>
    <w:rsid w:val="005A0AFB"/>
    <w:rsid w:val="005A43DF"/>
    <w:rsid w:val="005A6B77"/>
    <w:rsid w:val="005A7351"/>
    <w:rsid w:val="005B17FE"/>
    <w:rsid w:val="005B1E9B"/>
    <w:rsid w:val="005B299D"/>
    <w:rsid w:val="005C229F"/>
    <w:rsid w:val="005C3F03"/>
    <w:rsid w:val="005D4628"/>
    <w:rsid w:val="005D4BDE"/>
    <w:rsid w:val="005E2612"/>
    <w:rsid w:val="005E592C"/>
    <w:rsid w:val="005E5BCE"/>
    <w:rsid w:val="005E6B0B"/>
    <w:rsid w:val="005F0B60"/>
    <w:rsid w:val="005F0B8D"/>
    <w:rsid w:val="005F0F46"/>
    <w:rsid w:val="005F10C0"/>
    <w:rsid w:val="005F21BA"/>
    <w:rsid w:val="005F76C5"/>
    <w:rsid w:val="005F78C6"/>
    <w:rsid w:val="006044F5"/>
    <w:rsid w:val="00605546"/>
    <w:rsid w:val="006074FF"/>
    <w:rsid w:val="006127FD"/>
    <w:rsid w:val="0062262D"/>
    <w:rsid w:val="00624756"/>
    <w:rsid w:val="006250B9"/>
    <w:rsid w:val="006252EA"/>
    <w:rsid w:val="00630BD7"/>
    <w:rsid w:val="00631479"/>
    <w:rsid w:val="006316AA"/>
    <w:rsid w:val="006336B3"/>
    <w:rsid w:val="00633AE8"/>
    <w:rsid w:val="00637E54"/>
    <w:rsid w:val="006549F9"/>
    <w:rsid w:val="00657096"/>
    <w:rsid w:val="00660BE8"/>
    <w:rsid w:val="00663AB1"/>
    <w:rsid w:val="00665DF5"/>
    <w:rsid w:val="00672731"/>
    <w:rsid w:val="00673F49"/>
    <w:rsid w:val="006776FF"/>
    <w:rsid w:val="00682BDC"/>
    <w:rsid w:val="00685D31"/>
    <w:rsid w:val="00686795"/>
    <w:rsid w:val="00691D99"/>
    <w:rsid w:val="0069771F"/>
    <w:rsid w:val="006A0607"/>
    <w:rsid w:val="006A2918"/>
    <w:rsid w:val="006A301A"/>
    <w:rsid w:val="006A639A"/>
    <w:rsid w:val="006A69A3"/>
    <w:rsid w:val="006B1198"/>
    <w:rsid w:val="006B5A00"/>
    <w:rsid w:val="006B74F6"/>
    <w:rsid w:val="006C433B"/>
    <w:rsid w:val="006C4505"/>
    <w:rsid w:val="006D0830"/>
    <w:rsid w:val="006D41F5"/>
    <w:rsid w:val="006E465C"/>
    <w:rsid w:val="006E720F"/>
    <w:rsid w:val="006E7880"/>
    <w:rsid w:val="006F0279"/>
    <w:rsid w:val="006F0AF8"/>
    <w:rsid w:val="006F58E7"/>
    <w:rsid w:val="00703556"/>
    <w:rsid w:val="00704D78"/>
    <w:rsid w:val="00705C66"/>
    <w:rsid w:val="00706A9A"/>
    <w:rsid w:val="00706D6E"/>
    <w:rsid w:val="00707FD2"/>
    <w:rsid w:val="007101E7"/>
    <w:rsid w:val="0071034E"/>
    <w:rsid w:val="0071337F"/>
    <w:rsid w:val="007146F3"/>
    <w:rsid w:val="00714B7C"/>
    <w:rsid w:val="00716A5C"/>
    <w:rsid w:val="007178F5"/>
    <w:rsid w:val="00724D27"/>
    <w:rsid w:val="00726F46"/>
    <w:rsid w:val="00733469"/>
    <w:rsid w:val="00734D86"/>
    <w:rsid w:val="00742FAF"/>
    <w:rsid w:val="00744CD8"/>
    <w:rsid w:val="0074770D"/>
    <w:rsid w:val="00751D54"/>
    <w:rsid w:val="00752944"/>
    <w:rsid w:val="007532B4"/>
    <w:rsid w:val="0075496D"/>
    <w:rsid w:val="0075507F"/>
    <w:rsid w:val="00757882"/>
    <w:rsid w:val="00757AF4"/>
    <w:rsid w:val="00760152"/>
    <w:rsid w:val="007616CD"/>
    <w:rsid w:val="00764F56"/>
    <w:rsid w:val="00765B4D"/>
    <w:rsid w:val="007705A1"/>
    <w:rsid w:val="00771A9F"/>
    <w:rsid w:val="00776D09"/>
    <w:rsid w:val="007802DE"/>
    <w:rsid w:val="00784352"/>
    <w:rsid w:val="007877DC"/>
    <w:rsid w:val="0079051B"/>
    <w:rsid w:val="00790C48"/>
    <w:rsid w:val="007935E6"/>
    <w:rsid w:val="0079723A"/>
    <w:rsid w:val="00797792"/>
    <w:rsid w:val="007A09D7"/>
    <w:rsid w:val="007A0A30"/>
    <w:rsid w:val="007B760A"/>
    <w:rsid w:val="007C0874"/>
    <w:rsid w:val="007C2552"/>
    <w:rsid w:val="007C6C72"/>
    <w:rsid w:val="007C7456"/>
    <w:rsid w:val="007D0A9F"/>
    <w:rsid w:val="007D297B"/>
    <w:rsid w:val="007D30C1"/>
    <w:rsid w:val="007E4602"/>
    <w:rsid w:val="007E562B"/>
    <w:rsid w:val="007E5FF9"/>
    <w:rsid w:val="007E67BB"/>
    <w:rsid w:val="007F2CF7"/>
    <w:rsid w:val="007F3F88"/>
    <w:rsid w:val="007F41F4"/>
    <w:rsid w:val="007F7F78"/>
    <w:rsid w:val="00803A0A"/>
    <w:rsid w:val="00810271"/>
    <w:rsid w:val="008103DB"/>
    <w:rsid w:val="00811778"/>
    <w:rsid w:val="00813321"/>
    <w:rsid w:val="008161D3"/>
    <w:rsid w:val="008241A5"/>
    <w:rsid w:val="00824395"/>
    <w:rsid w:val="00824DB3"/>
    <w:rsid w:val="00826CE4"/>
    <w:rsid w:val="00833BA9"/>
    <w:rsid w:val="008346CA"/>
    <w:rsid w:val="00834A7E"/>
    <w:rsid w:val="00834AFA"/>
    <w:rsid w:val="00834F33"/>
    <w:rsid w:val="00834F5F"/>
    <w:rsid w:val="00836CDB"/>
    <w:rsid w:val="00837AAD"/>
    <w:rsid w:val="00842803"/>
    <w:rsid w:val="00844B5D"/>
    <w:rsid w:val="00844E35"/>
    <w:rsid w:val="0084649E"/>
    <w:rsid w:val="008550AF"/>
    <w:rsid w:val="008578D1"/>
    <w:rsid w:val="00860318"/>
    <w:rsid w:val="00861331"/>
    <w:rsid w:val="00862040"/>
    <w:rsid w:val="00863AC8"/>
    <w:rsid w:val="00863FE2"/>
    <w:rsid w:val="00865370"/>
    <w:rsid w:val="00867CBC"/>
    <w:rsid w:val="00870E9D"/>
    <w:rsid w:val="0087292F"/>
    <w:rsid w:val="008744BE"/>
    <w:rsid w:val="00875F57"/>
    <w:rsid w:val="008765A9"/>
    <w:rsid w:val="00882F9F"/>
    <w:rsid w:val="0088585E"/>
    <w:rsid w:val="00885E26"/>
    <w:rsid w:val="00892305"/>
    <w:rsid w:val="0089230B"/>
    <w:rsid w:val="00893A01"/>
    <w:rsid w:val="008A1799"/>
    <w:rsid w:val="008A2ED4"/>
    <w:rsid w:val="008A43CF"/>
    <w:rsid w:val="008A5512"/>
    <w:rsid w:val="008A7900"/>
    <w:rsid w:val="008A7B3E"/>
    <w:rsid w:val="008B263A"/>
    <w:rsid w:val="008B3ED8"/>
    <w:rsid w:val="008B4403"/>
    <w:rsid w:val="008C22FE"/>
    <w:rsid w:val="008C5152"/>
    <w:rsid w:val="008C5D27"/>
    <w:rsid w:val="008C6F0D"/>
    <w:rsid w:val="008C7E01"/>
    <w:rsid w:val="008D0FCA"/>
    <w:rsid w:val="008D6300"/>
    <w:rsid w:val="008D71D1"/>
    <w:rsid w:val="008D73A1"/>
    <w:rsid w:val="008E54E3"/>
    <w:rsid w:val="008F17AD"/>
    <w:rsid w:val="008F4D4C"/>
    <w:rsid w:val="008F711A"/>
    <w:rsid w:val="00907180"/>
    <w:rsid w:val="00912909"/>
    <w:rsid w:val="0091385D"/>
    <w:rsid w:val="00914343"/>
    <w:rsid w:val="00915450"/>
    <w:rsid w:val="0092309C"/>
    <w:rsid w:val="00924475"/>
    <w:rsid w:val="00926821"/>
    <w:rsid w:val="00927C0A"/>
    <w:rsid w:val="009305F1"/>
    <w:rsid w:val="00930AF9"/>
    <w:rsid w:val="009357D7"/>
    <w:rsid w:val="00942673"/>
    <w:rsid w:val="00942C1D"/>
    <w:rsid w:val="00945988"/>
    <w:rsid w:val="0095087B"/>
    <w:rsid w:val="00951D93"/>
    <w:rsid w:val="00955039"/>
    <w:rsid w:val="009578C5"/>
    <w:rsid w:val="00961EE7"/>
    <w:rsid w:val="0096669A"/>
    <w:rsid w:val="00967705"/>
    <w:rsid w:val="00973CD2"/>
    <w:rsid w:val="009755DE"/>
    <w:rsid w:val="00975AAF"/>
    <w:rsid w:val="00975DAB"/>
    <w:rsid w:val="00976FA6"/>
    <w:rsid w:val="009805AA"/>
    <w:rsid w:val="00980A95"/>
    <w:rsid w:val="00981205"/>
    <w:rsid w:val="009857EF"/>
    <w:rsid w:val="00985942"/>
    <w:rsid w:val="009860A8"/>
    <w:rsid w:val="0099020B"/>
    <w:rsid w:val="00992EE0"/>
    <w:rsid w:val="0099412F"/>
    <w:rsid w:val="009A36D7"/>
    <w:rsid w:val="009A7449"/>
    <w:rsid w:val="009B03DA"/>
    <w:rsid w:val="009B0A93"/>
    <w:rsid w:val="009B1BC1"/>
    <w:rsid w:val="009B2A9A"/>
    <w:rsid w:val="009B6FCF"/>
    <w:rsid w:val="009C179A"/>
    <w:rsid w:val="009C1DC1"/>
    <w:rsid w:val="009C6209"/>
    <w:rsid w:val="009D1FEA"/>
    <w:rsid w:val="009D2DE0"/>
    <w:rsid w:val="009D3C0E"/>
    <w:rsid w:val="009D459B"/>
    <w:rsid w:val="009E1052"/>
    <w:rsid w:val="009E6799"/>
    <w:rsid w:val="009F349F"/>
    <w:rsid w:val="009F3D59"/>
    <w:rsid w:val="009F6EFA"/>
    <w:rsid w:val="009F7CA8"/>
    <w:rsid w:val="00A00179"/>
    <w:rsid w:val="00A00B6A"/>
    <w:rsid w:val="00A023BC"/>
    <w:rsid w:val="00A06F36"/>
    <w:rsid w:val="00A07D42"/>
    <w:rsid w:val="00A10355"/>
    <w:rsid w:val="00A109CF"/>
    <w:rsid w:val="00A17953"/>
    <w:rsid w:val="00A24D0D"/>
    <w:rsid w:val="00A25911"/>
    <w:rsid w:val="00A25DCE"/>
    <w:rsid w:val="00A304E5"/>
    <w:rsid w:val="00A35D3D"/>
    <w:rsid w:val="00A37435"/>
    <w:rsid w:val="00A426DB"/>
    <w:rsid w:val="00A42F25"/>
    <w:rsid w:val="00A44095"/>
    <w:rsid w:val="00A444B6"/>
    <w:rsid w:val="00A4473A"/>
    <w:rsid w:val="00A46374"/>
    <w:rsid w:val="00A4738B"/>
    <w:rsid w:val="00A50E54"/>
    <w:rsid w:val="00A51CB5"/>
    <w:rsid w:val="00A5341F"/>
    <w:rsid w:val="00A5375C"/>
    <w:rsid w:val="00A55F3F"/>
    <w:rsid w:val="00A56A2C"/>
    <w:rsid w:val="00A5773C"/>
    <w:rsid w:val="00A57CA5"/>
    <w:rsid w:val="00A63F29"/>
    <w:rsid w:val="00A6489E"/>
    <w:rsid w:val="00A67945"/>
    <w:rsid w:val="00A72D87"/>
    <w:rsid w:val="00A80540"/>
    <w:rsid w:val="00A837BE"/>
    <w:rsid w:val="00A86827"/>
    <w:rsid w:val="00A909F3"/>
    <w:rsid w:val="00A90D81"/>
    <w:rsid w:val="00A90FCA"/>
    <w:rsid w:val="00AA019C"/>
    <w:rsid w:val="00AA06B7"/>
    <w:rsid w:val="00AA17AF"/>
    <w:rsid w:val="00AA30EA"/>
    <w:rsid w:val="00AA6922"/>
    <w:rsid w:val="00AA7515"/>
    <w:rsid w:val="00AB1ECC"/>
    <w:rsid w:val="00AB2BCE"/>
    <w:rsid w:val="00AB5976"/>
    <w:rsid w:val="00AB7D8C"/>
    <w:rsid w:val="00AC313D"/>
    <w:rsid w:val="00AC3AE0"/>
    <w:rsid w:val="00AC5E35"/>
    <w:rsid w:val="00AD002D"/>
    <w:rsid w:val="00AD6663"/>
    <w:rsid w:val="00AD7AB6"/>
    <w:rsid w:val="00AE2098"/>
    <w:rsid w:val="00AE5BC1"/>
    <w:rsid w:val="00AE5E1E"/>
    <w:rsid w:val="00AE74DD"/>
    <w:rsid w:val="00AE76C3"/>
    <w:rsid w:val="00AF27E6"/>
    <w:rsid w:val="00AF7106"/>
    <w:rsid w:val="00B016B2"/>
    <w:rsid w:val="00B017BD"/>
    <w:rsid w:val="00B02A64"/>
    <w:rsid w:val="00B11E04"/>
    <w:rsid w:val="00B12E3D"/>
    <w:rsid w:val="00B20197"/>
    <w:rsid w:val="00B20634"/>
    <w:rsid w:val="00B42A4B"/>
    <w:rsid w:val="00B50EA2"/>
    <w:rsid w:val="00B51315"/>
    <w:rsid w:val="00B6232D"/>
    <w:rsid w:val="00B63276"/>
    <w:rsid w:val="00B63C32"/>
    <w:rsid w:val="00B6452D"/>
    <w:rsid w:val="00B67E94"/>
    <w:rsid w:val="00B707A4"/>
    <w:rsid w:val="00B778B4"/>
    <w:rsid w:val="00B8208D"/>
    <w:rsid w:val="00B92811"/>
    <w:rsid w:val="00B96B08"/>
    <w:rsid w:val="00BA1CEB"/>
    <w:rsid w:val="00BA1F2B"/>
    <w:rsid w:val="00BA2795"/>
    <w:rsid w:val="00BA5781"/>
    <w:rsid w:val="00BA5FC7"/>
    <w:rsid w:val="00BB51BB"/>
    <w:rsid w:val="00BC1128"/>
    <w:rsid w:val="00BC1296"/>
    <w:rsid w:val="00BC14E5"/>
    <w:rsid w:val="00BC1AD7"/>
    <w:rsid w:val="00BC2635"/>
    <w:rsid w:val="00BC56C0"/>
    <w:rsid w:val="00BE3A26"/>
    <w:rsid w:val="00BE498A"/>
    <w:rsid w:val="00BE5B3B"/>
    <w:rsid w:val="00BE5CB0"/>
    <w:rsid w:val="00BF04CC"/>
    <w:rsid w:val="00BF22F2"/>
    <w:rsid w:val="00BF3627"/>
    <w:rsid w:val="00BF5770"/>
    <w:rsid w:val="00C0135E"/>
    <w:rsid w:val="00C0349D"/>
    <w:rsid w:val="00C03528"/>
    <w:rsid w:val="00C04F6B"/>
    <w:rsid w:val="00C05110"/>
    <w:rsid w:val="00C1070E"/>
    <w:rsid w:val="00C135DB"/>
    <w:rsid w:val="00C15F03"/>
    <w:rsid w:val="00C20CA4"/>
    <w:rsid w:val="00C23792"/>
    <w:rsid w:val="00C23CF1"/>
    <w:rsid w:val="00C24670"/>
    <w:rsid w:val="00C329E8"/>
    <w:rsid w:val="00C335A8"/>
    <w:rsid w:val="00C33BC3"/>
    <w:rsid w:val="00C41A5D"/>
    <w:rsid w:val="00C41E1F"/>
    <w:rsid w:val="00C46769"/>
    <w:rsid w:val="00C50B6B"/>
    <w:rsid w:val="00C510E0"/>
    <w:rsid w:val="00C51CCF"/>
    <w:rsid w:val="00C57C6D"/>
    <w:rsid w:val="00C60095"/>
    <w:rsid w:val="00C60A05"/>
    <w:rsid w:val="00C62BF9"/>
    <w:rsid w:val="00C63BDD"/>
    <w:rsid w:val="00C665B7"/>
    <w:rsid w:val="00C66F23"/>
    <w:rsid w:val="00C7536C"/>
    <w:rsid w:val="00C75EEF"/>
    <w:rsid w:val="00C81C54"/>
    <w:rsid w:val="00C91AE9"/>
    <w:rsid w:val="00C92543"/>
    <w:rsid w:val="00C92EDB"/>
    <w:rsid w:val="00C92F52"/>
    <w:rsid w:val="00C94E6C"/>
    <w:rsid w:val="00CA0347"/>
    <w:rsid w:val="00CA4734"/>
    <w:rsid w:val="00CB1C97"/>
    <w:rsid w:val="00CB3482"/>
    <w:rsid w:val="00CB7546"/>
    <w:rsid w:val="00CB7BDD"/>
    <w:rsid w:val="00CC094F"/>
    <w:rsid w:val="00CC23D0"/>
    <w:rsid w:val="00CC27B4"/>
    <w:rsid w:val="00CC47E3"/>
    <w:rsid w:val="00CD0ABC"/>
    <w:rsid w:val="00CD4EEA"/>
    <w:rsid w:val="00CE1C1D"/>
    <w:rsid w:val="00CE2211"/>
    <w:rsid w:val="00CE3AE2"/>
    <w:rsid w:val="00CE44C4"/>
    <w:rsid w:val="00CE59BC"/>
    <w:rsid w:val="00CF048F"/>
    <w:rsid w:val="00CF25D2"/>
    <w:rsid w:val="00CF28A8"/>
    <w:rsid w:val="00CF3760"/>
    <w:rsid w:val="00CF4418"/>
    <w:rsid w:val="00D01DD8"/>
    <w:rsid w:val="00D024EC"/>
    <w:rsid w:val="00D05F06"/>
    <w:rsid w:val="00D143F1"/>
    <w:rsid w:val="00D15639"/>
    <w:rsid w:val="00D24111"/>
    <w:rsid w:val="00D250C8"/>
    <w:rsid w:val="00D27EBE"/>
    <w:rsid w:val="00D3061E"/>
    <w:rsid w:val="00D30A0A"/>
    <w:rsid w:val="00D328CF"/>
    <w:rsid w:val="00D3451A"/>
    <w:rsid w:val="00D425E4"/>
    <w:rsid w:val="00D4461E"/>
    <w:rsid w:val="00D446AF"/>
    <w:rsid w:val="00D4556F"/>
    <w:rsid w:val="00D45A66"/>
    <w:rsid w:val="00D466DC"/>
    <w:rsid w:val="00D5306D"/>
    <w:rsid w:val="00D6023C"/>
    <w:rsid w:val="00D65B37"/>
    <w:rsid w:val="00D661DA"/>
    <w:rsid w:val="00D67B6E"/>
    <w:rsid w:val="00D7084B"/>
    <w:rsid w:val="00D7474E"/>
    <w:rsid w:val="00D7519F"/>
    <w:rsid w:val="00D771BC"/>
    <w:rsid w:val="00D83553"/>
    <w:rsid w:val="00D84DD1"/>
    <w:rsid w:val="00D85733"/>
    <w:rsid w:val="00D86FF4"/>
    <w:rsid w:val="00D87A23"/>
    <w:rsid w:val="00D911E7"/>
    <w:rsid w:val="00D917A5"/>
    <w:rsid w:val="00D929F6"/>
    <w:rsid w:val="00D956BA"/>
    <w:rsid w:val="00D963EB"/>
    <w:rsid w:val="00DA3C15"/>
    <w:rsid w:val="00DA4011"/>
    <w:rsid w:val="00DB14E4"/>
    <w:rsid w:val="00DB3A17"/>
    <w:rsid w:val="00DC4095"/>
    <w:rsid w:val="00DC420B"/>
    <w:rsid w:val="00DC7457"/>
    <w:rsid w:val="00DD112D"/>
    <w:rsid w:val="00DE682A"/>
    <w:rsid w:val="00DE6EA6"/>
    <w:rsid w:val="00DE7837"/>
    <w:rsid w:val="00DF3750"/>
    <w:rsid w:val="00DF486F"/>
    <w:rsid w:val="00DF4C1B"/>
    <w:rsid w:val="00DF6048"/>
    <w:rsid w:val="00E01372"/>
    <w:rsid w:val="00E01727"/>
    <w:rsid w:val="00E03686"/>
    <w:rsid w:val="00E06583"/>
    <w:rsid w:val="00E06F68"/>
    <w:rsid w:val="00E14F90"/>
    <w:rsid w:val="00E15BE0"/>
    <w:rsid w:val="00E15D57"/>
    <w:rsid w:val="00E17979"/>
    <w:rsid w:val="00E17DE5"/>
    <w:rsid w:val="00E20D1E"/>
    <w:rsid w:val="00E21088"/>
    <w:rsid w:val="00E244B9"/>
    <w:rsid w:val="00E30CFC"/>
    <w:rsid w:val="00E310DA"/>
    <w:rsid w:val="00E3320E"/>
    <w:rsid w:val="00E33554"/>
    <w:rsid w:val="00E33E2F"/>
    <w:rsid w:val="00E3412C"/>
    <w:rsid w:val="00E40651"/>
    <w:rsid w:val="00E40D74"/>
    <w:rsid w:val="00E4143F"/>
    <w:rsid w:val="00E5727A"/>
    <w:rsid w:val="00E57C2B"/>
    <w:rsid w:val="00E60BB7"/>
    <w:rsid w:val="00E632C7"/>
    <w:rsid w:val="00E664EC"/>
    <w:rsid w:val="00E70904"/>
    <w:rsid w:val="00E72B30"/>
    <w:rsid w:val="00E73CEA"/>
    <w:rsid w:val="00E75B25"/>
    <w:rsid w:val="00E82235"/>
    <w:rsid w:val="00E84E20"/>
    <w:rsid w:val="00E902C3"/>
    <w:rsid w:val="00E91621"/>
    <w:rsid w:val="00E956CE"/>
    <w:rsid w:val="00E977DF"/>
    <w:rsid w:val="00EA05CB"/>
    <w:rsid w:val="00EA4D78"/>
    <w:rsid w:val="00EA5CBF"/>
    <w:rsid w:val="00EA621C"/>
    <w:rsid w:val="00EB22B8"/>
    <w:rsid w:val="00EB5D1E"/>
    <w:rsid w:val="00EC3553"/>
    <w:rsid w:val="00EC520D"/>
    <w:rsid w:val="00ED442B"/>
    <w:rsid w:val="00ED5009"/>
    <w:rsid w:val="00EE2D5E"/>
    <w:rsid w:val="00EE3A29"/>
    <w:rsid w:val="00EF5639"/>
    <w:rsid w:val="00F00527"/>
    <w:rsid w:val="00F0417C"/>
    <w:rsid w:val="00F04D09"/>
    <w:rsid w:val="00F061C5"/>
    <w:rsid w:val="00F079DF"/>
    <w:rsid w:val="00F1077B"/>
    <w:rsid w:val="00F15DD8"/>
    <w:rsid w:val="00F230EF"/>
    <w:rsid w:val="00F23A5C"/>
    <w:rsid w:val="00F26CC1"/>
    <w:rsid w:val="00F35DBC"/>
    <w:rsid w:val="00F369EC"/>
    <w:rsid w:val="00F376A7"/>
    <w:rsid w:val="00F4111C"/>
    <w:rsid w:val="00F41904"/>
    <w:rsid w:val="00F41FDE"/>
    <w:rsid w:val="00F426E0"/>
    <w:rsid w:val="00F42F0B"/>
    <w:rsid w:val="00F4560D"/>
    <w:rsid w:val="00F45704"/>
    <w:rsid w:val="00F4792C"/>
    <w:rsid w:val="00F53403"/>
    <w:rsid w:val="00F55115"/>
    <w:rsid w:val="00F57673"/>
    <w:rsid w:val="00F61314"/>
    <w:rsid w:val="00F63BE6"/>
    <w:rsid w:val="00F6412E"/>
    <w:rsid w:val="00F7302F"/>
    <w:rsid w:val="00F73AB7"/>
    <w:rsid w:val="00F75645"/>
    <w:rsid w:val="00F819FF"/>
    <w:rsid w:val="00F830E4"/>
    <w:rsid w:val="00F839AE"/>
    <w:rsid w:val="00F9086D"/>
    <w:rsid w:val="00F9148F"/>
    <w:rsid w:val="00F91505"/>
    <w:rsid w:val="00F93912"/>
    <w:rsid w:val="00F94713"/>
    <w:rsid w:val="00F954A5"/>
    <w:rsid w:val="00F96C41"/>
    <w:rsid w:val="00F97D35"/>
    <w:rsid w:val="00FA1D99"/>
    <w:rsid w:val="00FA557D"/>
    <w:rsid w:val="00FA5AB4"/>
    <w:rsid w:val="00FA6DC5"/>
    <w:rsid w:val="00FA7D5F"/>
    <w:rsid w:val="00FB13FB"/>
    <w:rsid w:val="00FB1E57"/>
    <w:rsid w:val="00FB3920"/>
    <w:rsid w:val="00FB51D0"/>
    <w:rsid w:val="00FB6768"/>
    <w:rsid w:val="00FC2FC1"/>
    <w:rsid w:val="00FD1427"/>
    <w:rsid w:val="00FD2934"/>
    <w:rsid w:val="00FD7888"/>
    <w:rsid w:val="00FD7A7B"/>
    <w:rsid w:val="00FE2653"/>
    <w:rsid w:val="00FF341D"/>
    <w:rsid w:val="00FF6A7B"/>
    <w:rsid w:val="00FF6D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806601"/>
  <w15:docId w15:val="{D368D18F-0C67-441D-9C7B-5CC714E0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306D"/>
    <w:pPr>
      <w:bidi/>
      <w:spacing w:line="360" w:lineRule="auto"/>
      <w:jc w:val="both"/>
    </w:pPr>
    <w:rPr>
      <w:rFonts w:cs="David"/>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A5CBF"/>
    <w:pPr>
      <w:tabs>
        <w:tab w:val="center" w:pos="4153"/>
        <w:tab w:val="right" w:pos="8306"/>
      </w:tabs>
    </w:pPr>
  </w:style>
  <w:style w:type="paragraph" w:styleId="a4">
    <w:name w:val="footer"/>
    <w:basedOn w:val="a"/>
    <w:rsid w:val="00EA5CBF"/>
    <w:pPr>
      <w:tabs>
        <w:tab w:val="center" w:pos="4153"/>
        <w:tab w:val="right" w:pos="8306"/>
      </w:tabs>
    </w:pPr>
  </w:style>
  <w:style w:type="character" w:styleId="a5">
    <w:name w:val="page number"/>
    <w:basedOn w:val="a0"/>
    <w:rsid w:val="000C222C"/>
  </w:style>
  <w:style w:type="table" w:styleId="a6">
    <w:name w:val="Table Grid"/>
    <w:basedOn w:val="a1"/>
    <w:rsid w:val="00F41FDE"/>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ocument Map"/>
    <w:basedOn w:val="a"/>
    <w:semiHidden/>
    <w:rsid w:val="00D5306D"/>
    <w:pPr>
      <w:shd w:val="clear" w:color="auto" w:fill="000080"/>
    </w:pPr>
    <w:rPr>
      <w:rFonts w:ascii="Tahoma" w:hAnsi="Tahoma" w:cs="Tahoma"/>
      <w:sz w:val="20"/>
      <w:szCs w:val="20"/>
    </w:rPr>
  </w:style>
  <w:style w:type="character" w:styleId="a8">
    <w:name w:val="Strong"/>
    <w:qFormat/>
    <w:rsid w:val="00B92811"/>
    <w:rPr>
      <w:b/>
      <w:bCs/>
    </w:rPr>
  </w:style>
  <w:style w:type="paragraph" w:customStyle="1" w:styleId="Ruller4">
    <w:name w:val="Ruller 4 ממוספר"/>
    <w:basedOn w:val="a"/>
    <w:next w:val="a"/>
    <w:rsid w:val="00FA5AB4"/>
    <w:pPr>
      <w:numPr>
        <w:numId w:val="1"/>
      </w:numPr>
      <w:tabs>
        <w:tab w:val="left" w:pos="800"/>
      </w:tabs>
      <w:overflowPunct w:val="0"/>
      <w:autoSpaceDE w:val="0"/>
      <w:autoSpaceDN w:val="0"/>
      <w:adjustRightInd w:val="0"/>
    </w:pPr>
    <w:rPr>
      <w:rFonts w:ascii="Garamond" w:hAnsi="Garamond" w:cs="FrankRuehl"/>
      <w:spacing w:val="10"/>
      <w:sz w:val="24"/>
    </w:rPr>
  </w:style>
  <w:style w:type="paragraph" w:customStyle="1" w:styleId="Ruller40">
    <w:name w:val="Ruller4"/>
    <w:basedOn w:val="a"/>
    <w:rsid w:val="001C1B1E"/>
    <w:pPr>
      <w:tabs>
        <w:tab w:val="left" w:pos="800"/>
      </w:tabs>
      <w:overflowPunct w:val="0"/>
      <w:autoSpaceDE w:val="0"/>
      <w:autoSpaceDN w:val="0"/>
      <w:adjustRightInd w:val="0"/>
    </w:pPr>
    <w:rPr>
      <w:rFonts w:ascii="Arial TUR" w:hAnsi="Arial TUR" w:cs="FrankRuehl"/>
      <w:spacing w:val="10"/>
      <w:sz w:val="22"/>
    </w:rPr>
  </w:style>
  <w:style w:type="character" w:customStyle="1" w:styleId="default">
    <w:name w:val="default"/>
    <w:rsid w:val="001C1B1E"/>
    <w:rPr>
      <w:rFonts w:ascii="Times New Roman" w:hAnsi="Times New Roman" w:cs="Times New Roman" w:hint="default"/>
      <w:sz w:val="26"/>
      <w:szCs w:val="26"/>
    </w:rPr>
  </w:style>
  <w:style w:type="paragraph" w:styleId="a9">
    <w:name w:val="List Paragraph"/>
    <w:basedOn w:val="a"/>
    <w:link w:val="aa"/>
    <w:uiPriority w:val="34"/>
    <w:qFormat/>
    <w:rsid w:val="00401AC4"/>
    <w:pPr>
      <w:ind w:left="720"/>
    </w:pPr>
  </w:style>
  <w:style w:type="character" w:customStyle="1" w:styleId="aa">
    <w:name w:val="פיסקת רשימה תו"/>
    <w:link w:val="a9"/>
    <w:uiPriority w:val="34"/>
    <w:rsid w:val="00D6023C"/>
    <w:rPr>
      <w:rFonts w:cs="David"/>
      <w:sz w:val="28"/>
      <w:szCs w:val="28"/>
    </w:rPr>
  </w:style>
  <w:style w:type="paragraph" w:styleId="ab">
    <w:name w:val="Balloon Text"/>
    <w:basedOn w:val="a"/>
    <w:link w:val="ac"/>
    <w:rsid w:val="007178F5"/>
    <w:pPr>
      <w:spacing w:line="240" w:lineRule="auto"/>
    </w:pPr>
    <w:rPr>
      <w:rFonts w:ascii="Tahoma" w:hAnsi="Tahoma" w:cs="Tahoma"/>
      <w:sz w:val="18"/>
      <w:szCs w:val="18"/>
    </w:rPr>
  </w:style>
  <w:style w:type="character" w:customStyle="1" w:styleId="ac">
    <w:name w:val="טקסט בלונים תו"/>
    <w:link w:val="ab"/>
    <w:rsid w:val="007178F5"/>
    <w:rPr>
      <w:rFonts w:ascii="Tahoma" w:hAnsi="Tahoma" w:cs="Tahoma"/>
      <w:sz w:val="18"/>
      <w:szCs w:val="18"/>
    </w:rPr>
  </w:style>
  <w:style w:type="paragraph" w:styleId="ad">
    <w:name w:val="Body Text"/>
    <w:basedOn w:val="a"/>
    <w:link w:val="ae"/>
    <w:rsid w:val="003255B9"/>
    <w:pPr>
      <w:spacing w:line="240" w:lineRule="auto"/>
    </w:pPr>
    <w:rPr>
      <w:rFonts w:cs="Miriam"/>
      <w:noProof/>
      <w:sz w:val="20"/>
      <w:szCs w:val="20"/>
      <w:lang w:eastAsia="he-IL"/>
    </w:rPr>
  </w:style>
  <w:style w:type="character" w:customStyle="1" w:styleId="ae">
    <w:name w:val="גוף טקסט תו"/>
    <w:link w:val="ad"/>
    <w:rsid w:val="003255B9"/>
    <w:rPr>
      <w:rFonts w:cs="Miriam"/>
      <w:noProof/>
      <w:lang w:eastAsia="he-IL"/>
    </w:rPr>
  </w:style>
  <w:style w:type="paragraph" w:customStyle="1" w:styleId="2">
    <w:name w:val="סגנון2"/>
    <w:basedOn w:val="a"/>
    <w:qFormat/>
    <w:rsid w:val="00B016B2"/>
    <w:pPr>
      <w:numPr>
        <w:numId w:val="17"/>
      </w:numPr>
      <w:contextualSpacing/>
    </w:pPr>
  </w:style>
  <w:style w:type="character" w:styleId="af">
    <w:name w:val="annotation reference"/>
    <w:rsid w:val="004044E6"/>
    <w:rPr>
      <w:sz w:val="16"/>
      <w:szCs w:val="16"/>
    </w:rPr>
  </w:style>
  <w:style w:type="paragraph" w:styleId="af0">
    <w:name w:val="annotation text"/>
    <w:basedOn w:val="a"/>
    <w:link w:val="af1"/>
    <w:rsid w:val="004044E6"/>
    <w:rPr>
      <w:sz w:val="20"/>
      <w:szCs w:val="20"/>
    </w:rPr>
  </w:style>
  <w:style w:type="character" w:customStyle="1" w:styleId="af1">
    <w:name w:val="טקסט הערה תו"/>
    <w:link w:val="af0"/>
    <w:rsid w:val="004044E6"/>
    <w:rPr>
      <w:rFonts w:cs="David"/>
    </w:rPr>
  </w:style>
  <w:style w:type="paragraph" w:styleId="af2">
    <w:name w:val="annotation subject"/>
    <w:basedOn w:val="af0"/>
    <w:next w:val="af0"/>
    <w:link w:val="af3"/>
    <w:rsid w:val="004044E6"/>
    <w:rPr>
      <w:b/>
      <w:bCs/>
    </w:rPr>
  </w:style>
  <w:style w:type="character" w:customStyle="1" w:styleId="af3">
    <w:name w:val="נושא הערה תו"/>
    <w:link w:val="af2"/>
    <w:rsid w:val="004044E6"/>
    <w:rPr>
      <w:rFonts w:cs="David"/>
      <w:b/>
      <w:bCs/>
    </w:rPr>
  </w:style>
  <w:style w:type="character" w:styleId="Hyperlink">
    <w:name w:val="Hyperlink"/>
    <w:uiPriority w:val="99"/>
    <w:unhideWhenUsed/>
    <w:rsid w:val="00F079DF"/>
    <w:rPr>
      <w:color w:val="0000FF"/>
      <w:u w:val="single"/>
    </w:rPr>
  </w:style>
  <w:style w:type="paragraph" w:styleId="af4">
    <w:name w:val="Revision"/>
    <w:hidden/>
    <w:uiPriority w:val="99"/>
    <w:semiHidden/>
    <w:rsid w:val="00BC14E5"/>
    <w:rPr>
      <w:rFonts w:cs="David"/>
      <w:sz w:val="28"/>
      <w:szCs w:val="28"/>
    </w:rPr>
  </w:style>
  <w:style w:type="character" w:customStyle="1" w:styleId="big-number">
    <w:name w:val="big-number"/>
    <w:basedOn w:val="a0"/>
    <w:rsid w:val="00446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8B9CB-7569-4B32-93D3-707520448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2948</Words>
  <Characters>14745</Characters>
  <Application>Microsoft Office Word</Application>
  <DocSecurity>0</DocSecurity>
  <Lines>122</Lines>
  <Paragraphs>35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מאי משש - יבד"ץ 205/בית הדין לערעורים/משקי"ת משפט/</dc:creator>
  <cp:lastModifiedBy>מאי משש - יבד"ץ 205/בית הדין לערעורים/משקי"ת משפט/</cp:lastModifiedBy>
  <cp:revision>3</cp:revision>
  <cp:lastPrinted>2023-01-08T07:33:00Z</cp:lastPrinted>
  <dcterms:created xsi:type="dcterms:W3CDTF">2024-03-10T09:13:00Z</dcterms:created>
  <dcterms:modified xsi:type="dcterms:W3CDTF">2024-03-10T09:13:00Z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2022-12-07T19:01:19Z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48574ee4-0fb4-4fcb-8c34-b4532ae2b0ea</vt:lpwstr>
  </property>
  <property fmtid="{D5CDD505-2E9C-101B-9397-08002B2CF9AE}" pid="11" name="MSIP_Label_701b9bfc-c426-492e-a46c-1a922d5fe54b_ContentBits">
    <vt:lpwstr>1</vt:lpwstr>
  </property>
</Properties>
</file>