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240" w:line="240" w:lineRule="auto"/>
        <w:jc w:val="both"/>
        <w:rPr>
          <w:rFonts w:ascii="Assistant" w:cs="Assistant" w:eastAsia="Assistant" w:hAnsi="Assistant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-1074419</wp:posOffset>
            </wp:positionH>
            <wp:positionV relativeFrom="paragraph">
              <wp:posOffset>-1065489</wp:posOffset>
            </wp:positionV>
            <wp:extent cx="7567450" cy="1069975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7450" cy="10699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center"/>
        <w:rPr>
          <w:rFonts w:ascii="Assistant" w:cs="Assistant" w:eastAsia="Assistant" w:hAnsi="Assistant"/>
          <w:color w:val="000000"/>
          <w:sz w:val="48"/>
          <w:szCs w:val="48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48"/>
          <w:szCs w:val="48"/>
          <w:rtl w:val="1"/>
        </w:rPr>
        <w:t xml:space="preserve">פרשת</w:t>
      </w:r>
      <w:r w:rsidDel="00000000" w:rsidR="00000000" w:rsidRPr="00000000">
        <w:rPr>
          <w:rFonts w:ascii="Assistant" w:cs="Assistant" w:eastAsia="Assistant" w:hAnsi="Assistant"/>
          <w:color w:val="000000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48"/>
          <w:szCs w:val="48"/>
          <w:rtl w:val="1"/>
        </w:rPr>
        <w:t xml:space="preserve">חיי</w:t>
      </w:r>
      <w:r w:rsidDel="00000000" w:rsidR="00000000" w:rsidRPr="00000000">
        <w:rPr>
          <w:rFonts w:ascii="Assistant" w:cs="Assistant" w:eastAsia="Assistant" w:hAnsi="Assistant"/>
          <w:color w:val="000000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48"/>
          <w:szCs w:val="48"/>
          <w:rtl w:val="1"/>
        </w:rPr>
        <w:t xml:space="preserve">שרה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center"/>
        <w:rPr>
          <w:rFonts w:ascii="Assistant" w:cs="Assistant" w:eastAsia="Assistant" w:hAnsi="Assistant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40"/>
          <w:szCs w:val="40"/>
          <w:rtl w:val="1"/>
        </w:rPr>
        <w:t xml:space="preserve">פרשת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40"/>
          <w:szCs w:val="40"/>
          <w:rtl w:val="1"/>
        </w:rPr>
        <w:t xml:space="preserve">השבוע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40"/>
          <w:szCs w:val="40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40"/>
          <w:szCs w:val="40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40"/>
          <w:szCs w:val="40"/>
          <w:rtl w:val="1"/>
        </w:rPr>
        <w:t xml:space="preserve">לשיחת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40"/>
          <w:szCs w:val="40"/>
          <w:rtl w:val="1"/>
        </w:rPr>
        <w:t xml:space="preserve">מפקד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240" w:before="240" w:line="240" w:lineRule="auto"/>
        <w:jc w:val="both"/>
        <w:rPr>
          <w:rFonts w:ascii="Assistant" w:cs="Assistant" w:eastAsia="Assistant" w:hAnsi="Assistant"/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240" w:before="240"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פרשת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השבוע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קטע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מתוך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חמשת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חומשי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התורה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שנקרא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שבת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וראשיתו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נקראת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בימים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וחמישי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במטרה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להשלים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מחזור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קריאה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שנתי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התורה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כולה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המתחיל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שמחת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תורה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240" w:before="240" w:line="276" w:lineRule="auto"/>
        <w:jc w:val="both"/>
        <w:rPr>
          <w:rFonts w:ascii="Assistant" w:cs="Assistant" w:eastAsia="Assistant" w:hAnsi="Assistant"/>
          <w:b w:val="1"/>
          <w:color w:val="000000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השבת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נקרא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פרשת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חיי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שרה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",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הפרשה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החמישית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בספר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בראשית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פרק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כג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פס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  –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פרק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כה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פס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יח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).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הפרשה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פותחת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במותה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שרה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ובקנ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ית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מערת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המכפלה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מיד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מתארת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התורה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מסעו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אליעזר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עבד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אברהם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שיצא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לארם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נהרים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עיראק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ימינו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למצוא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אישה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ליצחק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240" w:before="240" w:line="276" w:lineRule="auto"/>
        <w:jc w:val="both"/>
        <w:rPr>
          <w:rFonts w:ascii="Assistant" w:cs="Assistant" w:eastAsia="Assistant" w:hAnsi="Assistant"/>
          <w:color w:val="000000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במסעו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מגיע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אליעזר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באר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הסמוכה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לעיר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ושם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נפגש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ברבקה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פונה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אליה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ומבקש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הגמיאיני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נא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מעט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מים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מכדך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פרק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כד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פס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יז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בקשה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פשוטה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מאחר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ושאיבת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מים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מלאכה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קשה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רבקה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מזדרזת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למלא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בקשתו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האיש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הזר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והעייף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ודואגת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ולגמליו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ותאמר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שתה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אדוני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...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ותכל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להשקותו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ותאמר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לגמליך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אשאב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כלו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לשתות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פרק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כד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פס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יט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).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240" w:before="240" w:line="276" w:lineRule="auto"/>
        <w:jc w:val="both"/>
        <w:rPr>
          <w:rFonts w:ascii="Assistant" w:cs="Assistant" w:eastAsia="Assistant" w:hAnsi="Assistant"/>
          <w:color w:val="000000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פעולתה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רבקה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הרשימה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אליעזר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ולימדה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רגישותה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ויכולתה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לראות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לעומקו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האדם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שעומד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מולה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בהקשר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בולטת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יכולתה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לראות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מצוקותיו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וצרכיו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שבמבט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נראה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כאילו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זקוק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לעזרה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בחוכמת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הלב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שלה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מבינה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שאם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עומד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שפת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הבאר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מסע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ארוך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שותה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משקה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גמליו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ודאי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זקוק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ליד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תומכת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והיא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נרתמת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לסייע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סופה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הפרשה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בנישואי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רבקה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ליצחק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240" w:before="240" w:line="276" w:lineRule="auto"/>
        <w:jc w:val="both"/>
        <w:rPr>
          <w:rFonts w:ascii="Assistant" w:cs="Assistant" w:eastAsia="Assistant" w:hAnsi="Assistant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בימי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המלחמה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רואים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שוב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ושוב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הרגישות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ראיית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האחר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והמוכנות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לסייע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יסוד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ביכולתנו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לפעול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בעת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הזו</w:t>
      </w:r>
      <w:r w:rsidDel="00000000" w:rsidR="00000000" w:rsidRPr="00000000">
        <w:rPr>
          <w:rFonts w:ascii="Assistant" w:cs="Assistant" w:eastAsia="Assistant" w:hAnsi="Assistant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נטה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כתף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וקשב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לחברינו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ליחידה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נחזק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ונתמוך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בזה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ונביא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לידי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ביטוי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סוד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כוחנו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כמסגרת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וצבא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הרעות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הערבות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ההדדית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ביננו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!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B43EE"/>
    <w:pPr>
      <w:bidi w:val="1"/>
    </w:pPr>
    <w:rPr>
      <w:rFonts w:ascii="Calibri" w:cs="Calibri" w:eastAsia="Calibri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Revision"/>
    <w:hidden w:val="1"/>
    <w:uiPriority w:val="99"/>
    <w:semiHidden w:val="1"/>
    <w:rsid w:val="00C03509"/>
    <w:pPr>
      <w:spacing w:after="0" w:line="240" w:lineRule="auto"/>
    </w:pPr>
    <w:rPr>
      <w:rFonts w:ascii="Calibri" w:cs="Calibri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GPBQoMxw/wEjT0RwWWcQPmsC5Q==">AMUW2mVjb3+okbKEJcfiVk+Nri+iXEJ9F3pDqI9Ah6boEBK+FxhMyWjpAmHbkblfqxuwXnGa4c1/4M1T1iJWXwZcne4k5htsYbEmgsygpL+vIsPM2r+tBSI=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2023-11-07T15:26:00Z</dcterms:created>
  <dc:creator>adi sherzer</dc:creator>
</cp:coreProperties>
</file>