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8DD7" w14:textId="77777777" w:rsidR="00971AF2" w:rsidRDefault="00971AF2" w:rsidP="00971AF2">
      <w:pPr>
        <w:tabs>
          <w:tab w:val="right" w:pos="6328"/>
        </w:tabs>
        <w:spacing w:line="480" w:lineRule="auto"/>
        <w:ind w:left="1985" w:right="1985"/>
        <w:rPr>
          <w:rtl/>
        </w:rPr>
      </w:pPr>
      <w:bookmarkStart w:id="0" w:name="_Hlk103692979"/>
      <w:bookmarkStart w:id="1" w:name="_Hlk80875619"/>
      <w:r>
        <w:rPr>
          <w:noProof/>
        </w:rPr>
        <w:drawing>
          <wp:inline distT="0" distB="0" distL="0" distR="0" wp14:anchorId="661B598E" wp14:editId="42477E84">
            <wp:extent cx="866775" cy="790575"/>
            <wp:effectExtent l="0" t="0" r="9525" b="9525"/>
            <wp:docPr id="2"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4BCD774D" wp14:editId="2466ADA6">
            <wp:extent cx="581025" cy="790575"/>
            <wp:effectExtent l="0" t="0" r="9525" b="9525"/>
            <wp:docPr id="1" name="Picture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12FC5F18" w14:textId="77777777" w:rsidR="00810453" w:rsidRPr="00F50ED8" w:rsidRDefault="00810453" w:rsidP="00810453">
      <w:pPr>
        <w:spacing w:line="240" w:lineRule="auto"/>
        <w:jc w:val="center"/>
        <w:rPr>
          <w:b/>
          <w:bCs/>
          <w:u w:val="single"/>
        </w:rPr>
      </w:pPr>
      <w:r w:rsidRPr="00F50ED8">
        <w:rPr>
          <w:b/>
          <w:bCs/>
          <w:u w:val="single"/>
          <w:rtl/>
        </w:rPr>
        <w:t>בבית הדין הצבאי לערעורים</w:t>
      </w:r>
    </w:p>
    <w:p w14:paraId="76D8D3B0" w14:textId="77777777" w:rsidR="00810453" w:rsidRPr="00F50ED8" w:rsidRDefault="00810453" w:rsidP="00810453">
      <w:pPr>
        <w:spacing w:line="480" w:lineRule="auto"/>
        <w:rPr>
          <w:rtl/>
        </w:rPr>
      </w:pPr>
    </w:p>
    <w:p w14:paraId="773DFB13" w14:textId="77777777" w:rsidR="00810453" w:rsidRPr="00F50ED8" w:rsidRDefault="00810453" w:rsidP="00810453">
      <w:pPr>
        <w:spacing w:line="480" w:lineRule="auto"/>
        <w:rPr>
          <w:rtl/>
        </w:rPr>
      </w:pPr>
      <w:r w:rsidRPr="00F50ED8">
        <w:rPr>
          <w:rtl/>
        </w:rPr>
        <w:t>בפני:</w:t>
      </w:r>
    </w:p>
    <w:p w14:paraId="1FD5F6B9" w14:textId="2C405ED2" w:rsidR="00810453" w:rsidRPr="00F50ED8" w:rsidRDefault="00810453" w:rsidP="00810453">
      <w:pPr>
        <w:jc w:val="center"/>
        <w:rPr>
          <w:rtl/>
        </w:rPr>
      </w:pPr>
      <w:r w:rsidRPr="004F4C3E">
        <w:rPr>
          <w:rFonts w:hint="cs"/>
          <w:b/>
          <w:bCs/>
          <w:rtl/>
        </w:rPr>
        <w:t xml:space="preserve">אל"ם </w:t>
      </w:r>
      <w:r>
        <w:rPr>
          <w:rFonts w:hint="cs"/>
          <w:b/>
          <w:bCs/>
          <w:rtl/>
        </w:rPr>
        <w:t>מאיה גולדשמידט</w:t>
      </w:r>
      <w:r w:rsidRPr="004F4C3E">
        <w:rPr>
          <w:rFonts w:hint="cs"/>
          <w:b/>
          <w:bCs/>
          <w:rtl/>
        </w:rPr>
        <w:t xml:space="preserve"> </w:t>
      </w:r>
      <w:r w:rsidRPr="004F4C3E">
        <w:rPr>
          <w:b/>
          <w:bCs/>
          <w:rtl/>
        </w:rPr>
        <w:t>–</w:t>
      </w:r>
      <w:r w:rsidRPr="004F4C3E">
        <w:rPr>
          <w:rFonts w:hint="cs"/>
          <w:rtl/>
        </w:rPr>
        <w:t xml:space="preserve"> שופטת</w:t>
      </w:r>
    </w:p>
    <w:p w14:paraId="6E66E38E" w14:textId="6D752947" w:rsidR="00810453" w:rsidRDefault="00810453" w:rsidP="00810453">
      <w:pPr>
        <w:spacing w:before="360" w:after="360" w:line="240" w:lineRule="auto"/>
        <w:rPr>
          <w:rtl/>
        </w:rPr>
      </w:pPr>
      <w:r w:rsidRPr="00F50ED8">
        <w:rPr>
          <w:rtl/>
        </w:rPr>
        <w:t>בעניין:</w:t>
      </w:r>
    </w:p>
    <w:p w14:paraId="42BD888C" w14:textId="77777777" w:rsidR="00810453" w:rsidRPr="00810453" w:rsidRDefault="00810453" w:rsidP="00810453">
      <w:pPr>
        <w:spacing w:before="360" w:after="360" w:line="240" w:lineRule="auto"/>
        <w:rPr>
          <w:sz w:val="16"/>
          <w:szCs w:val="16"/>
          <w:rtl/>
        </w:rPr>
      </w:pPr>
    </w:p>
    <w:p w14:paraId="62B4B157" w14:textId="228AFC35" w:rsidR="004F25BC" w:rsidRDefault="000E5A0D" w:rsidP="004F25BC">
      <w:pPr>
        <w:jc w:val="center"/>
        <w:rPr>
          <w:rtl/>
        </w:rPr>
      </w:pPr>
      <w:r w:rsidRPr="000E5A0D">
        <w:rPr>
          <w:rFonts w:ascii="David" w:hAnsi="David"/>
          <w:b/>
          <w:bCs/>
        </w:rPr>
        <w:t>***</w:t>
      </w:r>
      <w:r w:rsidR="00810453">
        <w:rPr>
          <w:rFonts w:hint="cs"/>
          <w:b/>
          <w:bCs/>
          <w:rtl/>
        </w:rPr>
        <w:t xml:space="preserve"> רב"ט א</w:t>
      </w:r>
      <w:r>
        <w:rPr>
          <w:rFonts w:hint="cs"/>
          <w:b/>
          <w:bCs/>
          <w:rtl/>
        </w:rPr>
        <w:t>'</w:t>
      </w:r>
      <w:r w:rsidR="00810453">
        <w:rPr>
          <w:rFonts w:hint="cs"/>
          <w:b/>
          <w:bCs/>
          <w:rtl/>
        </w:rPr>
        <w:t xml:space="preserve"> מ</w:t>
      </w:r>
      <w:r>
        <w:rPr>
          <w:rFonts w:hint="cs"/>
          <w:b/>
          <w:bCs/>
          <w:rtl/>
        </w:rPr>
        <w:t>'</w:t>
      </w:r>
      <w:r w:rsidR="00810453">
        <w:rPr>
          <w:rFonts w:hint="cs"/>
          <w:rtl/>
        </w:rPr>
        <w:t xml:space="preserve"> </w:t>
      </w:r>
      <w:r w:rsidR="00810453" w:rsidRPr="00F50ED8">
        <w:rPr>
          <w:b/>
          <w:bCs/>
          <w:rtl/>
        </w:rPr>
        <w:t xml:space="preserve">- </w:t>
      </w:r>
      <w:r w:rsidR="00810453" w:rsidRPr="00F50ED8">
        <w:rPr>
          <w:rtl/>
        </w:rPr>
        <w:t>המערער (ע"י ב"כ,</w:t>
      </w:r>
      <w:r w:rsidR="004F25BC">
        <w:rPr>
          <w:rFonts w:hint="cs"/>
          <w:rtl/>
        </w:rPr>
        <w:t xml:space="preserve"> רס"ן עמית שוחנצקי; קמ"ש </w:t>
      </w:r>
    </w:p>
    <w:p w14:paraId="7C34C24E" w14:textId="3E44D032" w:rsidR="00810453" w:rsidRDefault="004F25BC" w:rsidP="004F25BC">
      <w:pPr>
        <w:jc w:val="center"/>
        <w:rPr>
          <w:rtl/>
        </w:rPr>
      </w:pPr>
      <w:r>
        <w:rPr>
          <w:rFonts w:hint="cs"/>
          <w:rtl/>
        </w:rPr>
        <w:t xml:space="preserve">                       ג</w:t>
      </w:r>
      <w:r w:rsidR="008E2D1C">
        <w:rPr>
          <w:rFonts w:hint="cs"/>
          <w:rtl/>
        </w:rPr>
        <w:t>י</w:t>
      </w:r>
      <w:r>
        <w:rPr>
          <w:rFonts w:hint="cs"/>
          <w:rtl/>
        </w:rPr>
        <w:t>לעד כהן</w:t>
      </w:r>
      <w:r w:rsidR="00810453" w:rsidRPr="00F50ED8">
        <w:rPr>
          <w:rtl/>
        </w:rPr>
        <w:t>)</w:t>
      </w:r>
    </w:p>
    <w:p w14:paraId="745E5A9F" w14:textId="77777777" w:rsidR="00810453" w:rsidRPr="00810453" w:rsidRDefault="00810453" w:rsidP="00810453">
      <w:pPr>
        <w:spacing w:before="120" w:after="240"/>
        <w:jc w:val="center"/>
        <w:rPr>
          <w:sz w:val="8"/>
          <w:szCs w:val="8"/>
          <w:rtl/>
        </w:rPr>
      </w:pPr>
    </w:p>
    <w:p w14:paraId="0F0F3721" w14:textId="62C78AE8" w:rsidR="00810453" w:rsidRDefault="00810453" w:rsidP="00810453">
      <w:pPr>
        <w:spacing w:before="120" w:after="120"/>
        <w:jc w:val="center"/>
        <w:rPr>
          <w:b/>
          <w:bCs/>
          <w:rtl/>
        </w:rPr>
      </w:pPr>
      <w:r w:rsidRPr="00F50ED8">
        <w:rPr>
          <w:b/>
          <w:bCs/>
          <w:rtl/>
        </w:rPr>
        <w:t>נ ג ד</w:t>
      </w:r>
    </w:p>
    <w:p w14:paraId="1C28DDF2" w14:textId="77777777" w:rsidR="00810453" w:rsidRPr="00810453" w:rsidRDefault="00810453" w:rsidP="00810453">
      <w:pPr>
        <w:spacing w:before="120" w:after="120"/>
        <w:jc w:val="center"/>
        <w:rPr>
          <w:b/>
          <w:bCs/>
          <w:sz w:val="8"/>
          <w:szCs w:val="8"/>
          <w:rtl/>
        </w:rPr>
      </w:pPr>
    </w:p>
    <w:p w14:paraId="1D8068E7" w14:textId="77777777" w:rsidR="004F25BC" w:rsidRDefault="00810453" w:rsidP="004F25BC">
      <w:pPr>
        <w:spacing w:line="240" w:lineRule="auto"/>
        <w:jc w:val="center"/>
        <w:rPr>
          <w:rtl/>
        </w:rPr>
      </w:pPr>
      <w:r w:rsidRPr="00F50ED8">
        <w:rPr>
          <w:rFonts w:hint="cs"/>
          <w:b/>
          <w:bCs/>
          <w:rtl/>
        </w:rPr>
        <w:t>התובע הצבאי הראשי</w:t>
      </w:r>
      <w:r w:rsidRPr="00F50ED8">
        <w:rPr>
          <w:b/>
          <w:bCs/>
          <w:rtl/>
        </w:rPr>
        <w:t xml:space="preserve"> -</w:t>
      </w:r>
      <w:r w:rsidRPr="00F50ED8">
        <w:rPr>
          <w:rtl/>
        </w:rPr>
        <w:t xml:space="preserve"> המשיב (ע"י ב"כ, </w:t>
      </w:r>
      <w:r>
        <w:rPr>
          <w:rFonts w:hint="cs"/>
          <w:rtl/>
        </w:rPr>
        <w:t>רס"ן לירז פרץ; סרן עדי אלנקרי; קמ"ש</w:t>
      </w:r>
    </w:p>
    <w:p w14:paraId="55C2AC27" w14:textId="35446FC3" w:rsidR="00810453" w:rsidRDefault="00810453" w:rsidP="004F25BC">
      <w:pPr>
        <w:spacing w:line="240" w:lineRule="auto"/>
        <w:jc w:val="center"/>
        <w:rPr>
          <w:rtl/>
        </w:rPr>
      </w:pPr>
      <w:r>
        <w:rPr>
          <w:rFonts w:hint="cs"/>
          <w:rtl/>
        </w:rPr>
        <w:t>דניאל אבבה</w:t>
      </w:r>
      <w:r w:rsidRPr="00F50ED8">
        <w:rPr>
          <w:rtl/>
        </w:rPr>
        <w:t>)</w:t>
      </w:r>
    </w:p>
    <w:p w14:paraId="6B43E8B2" w14:textId="77777777" w:rsidR="00810453" w:rsidRDefault="00810453" w:rsidP="00810453">
      <w:pPr>
        <w:spacing w:line="240" w:lineRule="auto"/>
        <w:jc w:val="center"/>
        <w:rPr>
          <w:rtl/>
        </w:rPr>
      </w:pPr>
    </w:p>
    <w:p w14:paraId="285332BB" w14:textId="77777777" w:rsidR="00810453" w:rsidRPr="00F50ED8" w:rsidRDefault="00810453" w:rsidP="00810453">
      <w:pPr>
        <w:spacing w:line="240" w:lineRule="auto"/>
        <w:jc w:val="center"/>
        <w:rPr>
          <w:rFonts w:ascii="Tahoma" w:hAnsi="Tahoma"/>
          <w:b/>
          <w:bCs/>
          <w:szCs w:val="24"/>
          <w:rtl/>
        </w:rPr>
      </w:pPr>
    </w:p>
    <w:p w14:paraId="1ACDEC41" w14:textId="385045E7" w:rsidR="00810453" w:rsidRDefault="00810453" w:rsidP="00810453">
      <w:pPr>
        <w:spacing w:before="240" w:after="120"/>
        <w:rPr>
          <w:rtl/>
        </w:rPr>
      </w:pPr>
      <w:r w:rsidRPr="00F50ED8">
        <w:rPr>
          <w:rtl/>
        </w:rPr>
        <w:t xml:space="preserve">ערעור על החלטה של בית הדין הצבאי המחוזי במחוז שיפוטי </w:t>
      </w:r>
      <w:r>
        <w:rPr>
          <w:rFonts w:hint="cs"/>
          <w:rtl/>
        </w:rPr>
        <w:t>ה</w:t>
      </w:r>
      <w:r w:rsidR="004F25BC">
        <w:rPr>
          <w:rFonts w:hint="cs"/>
          <w:rtl/>
        </w:rPr>
        <w:t>דרום</w:t>
      </w:r>
      <w:r w:rsidRPr="00F50ED8">
        <w:rPr>
          <w:rtl/>
        </w:rPr>
        <w:t xml:space="preserve"> שניתנה בתיק </w:t>
      </w:r>
      <w:r w:rsidR="004F25BC">
        <w:rPr>
          <w:rFonts w:hint="cs"/>
          <w:rtl/>
        </w:rPr>
        <w:t>דרום</w:t>
      </w:r>
      <w:r w:rsidRPr="00F50ED8">
        <w:rPr>
          <w:rtl/>
        </w:rPr>
        <w:t xml:space="preserve"> (מ</w:t>
      </w:r>
      <w:r>
        <w:rPr>
          <w:rFonts w:hint="cs"/>
          <w:rtl/>
        </w:rPr>
        <w:t>עצרים</w:t>
      </w:r>
      <w:r w:rsidRPr="00F50ED8">
        <w:rPr>
          <w:rtl/>
        </w:rPr>
        <w:t xml:space="preserve">) </w:t>
      </w:r>
      <w:r w:rsidR="004F25BC">
        <w:rPr>
          <w:rFonts w:hint="cs"/>
          <w:rtl/>
        </w:rPr>
        <w:t>46</w:t>
      </w:r>
      <w:r w:rsidRPr="00F50ED8">
        <w:rPr>
          <w:rtl/>
        </w:rPr>
        <w:t>/</w:t>
      </w:r>
      <w:r w:rsidR="004F25BC">
        <w:rPr>
          <w:rFonts w:hint="cs"/>
          <w:rtl/>
        </w:rPr>
        <w:t>22</w:t>
      </w:r>
      <w:r w:rsidRPr="00F50ED8">
        <w:rPr>
          <w:rtl/>
        </w:rPr>
        <w:t xml:space="preserve"> (</w:t>
      </w:r>
      <w:r w:rsidR="004F25BC">
        <w:rPr>
          <w:rFonts w:hint="cs"/>
          <w:rtl/>
        </w:rPr>
        <w:t>סא"ל חיים בלילטי</w:t>
      </w:r>
      <w:r w:rsidRPr="00F50ED8">
        <w:rPr>
          <w:rtl/>
        </w:rPr>
        <w:t xml:space="preserve"> – </w:t>
      </w:r>
      <w:r>
        <w:rPr>
          <w:rFonts w:hint="cs"/>
          <w:rtl/>
        </w:rPr>
        <w:t>שופט</w:t>
      </w:r>
      <w:r w:rsidRPr="00F50ED8">
        <w:rPr>
          <w:rtl/>
        </w:rPr>
        <w:t xml:space="preserve">) ביום </w:t>
      </w:r>
      <w:r w:rsidR="008E2D1C">
        <w:rPr>
          <w:rFonts w:hint="cs"/>
          <w:rtl/>
        </w:rPr>
        <w:t>22 במארס 2022</w:t>
      </w:r>
      <w:r w:rsidRPr="00F50ED8">
        <w:rPr>
          <w:rtl/>
        </w:rPr>
        <w:t xml:space="preserve">. הערעור </w:t>
      </w:r>
      <w:r>
        <w:rPr>
          <w:rFonts w:hint="cs"/>
          <w:rtl/>
        </w:rPr>
        <w:t>נ</w:t>
      </w:r>
      <w:r w:rsidR="004F25BC">
        <w:rPr>
          <w:rFonts w:hint="cs"/>
          <w:rtl/>
        </w:rPr>
        <w:t>מחק</w:t>
      </w:r>
      <w:r>
        <w:rPr>
          <w:rFonts w:hint="cs"/>
          <w:rtl/>
        </w:rPr>
        <w:t>.</w:t>
      </w:r>
    </w:p>
    <w:bookmarkEnd w:id="0"/>
    <w:p w14:paraId="4666C49E" w14:textId="77777777" w:rsidR="00810453" w:rsidRPr="00810453" w:rsidRDefault="00810453" w:rsidP="00810453">
      <w:pPr>
        <w:spacing w:before="240" w:after="120"/>
        <w:rPr>
          <w:sz w:val="16"/>
          <w:szCs w:val="16"/>
          <w:rtl/>
        </w:rPr>
      </w:pPr>
    </w:p>
    <w:p w14:paraId="25532371" w14:textId="1A14607F" w:rsidR="00563E0C" w:rsidRDefault="00563E0C" w:rsidP="00563E0C">
      <w:pPr>
        <w:spacing w:before="240" w:after="240"/>
        <w:jc w:val="center"/>
        <w:rPr>
          <w:b/>
          <w:bCs/>
          <w:u w:val="single"/>
          <w:rtl/>
        </w:rPr>
      </w:pPr>
      <w:r>
        <w:rPr>
          <w:rFonts w:hint="cs"/>
          <w:b/>
          <w:bCs/>
          <w:u w:val="single"/>
          <w:rtl/>
        </w:rPr>
        <w:t>ה ח ל ט ה</w:t>
      </w:r>
    </w:p>
    <w:p w14:paraId="30330005" w14:textId="19C4B200" w:rsidR="008064AB" w:rsidRDefault="0038588B" w:rsidP="00563E0C">
      <w:pPr>
        <w:pStyle w:val="ListParagraph"/>
        <w:tabs>
          <w:tab w:val="left" w:pos="226"/>
        </w:tabs>
        <w:ind w:left="-58"/>
        <w:rPr>
          <w:rtl/>
        </w:rPr>
      </w:pPr>
      <w:r>
        <w:rPr>
          <w:rFonts w:hint="cs"/>
          <w:rtl/>
        </w:rPr>
        <w:t>במהלך הדיון הודיעה ההגנה כי היא חוזרת בה מערעורה, אך זאת בכפוף לכך שתיערך בדיקה בנוגע לשאלה האם אכן נפגעה זכות ההיוועצות של החשוד.</w:t>
      </w:r>
    </w:p>
    <w:p w14:paraId="29ED72AF" w14:textId="08A5FA2A" w:rsidR="0038588B" w:rsidRPr="00E97B11" w:rsidRDefault="0038588B" w:rsidP="00563E0C">
      <w:pPr>
        <w:pStyle w:val="ListParagraph"/>
        <w:tabs>
          <w:tab w:val="left" w:pos="226"/>
        </w:tabs>
        <w:ind w:left="-58"/>
        <w:rPr>
          <w:sz w:val="16"/>
          <w:szCs w:val="16"/>
          <w:rtl/>
        </w:rPr>
      </w:pPr>
    </w:p>
    <w:p w14:paraId="5B26446A" w14:textId="50F3306B" w:rsidR="0038588B" w:rsidRDefault="0038588B" w:rsidP="0038588B">
      <w:pPr>
        <w:pStyle w:val="ListParagraph"/>
        <w:tabs>
          <w:tab w:val="left" w:pos="226"/>
        </w:tabs>
        <w:ind w:left="-58"/>
        <w:rPr>
          <w:rtl/>
        </w:rPr>
      </w:pPr>
      <w:r>
        <w:rPr>
          <w:rFonts w:hint="cs"/>
          <w:rtl/>
        </w:rPr>
        <w:t xml:space="preserve">נוכח חזרת ההגנה מהערעור יפורטו הדברים אך בקצרה. המערער נעצר ביום 21 במארס 2022 בשעות הערב המאוחרות, לאחר שבחדרו ביחידה נמצאו מוצגים החשודים כסם. באמרה שנגבתה ממנו באותו הערב הודה בשימוש אחד בסם בנסיבות אזרחיות, שנעשה כנטען, ללא מודעות לכך שמדובר בסיגריה המכילה סם. למערער ניתנה זכות ההיוועצות במסגרת חקירתו מיום 21 במארס 2022 והוא מסר כי אינו </w:t>
      </w:r>
      <w:r>
        <w:rPr>
          <w:rFonts w:hint="cs"/>
          <w:rtl/>
        </w:rPr>
        <w:lastRenderedPageBreak/>
        <w:t>מעוניין לממש אותה.  גם במהלך מעצרו מאוחר יותר הוצעה לו שוב האפשרות להתייעץ בעורך דין והוא דחה שוב את ההצעה באמירה לפיה אינו מעוניין בכך בינתיים. באותה עת שהה המערער בחקירה במצ"ח יואב ולא הובא עדיין למתקן הכליאה.</w:t>
      </w:r>
    </w:p>
    <w:p w14:paraId="1C956465" w14:textId="03A6FDEC" w:rsidR="0038588B" w:rsidRDefault="0038588B" w:rsidP="0038588B">
      <w:pPr>
        <w:pStyle w:val="ListParagraph"/>
        <w:tabs>
          <w:tab w:val="left" w:pos="226"/>
        </w:tabs>
        <w:ind w:left="-58"/>
        <w:rPr>
          <w:rtl/>
        </w:rPr>
      </w:pPr>
      <w:r>
        <w:rPr>
          <w:rFonts w:hint="cs"/>
          <w:rtl/>
        </w:rPr>
        <w:t>על אף אמירות אלה של המערער נמסר לסנגוריה הצבאית על ידי משמר בתי הדין ביום 22 במארס 2022 בשעות הבוקר</w:t>
      </w:r>
      <w:r w:rsidR="00862D1B">
        <w:rPr>
          <w:rFonts w:hint="cs"/>
          <w:rtl/>
        </w:rPr>
        <w:t>,</w:t>
      </w:r>
      <w:r>
        <w:rPr>
          <w:rFonts w:hint="cs"/>
          <w:rtl/>
        </w:rPr>
        <w:t xml:space="preserve"> כי המערער הינו אחד משורה של חיילים שנעצרו ומעוניינים בייצוג של הסנגוריה הצבאית. בעקבות זאת קבע בא כוח המערער פגישה עמו בשעה 10:30 והודיע על כך למתקן הכליאה. נמסר על ידי ההגנה כי פגישה זו לא התאפשרה שכן המערער הגיע באותה שעה למתקן הקבלה והיה באותה ע</w:t>
      </w:r>
      <w:r w:rsidR="00106988">
        <w:rPr>
          <w:rFonts w:hint="cs"/>
          <w:rtl/>
        </w:rPr>
        <w:t>ת</w:t>
      </w:r>
      <w:r>
        <w:rPr>
          <w:rFonts w:hint="cs"/>
          <w:rtl/>
        </w:rPr>
        <w:t xml:space="preserve"> בתהליכי קבלה. </w:t>
      </w:r>
    </w:p>
    <w:p w14:paraId="74269050" w14:textId="69055ACA" w:rsidR="0038588B" w:rsidRDefault="0038588B" w:rsidP="0038588B">
      <w:pPr>
        <w:pStyle w:val="ListParagraph"/>
        <w:tabs>
          <w:tab w:val="left" w:pos="226"/>
        </w:tabs>
        <w:ind w:left="-58"/>
        <w:rPr>
          <w:rtl/>
        </w:rPr>
      </w:pPr>
      <w:r>
        <w:rPr>
          <w:rFonts w:hint="cs"/>
          <w:rtl/>
        </w:rPr>
        <w:t xml:space="preserve">בא כוחו של המערער ביקש להודיע לו דרך משמר בתי הדין וגם באמצעות פניה לתביעה כי נקבעה לו פגישה נוספת בשעה 13:30. אף פגישה זו לא התקיימה, ובפועל החלה חקירתו של המערער פעם נוספת במתקן הכליאה בשעה 14:30. בראשית חקירתו </w:t>
      </w:r>
      <w:r w:rsidR="00106988">
        <w:rPr>
          <w:rFonts w:hint="cs"/>
          <w:rtl/>
        </w:rPr>
        <w:t>ניתנה</w:t>
      </w:r>
      <w:r>
        <w:rPr>
          <w:rFonts w:hint="cs"/>
          <w:rtl/>
        </w:rPr>
        <w:t xml:space="preserve"> לחשוד זכות ההיוועצות והוא מסר כי אינו מעוניין להתייעץ בשלב זה בעורך דין. מזכ"ד מהלך חקירה שנכתב על ידי החוקר</w:t>
      </w:r>
      <w:r w:rsidR="00106988">
        <w:rPr>
          <w:rFonts w:hint="cs"/>
          <w:rtl/>
        </w:rPr>
        <w:t>ת</w:t>
      </w:r>
      <w:r>
        <w:rPr>
          <w:rFonts w:hint="cs"/>
          <w:rtl/>
        </w:rPr>
        <w:t xml:space="preserve"> עלה כי בשלב מאוחר יותר שאל המערער האם יינתן לו סנגור במהלך הדיון ולפיכך ביקשה החוקרת לברר עמו האם הוא מעוניין בייעוץ במהלך החקירה או לאחר מכן בדיון. נמסר בזכ"ד כי המערער השיב שהוא מעוניין בייצוג סנגור בדיון. בחקירה זו הודה המערער בשבעה עשר שימושים בסם בנסיבות אזרחיות בעת האחרונה. </w:t>
      </w:r>
    </w:p>
    <w:p w14:paraId="4A58BD80" w14:textId="6FD9725C" w:rsidR="0038588B" w:rsidRPr="00E97B11" w:rsidRDefault="0038588B" w:rsidP="0038588B">
      <w:pPr>
        <w:pStyle w:val="ListParagraph"/>
        <w:tabs>
          <w:tab w:val="left" w:pos="226"/>
        </w:tabs>
        <w:ind w:left="-58"/>
        <w:rPr>
          <w:sz w:val="16"/>
          <w:szCs w:val="16"/>
          <w:rtl/>
        </w:rPr>
      </w:pPr>
    </w:p>
    <w:p w14:paraId="04053953" w14:textId="550B8D05" w:rsidR="0038588B" w:rsidRDefault="0038588B" w:rsidP="0038588B">
      <w:pPr>
        <w:pStyle w:val="ListParagraph"/>
        <w:tabs>
          <w:tab w:val="left" w:pos="226"/>
        </w:tabs>
        <w:ind w:left="-58"/>
        <w:rPr>
          <w:rtl/>
        </w:rPr>
      </w:pPr>
      <w:r>
        <w:rPr>
          <w:rFonts w:hint="cs"/>
          <w:rtl/>
        </w:rPr>
        <w:t xml:space="preserve">הדיון בעניינו של המערער התקיים בפני בית הדין המחוזי אתמול בשעת ערב מאוחרת וההגנה הלינה במהלכו על פגיעה בזכות ההיוועצות של המערער. בית הדין המחוזי קבע כי </w:t>
      </w:r>
      <w:r w:rsidR="00E64A80">
        <w:rPr>
          <w:rFonts w:hint="cs"/>
          <w:rtl/>
        </w:rPr>
        <w:t>השתלשלות הדברים מעוררת "תחושות לא נוחות בלשון המעטה" שכן התביעה ומצ"ח עודכנו בדבר רצונו של המערער להיות מיוצג על ידי סנגור צבאי (אף כי נראה שהחוקרת שגבתה את אמרתו לא הייתה מעודכנת בכך) והמפגש תואם ונדחה, וכי ראוי היה להביא לידיעת הגוף החוקר את רצונו של המערער בייצוג ואת קיומו של המפגש. על החלטה זו ערערה ההגנה בטענה לפגיעה בזכות ההיוועצות של המערער.</w:t>
      </w:r>
    </w:p>
    <w:p w14:paraId="372DD488" w14:textId="0E48085D" w:rsidR="00E64A80" w:rsidRPr="00E97B11" w:rsidRDefault="00E64A80" w:rsidP="0038588B">
      <w:pPr>
        <w:pStyle w:val="ListParagraph"/>
        <w:tabs>
          <w:tab w:val="left" w:pos="226"/>
        </w:tabs>
        <w:ind w:left="-58"/>
        <w:rPr>
          <w:sz w:val="16"/>
          <w:szCs w:val="16"/>
          <w:rtl/>
        </w:rPr>
      </w:pPr>
    </w:p>
    <w:p w14:paraId="7C758B7B" w14:textId="13570418" w:rsidR="00E64A80" w:rsidRDefault="00E64A80" w:rsidP="0038588B">
      <w:pPr>
        <w:pStyle w:val="ListParagraph"/>
        <w:tabs>
          <w:tab w:val="left" w:pos="226"/>
        </w:tabs>
        <w:ind w:left="-58"/>
        <w:rPr>
          <w:rtl/>
        </w:rPr>
      </w:pPr>
      <w:r>
        <w:rPr>
          <w:rFonts w:hint="cs"/>
          <w:rtl/>
        </w:rPr>
        <w:t xml:space="preserve">החקירה בעניינו של המערער מצויה בעיצומה ולמעשה הוארך מעצרו על ידי בית הדין קמא עד היום בשעה 15:00. מהדיון היום עלה כי יש מחלוקת עובדתית בין הצדדים ביחס לבקשת המערער לקבלת ייצוג. בעוד שההגנה טוענת כי המערער </w:t>
      </w:r>
      <w:r w:rsidR="00106988">
        <w:rPr>
          <w:rFonts w:hint="cs"/>
          <w:rtl/>
        </w:rPr>
        <w:t>ה</w:t>
      </w:r>
      <w:r>
        <w:rPr>
          <w:rFonts w:hint="cs"/>
          <w:rtl/>
        </w:rPr>
        <w:t xml:space="preserve">ביע את רצונו לפגוש בסנגור כבר ביום 21 במארס 2022 בשעות הלילה, ועל סמך זה נקבעה אותה פגישה שלא ייצאה אל הפועל, </w:t>
      </w:r>
      <w:r w:rsidR="00106988">
        <w:rPr>
          <w:rFonts w:hint="cs"/>
          <w:rtl/>
        </w:rPr>
        <w:t xml:space="preserve">אשר </w:t>
      </w:r>
      <w:r>
        <w:rPr>
          <w:rFonts w:hint="cs"/>
          <w:rtl/>
        </w:rPr>
        <w:t xml:space="preserve">שהסנגוריה עשתה מאמצים רבים באמצעות פניה, </w:t>
      </w:r>
      <w:r>
        <w:rPr>
          <w:rFonts w:hint="cs"/>
          <w:rtl/>
        </w:rPr>
        <w:lastRenderedPageBreak/>
        <w:t>כך נטען, הן אל התביעה והן אל משמר בתי הדין , על מנת לקיימה, טוענת התביעה כי אין כל אינדיקציה מהמסמכים שהוצגו בפני בית הדין לכך שהמערער ביקש להיוועץ בעורך דין</w:t>
      </w:r>
      <w:r w:rsidR="00106988">
        <w:rPr>
          <w:rFonts w:hint="cs"/>
          <w:rtl/>
        </w:rPr>
        <w:t>,</w:t>
      </w:r>
      <w:r>
        <w:rPr>
          <w:rFonts w:hint="cs"/>
          <w:rtl/>
        </w:rPr>
        <w:t xml:space="preserve"> ונטען כי כל רצונו היה לייצוג בדיון המעצר.</w:t>
      </w:r>
    </w:p>
    <w:p w14:paraId="4C7E0710" w14:textId="1184BBA0" w:rsidR="00E64A80" w:rsidRDefault="00E64A80" w:rsidP="0038588B">
      <w:pPr>
        <w:pStyle w:val="ListParagraph"/>
        <w:tabs>
          <w:tab w:val="left" w:pos="226"/>
        </w:tabs>
        <w:ind w:left="-58"/>
        <w:rPr>
          <w:rtl/>
        </w:rPr>
      </w:pPr>
    </w:p>
    <w:p w14:paraId="2C1EA6B8" w14:textId="08F7DCA1" w:rsidR="00E64A80" w:rsidRDefault="00E64A80" w:rsidP="0038588B">
      <w:pPr>
        <w:pStyle w:val="ListParagraph"/>
        <w:tabs>
          <w:tab w:val="left" w:pos="226"/>
        </w:tabs>
        <w:ind w:left="-58"/>
        <w:rPr>
          <w:rtl/>
        </w:rPr>
      </w:pPr>
      <w:r>
        <w:rPr>
          <w:rFonts w:hint="cs"/>
          <w:rtl/>
        </w:rPr>
        <w:t>בשים לב לאותה מחלוקת עובדתית ולאחר שמיעת הערותיי חזרה בה ההגנה כאמור מהערעור, אולם לטעמי ראוי כי הדברים ייבדקו הן לצורך הפקת לקחים למקרים נוספים והן לצורך הבהרת התמונה העובדתית בתיק זה.</w:t>
      </w:r>
    </w:p>
    <w:p w14:paraId="27D7B15B" w14:textId="71853737" w:rsidR="00E64A80" w:rsidRPr="00E97B11" w:rsidRDefault="00E64A80" w:rsidP="0038588B">
      <w:pPr>
        <w:pStyle w:val="ListParagraph"/>
        <w:tabs>
          <w:tab w:val="left" w:pos="226"/>
        </w:tabs>
        <w:ind w:left="-58"/>
        <w:rPr>
          <w:sz w:val="16"/>
          <w:szCs w:val="16"/>
          <w:rtl/>
        </w:rPr>
      </w:pPr>
    </w:p>
    <w:p w14:paraId="1EA42CF9" w14:textId="0EB181BC" w:rsidR="00E64A80" w:rsidRDefault="00E64A80" w:rsidP="0038588B">
      <w:pPr>
        <w:pStyle w:val="ListParagraph"/>
        <w:tabs>
          <w:tab w:val="left" w:pos="226"/>
        </w:tabs>
        <w:ind w:left="-58"/>
        <w:rPr>
          <w:rtl/>
        </w:rPr>
      </w:pPr>
      <w:r>
        <w:rPr>
          <w:rFonts w:hint="cs"/>
          <w:rtl/>
        </w:rPr>
        <w:t xml:space="preserve">ראוי כי המערער יישאל על ידי גורמי החקירה וייחקר בשאלה האם אכן הביע רצון להיוועץ בעורך דין ביום 22 במארס 2022 וכן על סמך מה נמסר אותו מידע להגנה מטעם משמר בתי הדין כי המערער מבקש להיוועץ בסנגוריה הצבאית, מידע הסותר על פני הדברים את האמור במסמכי המעצר. ככל שהמערער טוען כי אכן ביקש זאת ראוי כי גם גורמי החקירה יידרשו לכך ויבהירו את עמדתם. </w:t>
      </w:r>
    </w:p>
    <w:p w14:paraId="4450F043" w14:textId="1B817A62" w:rsidR="00E64A80" w:rsidRPr="00E97B11" w:rsidRDefault="00E64A80" w:rsidP="004F25BC">
      <w:pPr>
        <w:tabs>
          <w:tab w:val="left" w:pos="226"/>
        </w:tabs>
        <w:rPr>
          <w:sz w:val="16"/>
          <w:szCs w:val="16"/>
          <w:rtl/>
        </w:rPr>
      </w:pPr>
    </w:p>
    <w:p w14:paraId="5140B8F9" w14:textId="6B67FDD3" w:rsidR="00E64A80" w:rsidRDefault="00E64A80" w:rsidP="0038588B">
      <w:pPr>
        <w:pStyle w:val="ListParagraph"/>
        <w:tabs>
          <w:tab w:val="left" w:pos="226"/>
        </w:tabs>
        <w:ind w:left="-58"/>
        <w:rPr>
          <w:rtl/>
        </w:rPr>
      </w:pPr>
      <w:r>
        <w:rPr>
          <w:rFonts w:hint="cs"/>
          <w:rtl/>
        </w:rPr>
        <w:t>בשולי הדברים יצוין כי ההתנהלות כולה במקרה זה אכן מעוררת חוסר נוחות. אף אם המערער לא ביקש להתייעץ בסנגור ומדובר בהודעה מוטעית שהועברה אל הסנגוריה, הרי שמשנקבעה פגישה בין הסנגוריה הצבאית לבין המערער, ראוי היה כי דבר אותה פגישה יועבר לידיעתו. מובן כי ההחלטה האם מעוניין המערער לקיימה, אם לאו, נתונה בידיו, אולם, כאמור ראוי היה שידע על כך בטרם קבלת החלטה.</w:t>
      </w:r>
    </w:p>
    <w:p w14:paraId="0F816BFC" w14:textId="4C34CCD0" w:rsidR="00E64A80" w:rsidRPr="00E97B11" w:rsidRDefault="00E64A80" w:rsidP="0038588B">
      <w:pPr>
        <w:pStyle w:val="ListParagraph"/>
        <w:tabs>
          <w:tab w:val="left" w:pos="226"/>
        </w:tabs>
        <w:ind w:left="-58"/>
        <w:rPr>
          <w:sz w:val="16"/>
          <w:szCs w:val="16"/>
          <w:rtl/>
        </w:rPr>
      </w:pPr>
    </w:p>
    <w:p w14:paraId="20A217D0" w14:textId="33831FBF" w:rsidR="00E64A80" w:rsidRDefault="00E64A80" w:rsidP="0038588B">
      <w:pPr>
        <w:pStyle w:val="ListParagraph"/>
        <w:tabs>
          <w:tab w:val="left" w:pos="226"/>
        </w:tabs>
        <w:ind w:left="-58"/>
        <w:rPr>
          <w:rtl/>
        </w:rPr>
      </w:pPr>
      <w:r>
        <w:rPr>
          <w:rFonts w:hint="cs"/>
          <w:rtl/>
        </w:rPr>
        <w:t>בכפוף לכך, נמחק הערעור.</w:t>
      </w:r>
    </w:p>
    <w:p w14:paraId="1CB8F53F" w14:textId="309560B7" w:rsidR="00E64A80" w:rsidRDefault="00E64A80" w:rsidP="0038588B">
      <w:pPr>
        <w:pStyle w:val="ListParagraph"/>
        <w:tabs>
          <w:tab w:val="left" w:pos="226"/>
        </w:tabs>
        <w:ind w:left="-58"/>
        <w:rPr>
          <w:rtl/>
        </w:rPr>
      </w:pPr>
    </w:p>
    <w:p w14:paraId="5BCFB28C" w14:textId="22D723C2" w:rsidR="00563E0C" w:rsidRDefault="00563E0C" w:rsidP="00563E0C">
      <w:pPr>
        <w:pStyle w:val="ListParagraph"/>
        <w:tabs>
          <w:tab w:val="left" w:pos="226"/>
        </w:tabs>
        <w:ind w:left="-58"/>
        <w:rPr>
          <w:rtl/>
        </w:rPr>
      </w:pPr>
      <w:r>
        <w:rPr>
          <w:rFonts w:hint="cs"/>
          <w:rtl/>
        </w:rPr>
        <w:t xml:space="preserve">ניתנה היום, </w:t>
      </w:r>
      <w:r w:rsidR="0022783A">
        <w:rPr>
          <w:rFonts w:hint="cs"/>
          <w:rtl/>
        </w:rPr>
        <w:t xml:space="preserve">כ' </w:t>
      </w:r>
      <w:r>
        <w:rPr>
          <w:rFonts w:hint="cs"/>
          <w:rtl/>
        </w:rPr>
        <w:t xml:space="preserve">באדר ב' התשפ"ב, </w:t>
      </w:r>
      <w:r w:rsidR="0022783A">
        <w:rPr>
          <w:rFonts w:hint="cs"/>
          <w:rtl/>
        </w:rPr>
        <w:t>23</w:t>
      </w:r>
      <w:r>
        <w:rPr>
          <w:rFonts w:hint="cs"/>
          <w:rtl/>
        </w:rPr>
        <w:t xml:space="preserve"> במארס 2022, בפומבי ובמעמד הצדדים.</w:t>
      </w:r>
    </w:p>
    <w:p w14:paraId="24381E8F" w14:textId="77777777" w:rsidR="00810453" w:rsidRPr="009563B0" w:rsidRDefault="00810453" w:rsidP="00810453">
      <w:pPr>
        <w:pStyle w:val="ListParagraph"/>
        <w:ind w:left="4320" w:firstLine="720"/>
        <w:jc w:val="right"/>
        <w:rPr>
          <w:rtl/>
        </w:rPr>
      </w:pPr>
      <w:bookmarkStart w:id="2" w:name="_Hlk103692387"/>
      <w:bookmarkEnd w:id="1"/>
      <w:r w:rsidRPr="009563B0">
        <w:rPr>
          <w:rFonts w:hint="cs"/>
          <w:rtl/>
        </w:rPr>
        <w:t>_____________________</w:t>
      </w:r>
    </w:p>
    <w:p w14:paraId="17F92373" w14:textId="77777777" w:rsidR="00810453" w:rsidRPr="004F4C3E" w:rsidRDefault="00810453" w:rsidP="00810453">
      <w:pPr>
        <w:pStyle w:val="ListParagraph"/>
        <w:jc w:val="right"/>
        <w:rPr>
          <w:b/>
          <w:bCs/>
          <w:rtl/>
        </w:rPr>
      </w:pPr>
      <w:r w:rsidRPr="004F4C3E">
        <w:rPr>
          <w:rFonts w:hint="cs"/>
          <w:b/>
          <w:bCs/>
          <w:rtl/>
        </w:rPr>
        <w:t xml:space="preserve">אל"ם         מאיה  גולדשמידט  </w:t>
      </w:r>
      <w:r w:rsidRPr="004F4C3E">
        <w:rPr>
          <w:rFonts w:hint="cs"/>
          <w:b/>
          <w:bCs/>
          <w:rtl/>
        </w:rPr>
        <w:br/>
        <w:t xml:space="preserve">שופטת  </w:t>
      </w:r>
      <w:r w:rsidRPr="004F4C3E">
        <w:rPr>
          <w:b/>
          <w:bCs/>
          <w:rtl/>
        </w:rPr>
        <w:t xml:space="preserve"> </w:t>
      </w:r>
      <w:r w:rsidRPr="004F4C3E">
        <w:rPr>
          <w:rFonts w:hint="cs"/>
          <w:b/>
          <w:bCs/>
          <w:rtl/>
        </w:rPr>
        <w:t xml:space="preserve">  </w:t>
      </w:r>
      <w:r w:rsidRPr="004F4C3E">
        <w:rPr>
          <w:b/>
          <w:bCs/>
          <w:rtl/>
        </w:rPr>
        <w:t xml:space="preserve">בית </w:t>
      </w:r>
      <w:r w:rsidRPr="004F4C3E">
        <w:rPr>
          <w:rFonts w:hint="cs"/>
          <w:b/>
          <w:bCs/>
          <w:rtl/>
        </w:rPr>
        <w:t xml:space="preserve">    </w:t>
      </w:r>
      <w:r w:rsidRPr="004F4C3E">
        <w:rPr>
          <w:b/>
          <w:bCs/>
          <w:rtl/>
        </w:rPr>
        <w:t xml:space="preserve">הדין </w:t>
      </w:r>
      <w:r w:rsidRPr="004F4C3E">
        <w:rPr>
          <w:rFonts w:hint="cs"/>
          <w:b/>
          <w:bCs/>
          <w:rtl/>
        </w:rPr>
        <w:t xml:space="preserve">  </w:t>
      </w:r>
      <w:r w:rsidRPr="004F4C3E">
        <w:rPr>
          <w:b/>
          <w:bCs/>
          <w:rtl/>
        </w:rPr>
        <w:t>הצבאי</w:t>
      </w:r>
      <w:r w:rsidRPr="004F4C3E">
        <w:rPr>
          <w:rFonts w:hint="cs"/>
          <w:b/>
          <w:bCs/>
          <w:rtl/>
        </w:rPr>
        <w:br/>
      </w:r>
      <w:r w:rsidRPr="004F4C3E">
        <w:rPr>
          <w:b/>
          <w:bCs/>
          <w:rtl/>
        </w:rPr>
        <w:t>ל</w:t>
      </w:r>
      <w:r w:rsidRPr="004F4C3E">
        <w:rPr>
          <w:rFonts w:hint="cs"/>
          <w:b/>
          <w:bCs/>
          <w:rtl/>
        </w:rPr>
        <w:t xml:space="preserve">  </w:t>
      </w:r>
      <w:r w:rsidRPr="004F4C3E">
        <w:rPr>
          <w:b/>
          <w:bCs/>
          <w:rtl/>
        </w:rPr>
        <w:t xml:space="preserve"> </w:t>
      </w:r>
      <w:r w:rsidRPr="004F4C3E">
        <w:rPr>
          <w:rFonts w:hint="cs"/>
          <w:b/>
          <w:bCs/>
          <w:rtl/>
        </w:rPr>
        <w:t xml:space="preserve"> </w:t>
      </w:r>
      <w:r w:rsidRPr="004F4C3E">
        <w:rPr>
          <w:b/>
          <w:bCs/>
          <w:rtl/>
        </w:rPr>
        <w:t>ע</w:t>
      </w:r>
      <w:r w:rsidRPr="004F4C3E">
        <w:rPr>
          <w:rFonts w:hint="cs"/>
          <w:b/>
          <w:bCs/>
          <w:rtl/>
        </w:rPr>
        <w:t xml:space="preserve">  </w:t>
      </w:r>
      <w:r w:rsidRPr="004F4C3E">
        <w:rPr>
          <w:b/>
          <w:bCs/>
          <w:rtl/>
        </w:rPr>
        <w:t xml:space="preserve"> </w:t>
      </w:r>
      <w:r w:rsidRPr="004F4C3E">
        <w:rPr>
          <w:rFonts w:hint="cs"/>
          <w:b/>
          <w:bCs/>
          <w:rtl/>
        </w:rPr>
        <w:t xml:space="preserve">  </w:t>
      </w:r>
      <w:r w:rsidRPr="004F4C3E">
        <w:rPr>
          <w:b/>
          <w:bCs/>
          <w:rtl/>
        </w:rPr>
        <w:t xml:space="preserve">ר </w:t>
      </w:r>
      <w:r w:rsidRPr="004F4C3E">
        <w:rPr>
          <w:rFonts w:hint="cs"/>
          <w:b/>
          <w:bCs/>
          <w:rtl/>
        </w:rPr>
        <w:t xml:space="preserve">    </w:t>
      </w:r>
      <w:r w:rsidRPr="004F4C3E">
        <w:rPr>
          <w:b/>
          <w:bCs/>
          <w:rtl/>
        </w:rPr>
        <w:t>ע</w:t>
      </w:r>
      <w:r w:rsidRPr="004F4C3E">
        <w:rPr>
          <w:rFonts w:hint="cs"/>
          <w:b/>
          <w:bCs/>
          <w:rtl/>
        </w:rPr>
        <w:t xml:space="preserve">   </w:t>
      </w:r>
      <w:r w:rsidRPr="004F4C3E">
        <w:rPr>
          <w:b/>
          <w:bCs/>
          <w:rtl/>
        </w:rPr>
        <w:t xml:space="preserve"> </w:t>
      </w:r>
      <w:r w:rsidRPr="004F4C3E">
        <w:rPr>
          <w:rFonts w:hint="cs"/>
          <w:b/>
          <w:bCs/>
          <w:rtl/>
        </w:rPr>
        <w:t xml:space="preserve"> </w:t>
      </w:r>
      <w:r w:rsidRPr="004F4C3E">
        <w:rPr>
          <w:b/>
          <w:bCs/>
          <w:rtl/>
        </w:rPr>
        <w:t>ו</w:t>
      </w:r>
      <w:r w:rsidRPr="004F4C3E">
        <w:rPr>
          <w:rFonts w:hint="cs"/>
          <w:b/>
          <w:bCs/>
          <w:rtl/>
        </w:rPr>
        <w:t xml:space="preserve">    </w:t>
      </w:r>
      <w:r w:rsidRPr="004F4C3E">
        <w:rPr>
          <w:b/>
          <w:bCs/>
          <w:rtl/>
        </w:rPr>
        <w:t xml:space="preserve"> ר</w:t>
      </w:r>
      <w:r w:rsidRPr="004F4C3E">
        <w:rPr>
          <w:rFonts w:hint="cs"/>
          <w:b/>
          <w:bCs/>
          <w:rtl/>
        </w:rPr>
        <w:t xml:space="preserve">    </w:t>
      </w:r>
      <w:r w:rsidRPr="004F4C3E">
        <w:rPr>
          <w:b/>
          <w:bCs/>
          <w:rtl/>
        </w:rPr>
        <w:t xml:space="preserve"> י</w:t>
      </w:r>
      <w:r w:rsidRPr="004F4C3E">
        <w:rPr>
          <w:rFonts w:hint="cs"/>
          <w:b/>
          <w:bCs/>
          <w:rtl/>
        </w:rPr>
        <w:t xml:space="preserve">    </w:t>
      </w:r>
      <w:r w:rsidRPr="004F4C3E">
        <w:rPr>
          <w:b/>
          <w:bCs/>
          <w:rtl/>
        </w:rPr>
        <w:t>ם</w:t>
      </w:r>
    </w:p>
    <w:p w14:paraId="4BD1C1E7" w14:textId="77777777" w:rsidR="00810453" w:rsidRPr="004F4C3E" w:rsidRDefault="00810453" w:rsidP="00810453">
      <w:pPr>
        <w:rPr>
          <w:rtl/>
        </w:rPr>
      </w:pPr>
    </w:p>
    <w:p w14:paraId="49088D90" w14:textId="77777777" w:rsidR="00810453" w:rsidRDefault="00810453" w:rsidP="00810453">
      <w:pPr>
        <w:rPr>
          <w:rtl/>
        </w:rPr>
      </w:pPr>
      <w:bookmarkStart w:id="3" w:name="_Hlk103692423"/>
    </w:p>
    <w:p w14:paraId="682BB490" w14:textId="77777777" w:rsidR="00810453" w:rsidRPr="004F4C3E" w:rsidRDefault="00810453" w:rsidP="00810453">
      <w:pPr>
        <w:outlineLvl w:val="0"/>
        <w:rPr>
          <w:b/>
          <w:bCs/>
          <w:rtl/>
        </w:rPr>
      </w:pPr>
      <w:bookmarkStart w:id="4" w:name="_Hlk100495448"/>
      <w:r w:rsidRPr="004F4C3E">
        <w:rPr>
          <w:rFonts w:hint="eastAsia"/>
          <w:b/>
          <w:bCs/>
          <w:rtl/>
        </w:rPr>
        <w:t>חתימת</w:t>
      </w:r>
      <w:r w:rsidRPr="004F4C3E">
        <w:rPr>
          <w:b/>
          <w:bCs/>
          <w:rtl/>
        </w:rPr>
        <w:t xml:space="preserve"> </w:t>
      </w:r>
      <w:r w:rsidRPr="004F4C3E">
        <w:rPr>
          <w:rFonts w:hint="eastAsia"/>
          <w:b/>
          <w:bCs/>
          <w:rtl/>
        </w:rPr>
        <w:t>המגיה</w:t>
      </w:r>
      <w:r w:rsidRPr="004F4C3E">
        <w:rPr>
          <w:b/>
          <w:bCs/>
          <w:rtl/>
        </w:rPr>
        <w:t>: _________________</w:t>
      </w:r>
      <w:r w:rsidRPr="004F4C3E">
        <w:rPr>
          <w:rFonts w:hint="cs"/>
          <w:b/>
          <w:bCs/>
          <w:rtl/>
        </w:rPr>
        <w:tab/>
        <w:t xml:space="preserve">           </w:t>
      </w:r>
      <w:r w:rsidRPr="004F4C3E">
        <w:rPr>
          <w:rFonts w:hint="eastAsia"/>
          <w:b/>
          <w:bCs/>
          <w:rtl/>
        </w:rPr>
        <w:t>העתק</w:t>
      </w:r>
      <w:r w:rsidRPr="004F4C3E">
        <w:rPr>
          <w:rFonts w:hint="cs"/>
          <w:b/>
          <w:bCs/>
          <w:rtl/>
        </w:rPr>
        <w:t xml:space="preserve">           </w:t>
      </w:r>
      <w:r w:rsidRPr="004F4C3E">
        <w:rPr>
          <w:rFonts w:hint="eastAsia"/>
          <w:b/>
          <w:bCs/>
          <w:rtl/>
        </w:rPr>
        <w:t>נאמן</w:t>
      </w:r>
      <w:r w:rsidRPr="004F4C3E">
        <w:rPr>
          <w:b/>
          <w:bCs/>
          <w:rtl/>
        </w:rPr>
        <w:t xml:space="preserve"> </w:t>
      </w:r>
      <w:r w:rsidRPr="004F4C3E">
        <w:rPr>
          <w:rFonts w:hint="cs"/>
          <w:b/>
          <w:bCs/>
          <w:rtl/>
        </w:rPr>
        <w:t xml:space="preserve">            </w:t>
      </w:r>
      <w:r w:rsidRPr="004F4C3E">
        <w:rPr>
          <w:rFonts w:hint="eastAsia"/>
          <w:b/>
          <w:bCs/>
          <w:rtl/>
        </w:rPr>
        <w:t>למקור</w:t>
      </w:r>
      <w:r w:rsidRPr="004F4C3E">
        <w:rPr>
          <w:rFonts w:hint="cs"/>
          <w:b/>
          <w:bCs/>
          <w:rtl/>
        </w:rPr>
        <w:br/>
      </w:r>
      <w:r w:rsidRPr="004F4C3E">
        <w:rPr>
          <w:rFonts w:hint="cs"/>
          <w:b/>
          <w:bCs/>
          <w:rtl/>
        </w:rPr>
        <w:tab/>
        <w:t xml:space="preserve">                                                                     </w:t>
      </w:r>
      <w:r>
        <w:rPr>
          <w:rFonts w:hint="cs"/>
          <w:b/>
          <w:bCs/>
          <w:rtl/>
        </w:rPr>
        <w:t>רס"ל</w:t>
      </w:r>
      <w:r w:rsidRPr="004F4C3E">
        <w:rPr>
          <w:rFonts w:hint="cs"/>
          <w:b/>
          <w:bCs/>
          <w:rtl/>
        </w:rPr>
        <w:t xml:space="preserve">       עדי         לביא</w:t>
      </w:r>
      <w:r w:rsidRPr="004F4C3E">
        <w:rPr>
          <w:rFonts w:hint="cs"/>
          <w:b/>
          <w:bCs/>
          <w:rtl/>
        </w:rPr>
        <w:br/>
      </w:r>
      <w:r w:rsidRPr="004F4C3E">
        <w:rPr>
          <w:rFonts w:hint="eastAsia"/>
          <w:b/>
          <w:bCs/>
          <w:rtl/>
        </w:rPr>
        <w:t>תאריך</w:t>
      </w:r>
      <w:r w:rsidRPr="004F4C3E">
        <w:rPr>
          <w:b/>
          <w:bCs/>
          <w:rtl/>
        </w:rPr>
        <w:t>: ______________________</w:t>
      </w:r>
      <w:r w:rsidRPr="004F4C3E">
        <w:rPr>
          <w:rFonts w:hint="cs"/>
          <w:b/>
          <w:bCs/>
          <w:rtl/>
        </w:rPr>
        <w:tab/>
        <w:t xml:space="preserve">           קצינת            בית                    הדין</w:t>
      </w:r>
    </w:p>
    <w:bookmarkEnd w:id="4"/>
    <w:bookmarkEnd w:id="2"/>
    <w:bookmarkEnd w:id="3"/>
    <w:p w14:paraId="60835308" w14:textId="77777777" w:rsidR="00876D2E" w:rsidRDefault="00876D2E"/>
    <w:sectPr w:rsidR="00876D2E" w:rsidSect="00810453">
      <w:headerReference w:type="default" r:id="rId9"/>
      <w:footerReference w:type="default" r:id="rId10"/>
      <w:pgSz w:w="11906" w:h="16838"/>
      <w:pgMar w:top="1440" w:right="1800" w:bottom="1440" w:left="1800" w:header="708" w:footer="708"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40F4" w14:textId="77777777" w:rsidR="000B74A1" w:rsidRDefault="000B74A1" w:rsidP="00563E0C">
      <w:pPr>
        <w:spacing w:line="240" w:lineRule="auto"/>
      </w:pPr>
      <w:r>
        <w:separator/>
      </w:r>
    </w:p>
  </w:endnote>
  <w:endnote w:type="continuationSeparator" w:id="0">
    <w:p w14:paraId="0C0B5E8D" w14:textId="77777777" w:rsidR="000B74A1" w:rsidRDefault="000B74A1" w:rsidP="00563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72D1" w14:textId="77777777" w:rsidR="00810453" w:rsidRPr="00810453" w:rsidRDefault="00810453">
    <w:pPr>
      <w:pStyle w:val="Footer"/>
      <w:jc w:val="center"/>
      <w:rPr>
        <w:rFonts w:ascii="David" w:hAnsi="David"/>
        <w:caps/>
        <w:noProof/>
        <w:rtl/>
      </w:rPr>
    </w:pPr>
    <w:r w:rsidRPr="00810453">
      <w:rPr>
        <w:rFonts w:ascii="David" w:hAnsi="David" w:hint="cs"/>
        <w:caps/>
      </w:rPr>
      <w:fldChar w:fldCharType="begin"/>
    </w:r>
    <w:r w:rsidRPr="00810453">
      <w:rPr>
        <w:rFonts w:ascii="David" w:hAnsi="David" w:hint="cs"/>
        <w:caps/>
      </w:rPr>
      <w:instrText xml:space="preserve"> PAGE   \* MERGEFORMAT </w:instrText>
    </w:r>
    <w:r w:rsidRPr="00810453">
      <w:rPr>
        <w:rFonts w:ascii="David" w:hAnsi="David" w:hint="cs"/>
        <w:caps/>
      </w:rPr>
      <w:fldChar w:fldCharType="separate"/>
    </w:r>
    <w:r w:rsidRPr="00810453">
      <w:rPr>
        <w:rFonts w:ascii="David" w:hAnsi="David" w:hint="cs"/>
        <w:caps/>
        <w:noProof/>
      </w:rPr>
      <w:t>2</w:t>
    </w:r>
    <w:r w:rsidRPr="00810453">
      <w:rPr>
        <w:rFonts w:ascii="David" w:hAnsi="David" w:hint="cs"/>
        <w:caps/>
        <w:noProof/>
      </w:rPr>
      <w:fldChar w:fldCharType="end"/>
    </w:r>
  </w:p>
  <w:p w14:paraId="24AE83D2" w14:textId="77777777" w:rsidR="00810453" w:rsidRDefault="00810453" w:rsidP="008104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38B6" w14:textId="77777777" w:rsidR="000B74A1" w:rsidRDefault="000B74A1" w:rsidP="00563E0C">
      <w:pPr>
        <w:spacing w:line="240" w:lineRule="auto"/>
      </w:pPr>
      <w:r>
        <w:separator/>
      </w:r>
    </w:p>
  </w:footnote>
  <w:footnote w:type="continuationSeparator" w:id="0">
    <w:p w14:paraId="23DFBD5B" w14:textId="77777777" w:rsidR="000B74A1" w:rsidRDefault="000B74A1" w:rsidP="00563E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88B1" w14:textId="077C949E" w:rsidR="00762F59" w:rsidRPr="00824200" w:rsidRDefault="001E0A4D" w:rsidP="00810453">
    <w:pPr>
      <w:pStyle w:val="Header"/>
      <w:jc w:val="right"/>
      <w:rPr>
        <w:rtl/>
      </w:rPr>
    </w:pPr>
    <w:r>
      <w:rPr>
        <w:rFonts w:ascii="David" w:hAnsi="David" w:hint="cs"/>
        <w:rtl/>
      </w:rPr>
      <w:t>בלמ"ס</w:t>
    </w:r>
    <w:r w:rsidR="00762F59" w:rsidRPr="00810453">
      <w:rPr>
        <w:rFonts w:ascii="David" w:hAnsi="David" w:hint="cs"/>
        <w:rtl/>
      </w:rPr>
      <w:t xml:space="preserve"> </w:t>
    </w:r>
    <w:r w:rsidR="00762F59" w:rsidRPr="00810453">
      <w:rPr>
        <w:rFonts w:ascii="David" w:hAnsi="David" w:hint="cs"/>
        <w:rtl/>
      </w:rPr>
      <w:tab/>
      <w:t>ע"מ/18/22</w:t>
    </w:r>
    <w:r w:rsidR="00762F59" w:rsidRPr="00824200">
      <w:rPr>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0C"/>
    <w:rsid w:val="00001883"/>
    <w:rsid w:val="00004B41"/>
    <w:rsid w:val="00041CA1"/>
    <w:rsid w:val="000B74A1"/>
    <w:rsid w:val="000E5A0D"/>
    <w:rsid w:val="000F6373"/>
    <w:rsid w:val="00106988"/>
    <w:rsid w:val="001E0A4D"/>
    <w:rsid w:val="0022783A"/>
    <w:rsid w:val="00280B91"/>
    <w:rsid w:val="00291826"/>
    <w:rsid w:val="00304FB6"/>
    <w:rsid w:val="0033573F"/>
    <w:rsid w:val="0038588B"/>
    <w:rsid w:val="004F25BC"/>
    <w:rsid w:val="0052643F"/>
    <w:rsid w:val="00563E0C"/>
    <w:rsid w:val="0056597E"/>
    <w:rsid w:val="00574919"/>
    <w:rsid w:val="005B40B0"/>
    <w:rsid w:val="006E7E04"/>
    <w:rsid w:val="00762F59"/>
    <w:rsid w:val="007B34A1"/>
    <w:rsid w:val="008064AB"/>
    <w:rsid w:val="00810453"/>
    <w:rsid w:val="00824200"/>
    <w:rsid w:val="00862D1B"/>
    <w:rsid w:val="00876D2E"/>
    <w:rsid w:val="008B3746"/>
    <w:rsid w:val="008E2D1C"/>
    <w:rsid w:val="008E3300"/>
    <w:rsid w:val="00914E22"/>
    <w:rsid w:val="00970451"/>
    <w:rsid w:val="00971AF2"/>
    <w:rsid w:val="009C540A"/>
    <w:rsid w:val="009D2853"/>
    <w:rsid w:val="00B605D1"/>
    <w:rsid w:val="00BD0319"/>
    <w:rsid w:val="00C167C7"/>
    <w:rsid w:val="00C26816"/>
    <w:rsid w:val="00D11437"/>
    <w:rsid w:val="00D30F00"/>
    <w:rsid w:val="00D95A43"/>
    <w:rsid w:val="00DA16BA"/>
    <w:rsid w:val="00E64A80"/>
    <w:rsid w:val="00E97B11"/>
    <w:rsid w:val="00EB2FC3"/>
    <w:rsid w:val="00ED0E41"/>
    <w:rsid w:val="00F27774"/>
    <w:rsid w:val="00F66540"/>
    <w:rsid w:val="00FD3E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A3A32D"/>
  <w15:chartTrackingRefBased/>
  <w15:docId w15:val="{EBAFD54C-27D7-474B-8A01-1ECD54AD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E0C"/>
    <w:pPr>
      <w:bidi/>
      <w:spacing w:after="0" w:line="360" w:lineRule="auto"/>
      <w:jc w:val="both"/>
    </w:pPr>
    <w:rPr>
      <w:rFonts w:ascii="Times New Roman" w:eastAsia="Times New Roman" w:hAnsi="Times New Roman"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E0C"/>
    <w:pPr>
      <w:tabs>
        <w:tab w:val="center" w:pos="4153"/>
        <w:tab w:val="right" w:pos="8306"/>
      </w:tabs>
    </w:pPr>
  </w:style>
  <w:style w:type="character" w:customStyle="1" w:styleId="HeaderChar">
    <w:name w:val="Header Char"/>
    <w:basedOn w:val="DefaultParagraphFont"/>
    <w:link w:val="Header"/>
    <w:rsid w:val="00563E0C"/>
    <w:rPr>
      <w:rFonts w:ascii="Times New Roman" w:eastAsia="Times New Roman" w:hAnsi="Times New Roman" w:cs="David"/>
      <w:sz w:val="28"/>
      <w:szCs w:val="28"/>
    </w:rPr>
  </w:style>
  <w:style w:type="character" w:customStyle="1" w:styleId="ListParagraphChar">
    <w:name w:val="List Paragraph Char"/>
    <w:link w:val="ListParagraph"/>
    <w:uiPriority w:val="34"/>
    <w:locked/>
    <w:rsid w:val="00563E0C"/>
    <w:rPr>
      <w:rFonts w:ascii="Times New Roman" w:eastAsia="Times New Roman" w:hAnsi="Times New Roman" w:cs="David"/>
      <w:sz w:val="28"/>
      <w:szCs w:val="28"/>
    </w:rPr>
  </w:style>
  <w:style w:type="paragraph" w:styleId="ListParagraph">
    <w:name w:val="List Paragraph"/>
    <w:basedOn w:val="Normal"/>
    <w:link w:val="ListParagraphChar"/>
    <w:uiPriority w:val="34"/>
    <w:qFormat/>
    <w:rsid w:val="00563E0C"/>
    <w:pPr>
      <w:ind w:left="720"/>
      <w:contextualSpacing/>
    </w:pPr>
  </w:style>
  <w:style w:type="paragraph" w:styleId="Footer">
    <w:name w:val="footer"/>
    <w:basedOn w:val="Normal"/>
    <w:link w:val="FooterChar"/>
    <w:uiPriority w:val="99"/>
    <w:unhideWhenUsed/>
    <w:rsid w:val="00563E0C"/>
    <w:pPr>
      <w:tabs>
        <w:tab w:val="center" w:pos="4153"/>
        <w:tab w:val="right" w:pos="8306"/>
      </w:tabs>
      <w:spacing w:line="240" w:lineRule="auto"/>
    </w:pPr>
  </w:style>
  <w:style w:type="character" w:customStyle="1" w:styleId="FooterChar">
    <w:name w:val="Footer Char"/>
    <w:basedOn w:val="DefaultParagraphFont"/>
    <w:link w:val="Footer"/>
    <w:uiPriority w:val="99"/>
    <w:rsid w:val="00563E0C"/>
    <w:rPr>
      <w:rFonts w:ascii="Times New Roman" w:eastAsia="Times New Roman" w:hAnsi="Times New Roman" w:cs="David"/>
      <w:sz w:val="28"/>
      <w:szCs w:val="28"/>
    </w:rPr>
  </w:style>
  <w:style w:type="character" w:styleId="LineNumber">
    <w:name w:val="line number"/>
    <w:basedOn w:val="DefaultParagraphFont"/>
    <w:uiPriority w:val="99"/>
    <w:semiHidden/>
    <w:unhideWhenUsed/>
    <w:rsid w:val="00970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31857">
      <w:bodyDiv w:val="1"/>
      <w:marLeft w:val="0"/>
      <w:marRight w:val="0"/>
      <w:marTop w:val="0"/>
      <w:marBottom w:val="0"/>
      <w:divBdr>
        <w:top w:val="none" w:sz="0" w:space="0" w:color="auto"/>
        <w:left w:val="none" w:sz="0" w:space="0" w:color="auto"/>
        <w:bottom w:val="none" w:sz="0" w:space="0" w:color="auto"/>
        <w:right w:val="none" w:sz="0" w:space="0" w:color="auto"/>
      </w:divBdr>
    </w:div>
    <w:div w:id="17283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43C95-5382-415F-AC87-87975B5A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753</Words>
  <Characters>3766</Characters>
  <Application>Microsoft Office Word</Application>
  <DocSecurity>0</DocSecurity>
  <Lines>31</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הצבאי לעירעורים/רשמת משפטית/דאיינה בלכר</dc:creator>
  <cp:keywords/>
  <dc:description/>
  <cp:lastModifiedBy>יבד"ץ 205/בית הדין לערעורים/עוזרת משפטי/קורן שמח</cp:lastModifiedBy>
  <cp:revision>9</cp:revision>
  <cp:lastPrinted>2022-05-29T08:35:00Z</cp:lastPrinted>
  <dcterms:created xsi:type="dcterms:W3CDTF">2022-05-16T08:08:00Z</dcterms:created>
  <dcterms:modified xsi:type="dcterms:W3CDTF">2022-06-08T09:08:00Z</dcterms:modified>
</cp:coreProperties>
</file>